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w w:val="80"/>
          <w:szCs w:val="21"/>
        </w:rPr>
      </w:pPr>
    </w:p>
    <w:p>
      <w:pPr>
        <w:tabs>
          <w:tab w:val="left" w:pos="1260"/>
          <w:tab w:val="left" w:pos="7200"/>
        </w:tabs>
        <w:jc w:val="center"/>
        <w:rPr>
          <w:rFonts w:hAnsi="宋体"/>
          <w:b/>
          <w:w w:val="80"/>
          <w:sz w:val="68"/>
          <w:szCs w:val="68"/>
        </w:rPr>
      </w:pPr>
    </w:p>
    <w:p>
      <w:pPr>
        <w:tabs>
          <w:tab w:val="left" w:pos="1260"/>
          <w:tab w:val="left" w:pos="7200"/>
        </w:tabs>
        <w:jc w:val="center"/>
        <w:rPr>
          <w:b/>
          <w:w w:val="80"/>
          <w:sz w:val="68"/>
          <w:szCs w:val="68"/>
        </w:rPr>
      </w:pPr>
      <w:r>
        <w:rPr>
          <w:rFonts w:hAnsi="宋体"/>
          <w:b/>
          <w:w w:val="80"/>
          <w:sz w:val="68"/>
          <w:szCs w:val="68"/>
        </w:rPr>
        <w:t>建设项目环境影响报告表</w:t>
      </w:r>
    </w:p>
    <w:p>
      <w:pPr>
        <w:spacing w:line="700" w:lineRule="exact"/>
        <w:jc w:val="center"/>
        <w:rPr>
          <w:sz w:val="36"/>
          <w:szCs w:val="28"/>
        </w:rPr>
      </w:pPr>
      <w:r>
        <w:rPr>
          <w:rFonts w:hint="eastAsia"/>
          <w:sz w:val="36"/>
          <w:szCs w:val="28"/>
        </w:rPr>
        <w:t>（工业类）</w:t>
      </w:r>
    </w:p>
    <w:p>
      <w:pPr>
        <w:spacing w:line="700" w:lineRule="exact"/>
        <w:rPr>
          <w:sz w:val="36"/>
          <w:szCs w:val="28"/>
        </w:rPr>
      </w:pPr>
    </w:p>
    <w:p>
      <w:pPr>
        <w:spacing w:line="700" w:lineRule="exact"/>
        <w:rPr>
          <w:sz w:val="36"/>
          <w:szCs w:val="28"/>
        </w:rPr>
      </w:pPr>
    </w:p>
    <w:p>
      <w:pPr>
        <w:spacing w:line="700" w:lineRule="exact"/>
        <w:rPr>
          <w:sz w:val="36"/>
          <w:szCs w:val="28"/>
        </w:rPr>
      </w:pPr>
    </w:p>
    <w:p>
      <w:pPr>
        <w:tabs>
          <w:tab w:val="left" w:pos="360"/>
          <w:tab w:val="center" w:pos="4313"/>
        </w:tabs>
        <w:spacing w:line="700" w:lineRule="exact"/>
        <w:ind w:left="2475" w:leftChars="152" w:hanging="2156" w:hangingChars="671"/>
        <w:jc w:val="left"/>
        <w:rPr>
          <w:b/>
          <w:sz w:val="32"/>
          <w:szCs w:val="32"/>
        </w:rPr>
      </w:pPr>
      <w:r>
        <w:rPr>
          <w:rFonts w:hAnsi="宋体"/>
          <w:b/>
          <w:sz w:val="32"/>
          <w:szCs w:val="32"/>
        </w:rPr>
        <w:t>项目名称：</w:t>
      </w:r>
      <w:r>
        <w:rPr>
          <w:rFonts w:hint="eastAsia" w:hAnsi="宋体"/>
          <w:b/>
          <w:sz w:val="32"/>
          <w:szCs w:val="32"/>
          <w:u w:val="single"/>
          <w:lang w:val="en-US"/>
        </w:rPr>
        <w:t>陶瓷制品、陶瓷模具的制造、加工</w:t>
      </w:r>
    </w:p>
    <w:p>
      <w:pPr>
        <w:spacing w:line="480" w:lineRule="auto"/>
        <w:ind w:firstLine="373" w:firstLineChars="116"/>
        <w:jc w:val="left"/>
        <w:rPr>
          <w:b/>
          <w:sz w:val="32"/>
          <w:szCs w:val="32"/>
        </w:rPr>
      </w:pPr>
    </w:p>
    <w:p>
      <w:pPr>
        <w:spacing w:line="480" w:lineRule="auto"/>
        <w:ind w:left="210" w:leftChars="100" w:firstLine="51" w:firstLineChars="16"/>
        <w:jc w:val="left"/>
        <w:rPr>
          <w:b/>
          <w:sz w:val="32"/>
          <w:szCs w:val="32"/>
          <w:u w:val="single"/>
        </w:rPr>
      </w:pPr>
      <w:r>
        <w:rPr>
          <w:rFonts w:hAnsi="宋体"/>
          <w:b/>
          <w:sz w:val="32"/>
          <w:szCs w:val="32"/>
        </w:rPr>
        <w:t>建设单</w:t>
      </w:r>
      <w:r>
        <w:rPr>
          <w:rFonts w:hAnsi="宋体"/>
          <w:b/>
          <w:spacing w:val="-58"/>
          <w:sz w:val="32"/>
          <w:szCs w:val="32"/>
        </w:rPr>
        <w:t>位</w:t>
      </w:r>
      <w:r>
        <w:rPr>
          <w:rFonts w:hint="eastAsia" w:hAnsi="宋体"/>
          <w:b/>
          <w:spacing w:val="-40"/>
          <w:sz w:val="32"/>
          <w:szCs w:val="32"/>
        </w:rPr>
        <w:t>（</w:t>
      </w:r>
      <w:r>
        <w:rPr>
          <w:rFonts w:hAnsi="宋体"/>
          <w:b/>
          <w:sz w:val="32"/>
          <w:szCs w:val="32"/>
        </w:rPr>
        <w:t>盖章</w:t>
      </w:r>
      <w:r>
        <w:rPr>
          <w:rFonts w:hint="eastAsia" w:hAnsi="宋体"/>
          <w:b/>
          <w:sz w:val="32"/>
          <w:szCs w:val="32"/>
        </w:rPr>
        <w:t>）</w:t>
      </w:r>
      <w:r>
        <w:rPr>
          <w:rFonts w:hAnsi="宋体"/>
          <w:b/>
          <w:sz w:val="32"/>
          <w:szCs w:val="32"/>
        </w:rPr>
        <w:t>：</w:t>
      </w:r>
      <w:r>
        <w:rPr>
          <w:rFonts w:hint="eastAsia" w:hAnsi="宋体"/>
          <w:b/>
          <w:sz w:val="32"/>
          <w:szCs w:val="32"/>
          <w:u w:val="single"/>
        </w:rPr>
        <w:t xml:space="preserve">宜兴市和恒精密陶瓷有限公司           </w:t>
      </w:r>
      <w:r>
        <w:rPr>
          <w:rFonts w:hint="eastAsia" w:hAnsi="宋体"/>
          <w:b/>
          <w:color w:val="FFFFFF"/>
          <w:sz w:val="32"/>
          <w:szCs w:val="32"/>
          <w:u w:val="single"/>
        </w:rPr>
        <w:t>司</w:t>
      </w:r>
      <w:r>
        <w:rPr>
          <w:rFonts w:hint="eastAsia" w:hAnsi="宋体"/>
          <w:b/>
          <w:sz w:val="32"/>
          <w:szCs w:val="32"/>
          <w:u w:val="single"/>
        </w:rPr>
        <w:t xml:space="preserve">                                                   </w:t>
      </w:r>
      <w:r>
        <w:rPr>
          <w:rFonts w:hint="eastAsia" w:hAnsi="宋体"/>
          <w:b/>
          <w:sz w:val="32"/>
          <w:szCs w:val="32"/>
        </w:rPr>
        <w:t xml:space="preserve"> </w:t>
      </w:r>
    </w:p>
    <w:p>
      <w:pPr>
        <w:spacing w:line="700" w:lineRule="exact"/>
        <w:rPr>
          <w:sz w:val="36"/>
          <w:szCs w:val="28"/>
        </w:rPr>
      </w:pPr>
    </w:p>
    <w:p>
      <w:pPr>
        <w:spacing w:line="400" w:lineRule="exact"/>
        <w:rPr>
          <w:sz w:val="36"/>
          <w:szCs w:val="28"/>
        </w:rPr>
      </w:pPr>
    </w:p>
    <w:p>
      <w:pPr>
        <w:spacing w:line="400" w:lineRule="exact"/>
        <w:rPr>
          <w:sz w:val="36"/>
          <w:szCs w:val="28"/>
        </w:rPr>
      </w:pPr>
    </w:p>
    <w:p>
      <w:pPr>
        <w:spacing w:line="700" w:lineRule="exact"/>
        <w:rPr>
          <w:sz w:val="36"/>
          <w:szCs w:val="28"/>
        </w:rPr>
      </w:pPr>
    </w:p>
    <w:p>
      <w:pPr>
        <w:pStyle w:val="40"/>
        <w:spacing w:line="360" w:lineRule="auto"/>
        <w:jc w:val="center"/>
        <w:rPr>
          <w:rFonts w:ascii="Times New Roman" w:hAnsi="Times New Roman"/>
          <w:bCs/>
          <w:sz w:val="30"/>
          <w:szCs w:val="30"/>
        </w:rPr>
      </w:pPr>
    </w:p>
    <w:p>
      <w:pPr>
        <w:spacing w:line="360" w:lineRule="auto"/>
        <w:jc w:val="center"/>
        <w:rPr>
          <w:rFonts w:hAnsi="宋体"/>
          <w:sz w:val="30"/>
          <w:szCs w:val="30"/>
          <w:lang w:val="en-US"/>
        </w:rPr>
      </w:pPr>
    </w:p>
    <w:p>
      <w:pPr>
        <w:spacing w:line="360" w:lineRule="auto"/>
        <w:rPr>
          <w:rFonts w:hAnsi="宋体"/>
          <w:sz w:val="30"/>
          <w:szCs w:val="30"/>
          <w:lang w:val="en-US"/>
        </w:rPr>
      </w:pPr>
    </w:p>
    <w:p>
      <w:pPr>
        <w:spacing w:line="360" w:lineRule="auto"/>
        <w:jc w:val="center"/>
        <w:rPr>
          <w:rFonts w:hAnsi="宋体"/>
          <w:sz w:val="30"/>
          <w:szCs w:val="30"/>
          <w:lang w:val="en-US"/>
        </w:rPr>
      </w:pPr>
    </w:p>
    <w:p>
      <w:pPr>
        <w:spacing w:line="360" w:lineRule="auto"/>
        <w:jc w:val="center"/>
        <w:rPr>
          <w:rFonts w:hAnsi="宋体"/>
          <w:color w:val="auto"/>
          <w:sz w:val="30"/>
          <w:szCs w:val="30"/>
          <w:lang w:val="en-US"/>
        </w:rPr>
      </w:pPr>
      <w:r>
        <w:rPr>
          <w:rFonts w:hAnsi="宋体"/>
          <w:color w:val="auto"/>
          <w:sz w:val="30"/>
          <w:szCs w:val="30"/>
          <w:lang w:val="en-US"/>
        </w:rPr>
        <w:t>编制日期：</w:t>
      </w:r>
      <w:r>
        <w:rPr>
          <w:color w:val="auto"/>
          <w:sz w:val="30"/>
          <w:szCs w:val="30"/>
          <w:lang w:val="en-US"/>
        </w:rPr>
        <w:t>20</w:t>
      </w:r>
      <w:r>
        <w:rPr>
          <w:rFonts w:hint="eastAsia"/>
          <w:color w:val="auto"/>
          <w:sz w:val="30"/>
          <w:szCs w:val="30"/>
          <w:lang w:val="en-US" w:eastAsia="zh-CN"/>
        </w:rPr>
        <w:t>20</w:t>
      </w:r>
      <w:r>
        <w:rPr>
          <w:rFonts w:hAnsi="宋体"/>
          <w:color w:val="auto"/>
          <w:sz w:val="30"/>
          <w:szCs w:val="30"/>
          <w:lang w:val="en-US"/>
        </w:rPr>
        <w:t>年</w:t>
      </w:r>
      <w:r>
        <w:rPr>
          <w:rFonts w:hint="eastAsia" w:hAnsi="宋体"/>
          <w:color w:val="auto"/>
          <w:sz w:val="30"/>
          <w:szCs w:val="30"/>
          <w:lang w:val="en-US" w:eastAsia="zh-CN"/>
        </w:rPr>
        <w:t>3</w:t>
      </w:r>
      <w:r>
        <w:rPr>
          <w:rFonts w:hAnsi="宋体"/>
          <w:color w:val="auto"/>
          <w:sz w:val="30"/>
          <w:szCs w:val="30"/>
          <w:lang w:val="en-US"/>
        </w:rPr>
        <w:t>月</w:t>
      </w:r>
    </w:p>
    <w:p>
      <w:pPr>
        <w:spacing w:line="360" w:lineRule="auto"/>
        <w:jc w:val="center"/>
        <w:rPr>
          <w:rFonts w:hAnsi="宋体"/>
          <w:sz w:val="30"/>
          <w:szCs w:val="30"/>
          <w:lang w:val="en-US"/>
        </w:rPr>
        <w:sectPr>
          <w:pgSz w:w="11907" w:h="16840"/>
          <w:pgMar w:top="1440" w:right="1800" w:bottom="1440" w:left="180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sz w:val="30"/>
          <w:szCs w:val="30"/>
          <w:lang w:val="en-US"/>
        </w:rPr>
        <w:t>江苏省环境保护厅制</w:t>
      </w:r>
    </w:p>
    <w:p>
      <w:pPr>
        <w:spacing w:after="240" w:afterLines="100" w:line="360" w:lineRule="auto"/>
        <w:jc w:val="center"/>
        <w:rPr>
          <w:b/>
          <w:sz w:val="36"/>
          <w:szCs w:val="36"/>
        </w:rPr>
      </w:pPr>
      <w:r>
        <w:rPr>
          <w:rFonts w:hAnsi="宋体"/>
          <w:b/>
          <w:sz w:val="36"/>
          <w:szCs w:val="36"/>
        </w:rPr>
        <w:t>《建设项目环境影响报告表》编制说明</w:t>
      </w:r>
    </w:p>
    <w:p>
      <w:pPr>
        <w:adjustRightInd w:val="0"/>
        <w:spacing w:line="360" w:lineRule="auto"/>
        <w:ind w:firstLine="565" w:firstLineChars="202"/>
        <w:rPr>
          <w:sz w:val="28"/>
          <w:szCs w:val="28"/>
        </w:rPr>
      </w:pPr>
      <w:r>
        <w:rPr>
          <w:rFonts w:hAnsi="宋体"/>
          <w:sz w:val="28"/>
          <w:szCs w:val="28"/>
        </w:rPr>
        <w:t>《建设项目环境影响报告表》由具有从事环境影响评价工作资质的单位编制。</w:t>
      </w:r>
    </w:p>
    <w:p>
      <w:pPr>
        <w:adjustRightInd w:val="0"/>
        <w:spacing w:line="360" w:lineRule="auto"/>
        <w:ind w:firstLine="565" w:firstLineChars="202"/>
        <w:rPr>
          <w:sz w:val="28"/>
          <w:szCs w:val="28"/>
        </w:rPr>
      </w:pPr>
      <w:r>
        <w:rPr>
          <w:rFonts w:hAnsi="宋体"/>
          <w:sz w:val="28"/>
          <w:szCs w:val="28"/>
        </w:rPr>
        <w:t>项目名称</w:t>
      </w:r>
      <w:r>
        <w:rPr>
          <w:sz w:val="28"/>
          <w:szCs w:val="28"/>
        </w:rPr>
        <w:t>──</w:t>
      </w:r>
      <w:r>
        <w:rPr>
          <w:rFonts w:hAnsi="宋体"/>
          <w:sz w:val="28"/>
          <w:szCs w:val="28"/>
        </w:rPr>
        <w:t>指项目立项批复时的名称，应不超过</w:t>
      </w:r>
      <w:r>
        <w:rPr>
          <w:sz w:val="28"/>
          <w:szCs w:val="28"/>
        </w:rPr>
        <w:t>30</w:t>
      </w:r>
      <w:r>
        <w:rPr>
          <w:rFonts w:hAnsi="宋体"/>
          <w:sz w:val="28"/>
          <w:szCs w:val="28"/>
        </w:rPr>
        <w:t>个字（两个英文字段作一个汉字）。</w:t>
      </w:r>
    </w:p>
    <w:p>
      <w:pPr>
        <w:adjustRightInd w:val="0"/>
        <w:spacing w:line="360" w:lineRule="auto"/>
        <w:ind w:firstLine="565" w:firstLineChars="202"/>
        <w:rPr>
          <w:sz w:val="28"/>
          <w:szCs w:val="28"/>
        </w:rPr>
      </w:pPr>
      <w:r>
        <w:rPr>
          <w:rFonts w:hAnsi="宋体"/>
          <w:sz w:val="28"/>
          <w:szCs w:val="28"/>
        </w:rPr>
        <w:t>建设地点</w:t>
      </w:r>
      <w:r>
        <w:rPr>
          <w:sz w:val="28"/>
          <w:szCs w:val="28"/>
        </w:rPr>
        <w:t>──</w:t>
      </w:r>
      <w:r>
        <w:rPr>
          <w:rFonts w:hAnsi="宋体"/>
          <w:sz w:val="28"/>
          <w:szCs w:val="28"/>
        </w:rPr>
        <w:t>指项目所在地详细地址，道路、铁路应填写起止地点。</w:t>
      </w:r>
    </w:p>
    <w:p>
      <w:pPr>
        <w:adjustRightInd w:val="0"/>
        <w:spacing w:line="360" w:lineRule="auto"/>
        <w:ind w:firstLine="565" w:firstLineChars="202"/>
        <w:rPr>
          <w:sz w:val="28"/>
          <w:szCs w:val="28"/>
        </w:rPr>
      </w:pPr>
      <w:r>
        <w:rPr>
          <w:rFonts w:hAnsi="宋体"/>
          <w:sz w:val="28"/>
          <w:szCs w:val="28"/>
        </w:rPr>
        <w:t>行业类别</w:t>
      </w:r>
      <w:r>
        <w:rPr>
          <w:sz w:val="28"/>
          <w:szCs w:val="28"/>
        </w:rPr>
        <w:t>──</w:t>
      </w:r>
      <w:r>
        <w:rPr>
          <w:rFonts w:hAnsi="宋体"/>
          <w:sz w:val="28"/>
          <w:szCs w:val="28"/>
        </w:rPr>
        <w:t>按国标填写。</w:t>
      </w:r>
    </w:p>
    <w:p>
      <w:pPr>
        <w:adjustRightInd w:val="0"/>
        <w:spacing w:line="360" w:lineRule="auto"/>
        <w:ind w:firstLine="565" w:firstLineChars="202"/>
        <w:rPr>
          <w:sz w:val="28"/>
          <w:szCs w:val="28"/>
        </w:rPr>
      </w:pPr>
      <w:r>
        <w:rPr>
          <w:rFonts w:hAnsi="宋体"/>
          <w:sz w:val="28"/>
          <w:szCs w:val="28"/>
        </w:rPr>
        <w:t>总投资</w:t>
      </w:r>
      <w:r>
        <w:rPr>
          <w:sz w:val="28"/>
          <w:szCs w:val="28"/>
        </w:rPr>
        <w:t>──</w:t>
      </w:r>
      <w:r>
        <w:rPr>
          <w:rFonts w:hAnsi="宋体"/>
          <w:sz w:val="28"/>
          <w:szCs w:val="28"/>
        </w:rPr>
        <w:t>指项目投资总额。</w:t>
      </w:r>
    </w:p>
    <w:p>
      <w:pPr>
        <w:adjustRightInd w:val="0"/>
        <w:spacing w:line="360" w:lineRule="auto"/>
        <w:ind w:firstLine="565" w:firstLineChars="202"/>
        <w:rPr>
          <w:sz w:val="28"/>
          <w:szCs w:val="28"/>
        </w:rPr>
      </w:pPr>
      <w:r>
        <w:rPr>
          <w:rFonts w:hAnsi="宋体"/>
          <w:sz w:val="28"/>
          <w:szCs w:val="28"/>
        </w:rPr>
        <w:t>主要环境保护目标</w:t>
      </w:r>
      <w:r>
        <w:rPr>
          <w:sz w:val="28"/>
          <w:szCs w:val="28"/>
        </w:rPr>
        <w:t>──</w:t>
      </w:r>
      <w:r>
        <w:rPr>
          <w:rFonts w:hAnsi="宋体"/>
          <w:sz w:val="28"/>
          <w:szCs w:val="28"/>
        </w:rPr>
        <w:t>指项目区周围一定范围内集中居民住宅区、学校、医院、保护文物、风景名胜区、水源地和生态敏感点等，应尽可能给出保护目标、性质、规模和距厂界距离等。</w:t>
      </w:r>
    </w:p>
    <w:p>
      <w:pPr>
        <w:adjustRightInd w:val="0"/>
        <w:spacing w:line="360" w:lineRule="auto"/>
        <w:ind w:firstLine="565" w:firstLineChars="202"/>
        <w:rPr>
          <w:sz w:val="28"/>
          <w:szCs w:val="28"/>
        </w:rPr>
      </w:pPr>
      <w:r>
        <w:rPr>
          <w:rFonts w:hAnsi="宋体"/>
          <w:sz w:val="28"/>
          <w:szCs w:val="28"/>
        </w:rPr>
        <w:t>结论与建议</w:t>
      </w:r>
      <w:r>
        <w:rPr>
          <w:sz w:val="28"/>
          <w:szCs w:val="28"/>
        </w:rPr>
        <w:t>──</w:t>
      </w:r>
      <w:r>
        <w:rPr>
          <w:rFonts w:hAnsi="宋体"/>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adjustRightInd w:val="0"/>
        <w:spacing w:line="360" w:lineRule="auto"/>
        <w:ind w:firstLine="565" w:firstLineChars="202"/>
        <w:rPr>
          <w:sz w:val="28"/>
          <w:szCs w:val="28"/>
        </w:rPr>
      </w:pPr>
      <w:r>
        <w:rPr>
          <w:rFonts w:hAnsi="宋体"/>
          <w:sz w:val="28"/>
          <w:szCs w:val="28"/>
        </w:rPr>
        <w:t>预审意见</w:t>
      </w:r>
      <w:r>
        <w:rPr>
          <w:sz w:val="28"/>
          <w:szCs w:val="28"/>
        </w:rPr>
        <w:t>──</w:t>
      </w:r>
      <w:r>
        <w:rPr>
          <w:rFonts w:hAnsi="宋体"/>
          <w:sz w:val="28"/>
          <w:szCs w:val="28"/>
        </w:rPr>
        <w:t>由行业主管部门填写答复意见，无主管部门项目，可不填。</w:t>
      </w:r>
    </w:p>
    <w:p>
      <w:pPr>
        <w:adjustRightInd w:val="0"/>
        <w:spacing w:line="360" w:lineRule="auto"/>
        <w:ind w:firstLine="565" w:firstLineChars="202"/>
        <w:rPr>
          <w:rFonts w:hAnsi="宋体"/>
          <w:sz w:val="28"/>
          <w:szCs w:val="28"/>
        </w:rPr>
        <w:sectPr>
          <w:headerReference r:id="rId3" w:type="default"/>
          <w:footerReference r:id="rId4"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Ansi="宋体"/>
          <w:sz w:val="28"/>
          <w:szCs w:val="28"/>
        </w:rPr>
        <w:t>审批意见</w:t>
      </w:r>
      <w:r>
        <w:rPr>
          <w:sz w:val="28"/>
          <w:szCs w:val="28"/>
        </w:rPr>
        <w:t>──</w:t>
      </w:r>
      <w:r>
        <w:rPr>
          <w:rFonts w:hAnsi="宋体"/>
          <w:sz w:val="28"/>
          <w:szCs w:val="28"/>
        </w:rPr>
        <w:t>由负责审批该项目的环境保护行政主管部门批复。</w:t>
      </w:r>
    </w:p>
    <w:p>
      <w:pPr>
        <w:adjustRightInd w:val="0"/>
        <w:spacing w:line="360" w:lineRule="auto"/>
        <w:jc w:val="center"/>
        <w:rPr>
          <w:b/>
          <w:kern w:val="0"/>
          <w:sz w:val="36"/>
          <w:szCs w:val="36"/>
        </w:rPr>
      </w:pPr>
      <w:r>
        <w:rPr>
          <w:rFonts w:hAnsi="宋体"/>
          <w:b/>
          <w:kern w:val="0"/>
          <w:sz w:val="36"/>
          <w:szCs w:val="36"/>
        </w:rPr>
        <w:t>目</w:t>
      </w:r>
      <w:r>
        <w:rPr>
          <w:b/>
          <w:kern w:val="0"/>
          <w:sz w:val="36"/>
          <w:szCs w:val="36"/>
        </w:rPr>
        <w:t xml:space="preserve"> </w:t>
      </w:r>
      <w:r>
        <w:rPr>
          <w:rFonts w:hAnsi="宋体"/>
          <w:b/>
          <w:kern w:val="0"/>
          <w:sz w:val="36"/>
          <w:szCs w:val="36"/>
        </w:rPr>
        <w:t>录</w:t>
      </w:r>
    </w:p>
    <w:p>
      <w:pPr>
        <w:pStyle w:val="51"/>
        <w:tabs>
          <w:tab w:val="right" w:leader="dot" w:pos="8313"/>
        </w:tabs>
      </w:pPr>
      <w:r>
        <w:rPr>
          <w:sz w:val="24"/>
        </w:rPr>
        <w:fldChar w:fldCharType="begin"/>
      </w:r>
      <w:r>
        <w:rPr>
          <w:sz w:val="24"/>
        </w:rPr>
        <w:instrText xml:space="preserve"> TOC \o "1-1" \h \z \u </w:instrText>
      </w:r>
      <w:r>
        <w:rPr>
          <w:sz w:val="24"/>
        </w:rPr>
        <w:fldChar w:fldCharType="separate"/>
      </w:r>
      <w:r>
        <w:fldChar w:fldCharType="begin"/>
      </w:r>
      <w:r>
        <w:instrText xml:space="preserve"> HYPERLINK \l _Toc28167 </w:instrText>
      </w:r>
      <w:r>
        <w:fldChar w:fldCharType="separate"/>
      </w:r>
      <w:r>
        <w:rPr>
          <w:bCs w:val="0"/>
          <w:spacing w:val="0"/>
          <w:kern w:val="0"/>
          <w:szCs w:val="32"/>
        </w:rPr>
        <w:t>1</w:t>
      </w:r>
      <w:r>
        <w:rPr>
          <w:rFonts w:hAnsi="宋体"/>
          <w:bCs w:val="0"/>
          <w:spacing w:val="0"/>
          <w:kern w:val="0"/>
          <w:szCs w:val="32"/>
        </w:rPr>
        <w:t>、建设项目基本情况</w:t>
      </w:r>
      <w:r>
        <w:tab/>
      </w:r>
      <w:r>
        <w:fldChar w:fldCharType="begin"/>
      </w:r>
      <w:r>
        <w:instrText xml:space="preserve"> PAGEREF _Toc28167 </w:instrText>
      </w:r>
      <w:r>
        <w:fldChar w:fldCharType="separate"/>
      </w:r>
      <w:r>
        <w:t>4</w:t>
      </w:r>
      <w:r>
        <w:fldChar w:fldCharType="end"/>
      </w:r>
      <w:r>
        <w:fldChar w:fldCharType="end"/>
      </w:r>
    </w:p>
    <w:p>
      <w:pPr>
        <w:pStyle w:val="51"/>
        <w:tabs>
          <w:tab w:val="right" w:leader="dot" w:pos="8313"/>
        </w:tabs>
      </w:pPr>
      <w:r>
        <w:fldChar w:fldCharType="begin"/>
      </w:r>
      <w:r>
        <w:instrText xml:space="preserve"> HYPERLINK \l _Toc12276 </w:instrText>
      </w:r>
      <w:r>
        <w:fldChar w:fldCharType="separate"/>
      </w:r>
      <w:r>
        <w:rPr>
          <w:bCs w:val="0"/>
          <w:spacing w:val="0"/>
          <w:kern w:val="0"/>
          <w:szCs w:val="32"/>
        </w:rPr>
        <w:t>2</w:t>
      </w:r>
      <w:r>
        <w:rPr>
          <w:rFonts w:hAnsi="宋体"/>
          <w:bCs w:val="0"/>
          <w:spacing w:val="0"/>
          <w:kern w:val="0"/>
          <w:szCs w:val="32"/>
        </w:rPr>
        <w:t>、项目所在地自然环境社会环境简况</w:t>
      </w:r>
      <w:r>
        <w:tab/>
      </w:r>
      <w:r>
        <w:fldChar w:fldCharType="begin"/>
      </w:r>
      <w:r>
        <w:instrText xml:space="preserve"> PAGEREF _Toc12276 </w:instrText>
      </w:r>
      <w:r>
        <w:fldChar w:fldCharType="separate"/>
      </w:r>
      <w:r>
        <w:t>9</w:t>
      </w:r>
      <w:r>
        <w:fldChar w:fldCharType="end"/>
      </w:r>
      <w:r>
        <w:fldChar w:fldCharType="end"/>
      </w:r>
    </w:p>
    <w:p>
      <w:pPr>
        <w:pStyle w:val="51"/>
        <w:tabs>
          <w:tab w:val="right" w:leader="dot" w:pos="8313"/>
        </w:tabs>
      </w:pPr>
      <w:r>
        <w:fldChar w:fldCharType="begin"/>
      </w:r>
      <w:r>
        <w:instrText xml:space="preserve"> HYPERLINK \l _Toc12498 </w:instrText>
      </w:r>
      <w:r>
        <w:fldChar w:fldCharType="separate"/>
      </w:r>
      <w:r>
        <w:rPr>
          <w:bCs w:val="0"/>
          <w:spacing w:val="0"/>
          <w:kern w:val="0"/>
          <w:szCs w:val="32"/>
        </w:rPr>
        <w:t>3</w:t>
      </w:r>
      <w:r>
        <w:rPr>
          <w:rFonts w:hAnsi="宋体"/>
          <w:bCs w:val="0"/>
          <w:spacing w:val="0"/>
          <w:kern w:val="0"/>
          <w:szCs w:val="32"/>
        </w:rPr>
        <w:t>、环境质量状况</w:t>
      </w:r>
      <w:r>
        <w:tab/>
      </w:r>
      <w:r>
        <w:fldChar w:fldCharType="begin"/>
      </w:r>
      <w:r>
        <w:instrText xml:space="preserve"> PAGEREF _Toc12498 </w:instrText>
      </w:r>
      <w:r>
        <w:fldChar w:fldCharType="separate"/>
      </w:r>
      <w:r>
        <w:t>13</w:t>
      </w:r>
      <w:r>
        <w:fldChar w:fldCharType="end"/>
      </w:r>
      <w:r>
        <w:fldChar w:fldCharType="end"/>
      </w:r>
    </w:p>
    <w:p>
      <w:pPr>
        <w:pStyle w:val="51"/>
        <w:tabs>
          <w:tab w:val="right" w:leader="dot" w:pos="8313"/>
        </w:tabs>
      </w:pPr>
      <w:r>
        <w:fldChar w:fldCharType="begin"/>
      </w:r>
      <w:r>
        <w:instrText xml:space="preserve"> HYPERLINK \l _Toc29962 </w:instrText>
      </w:r>
      <w:r>
        <w:fldChar w:fldCharType="separate"/>
      </w:r>
      <w:r>
        <w:rPr>
          <w:bCs w:val="0"/>
          <w:spacing w:val="0"/>
          <w:kern w:val="0"/>
          <w:szCs w:val="32"/>
        </w:rPr>
        <w:t>4</w:t>
      </w:r>
      <w:r>
        <w:rPr>
          <w:rFonts w:hAnsi="宋体"/>
          <w:bCs w:val="0"/>
          <w:spacing w:val="0"/>
          <w:kern w:val="0"/>
          <w:szCs w:val="32"/>
        </w:rPr>
        <w:t>、评价适用标准</w:t>
      </w:r>
      <w:r>
        <w:tab/>
      </w:r>
      <w:r>
        <w:fldChar w:fldCharType="begin"/>
      </w:r>
      <w:r>
        <w:instrText xml:space="preserve"> PAGEREF _Toc29962 </w:instrText>
      </w:r>
      <w:r>
        <w:fldChar w:fldCharType="separate"/>
      </w:r>
      <w:r>
        <w:t>16</w:t>
      </w:r>
      <w:r>
        <w:fldChar w:fldCharType="end"/>
      </w:r>
      <w:r>
        <w:fldChar w:fldCharType="end"/>
      </w:r>
    </w:p>
    <w:p>
      <w:pPr>
        <w:pStyle w:val="51"/>
        <w:tabs>
          <w:tab w:val="right" w:leader="dot" w:pos="8313"/>
        </w:tabs>
      </w:pPr>
      <w:r>
        <w:fldChar w:fldCharType="begin"/>
      </w:r>
      <w:r>
        <w:instrText xml:space="preserve"> HYPERLINK \l _Toc5147 </w:instrText>
      </w:r>
      <w:r>
        <w:fldChar w:fldCharType="separate"/>
      </w:r>
      <w:r>
        <w:rPr>
          <w:bCs w:val="0"/>
          <w:spacing w:val="0"/>
          <w:kern w:val="0"/>
          <w:szCs w:val="32"/>
        </w:rPr>
        <w:t>5</w:t>
      </w:r>
      <w:r>
        <w:rPr>
          <w:rFonts w:hAnsi="宋体"/>
          <w:bCs w:val="0"/>
          <w:spacing w:val="0"/>
          <w:kern w:val="0"/>
          <w:szCs w:val="32"/>
        </w:rPr>
        <w:t>、建设项目工程分析</w:t>
      </w:r>
      <w:r>
        <w:tab/>
      </w:r>
      <w:r>
        <w:fldChar w:fldCharType="begin"/>
      </w:r>
      <w:r>
        <w:instrText xml:space="preserve"> PAGEREF _Toc5147 </w:instrText>
      </w:r>
      <w:r>
        <w:fldChar w:fldCharType="separate"/>
      </w:r>
      <w:r>
        <w:t>20</w:t>
      </w:r>
      <w:r>
        <w:fldChar w:fldCharType="end"/>
      </w:r>
      <w:r>
        <w:fldChar w:fldCharType="end"/>
      </w:r>
    </w:p>
    <w:p>
      <w:pPr>
        <w:pStyle w:val="51"/>
        <w:tabs>
          <w:tab w:val="right" w:leader="dot" w:pos="8313"/>
        </w:tabs>
      </w:pPr>
      <w:r>
        <w:fldChar w:fldCharType="begin"/>
      </w:r>
      <w:r>
        <w:instrText xml:space="preserve"> HYPERLINK \l _Toc29484 </w:instrText>
      </w:r>
      <w:r>
        <w:fldChar w:fldCharType="separate"/>
      </w:r>
      <w:r>
        <w:rPr>
          <w:rFonts w:hint="eastAsia" w:hAnsi="宋体"/>
          <w:bCs w:val="0"/>
          <w:spacing w:val="0"/>
          <w:kern w:val="0"/>
          <w:szCs w:val="32"/>
          <w:lang w:val="en-US"/>
        </w:rPr>
        <w:t>6</w:t>
      </w:r>
      <w:r>
        <w:rPr>
          <w:rFonts w:hAnsi="宋体"/>
          <w:bCs w:val="0"/>
          <w:spacing w:val="0"/>
          <w:kern w:val="0"/>
          <w:szCs w:val="32"/>
        </w:rPr>
        <w:t>、项目主要污染物产生及预计排放情况</w:t>
      </w:r>
      <w:r>
        <w:tab/>
      </w:r>
      <w:r>
        <w:fldChar w:fldCharType="begin"/>
      </w:r>
      <w:r>
        <w:instrText xml:space="preserve"> PAGEREF _Toc29484 </w:instrText>
      </w:r>
      <w:r>
        <w:fldChar w:fldCharType="separate"/>
      </w:r>
      <w:r>
        <w:t>25</w:t>
      </w:r>
      <w:r>
        <w:fldChar w:fldCharType="end"/>
      </w:r>
      <w:r>
        <w:fldChar w:fldCharType="end"/>
      </w:r>
    </w:p>
    <w:p>
      <w:pPr>
        <w:pStyle w:val="51"/>
        <w:tabs>
          <w:tab w:val="right" w:leader="dot" w:pos="8313"/>
        </w:tabs>
      </w:pPr>
      <w:r>
        <w:fldChar w:fldCharType="begin"/>
      </w:r>
      <w:r>
        <w:instrText xml:space="preserve"> HYPERLINK \l _Toc25306 </w:instrText>
      </w:r>
      <w:r>
        <w:fldChar w:fldCharType="separate"/>
      </w:r>
      <w:r>
        <w:rPr>
          <w:bCs w:val="0"/>
          <w:spacing w:val="0"/>
          <w:kern w:val="0"/>
          <w:szCs w:val="32"/>
        </w:rPr>
        <w:t>7</w:t>
      </w:r>
      <w:r>
        <w:rPr>
          <w:rFonts w:hAnsi="宋体"/>
          <w:bCs w:val="0"/>
          <w:spacing w:val="0"/>
          <w:kern w:val="0"/>
          <w:szCs w:val="32"/>
        </w:rPr>
        <w:t>、环境影响分析</w:t>
      </w:r>
      <w:r>
        <w:tab/>
      </w:r>
      <w:r>
        <w:fldChar w:fldCharType="begin"/>
      </w:r>
      <w:r>
        <w:instrText xml:space="preserve"> PAGEREF _Toc25306 </w:instrText>
      </w:r>
      <w:r>
        <w:fldChar w:fldCharType="separate"/>
      </w:r>
      <w:r>
        <w:t>26</w:t>
      </w:r>
      <w:r>
        <w:fldChar w:fldCharType="end"/>
      </w:r>
      <w:r>
        <w:fldChar w:fldCharType="end"/>
      </w:r>
    </w:p>
    <w:p>
      <w:pPr>
        <w:pStyle w:val="51"/>
        <w:tabs>
          <w:tab w:val="right" w:leader="dot" w:pos="8313"/>
        </w:tabs>
      </w:pPr>
      <w:r>
        <w:fldChar w:fldCharType="begin"/>
      </w:r>
      <w:r>
        <w:instrText xml:space="preserve"> HYPERLINK \l _Toc26651 </w:instrText>
      </w:r>
      <w:r>
        <w:fldChar w:fldCharType="separate"/>
      </w:r>
      <w:r>
        <w:rPr>
          <w:bCs w:val="0"/>
          <w:spacing w:val="0"/>
          <w:kern w:val="0"/>
          <w:szCs w:val="32"/>
        </w:rPr>
        <w:t>8</w:t>
      </w:r>
      <w:r>
        <w:rPr>
          <w:rFonts w:hAnsi="宋体"/>
          <w:bCs w:val="0"/>
          <w:spacing w:val="0"/>
          <w:kern w:val="0"/>
          <w:szCs w:val="32"/>
        </w:rPr>
        <w:t>、建设项目拟采取的防治措施及预期治理效果</w:t>
      </w:r>
      <w:r>
        <w:tab/>
      </w:r>
      <w:r>
        <w:fldChar w:fldCharType="begin"/>
      </w:r>
      <w:r>
        <w:instrText xml:space="preserve"> PAGEREF _Toc26651 </w:instrText>
      </w:r>
      <w:r>
        <w:fldChar w:fldCharType="separate"/>
      </w:r>
      <w:r>
        <w:t>44</w:t>
      </w:r>
      <w:r>
        <w:fldChar w:fldCharType="end"/>
      </w:r>
      <w:r>
        <w:fldChar w:fldCharType="end"/>
      </w:r>
    </w:p>
    <w:p>
      <w:pPr>
        <w:pStyle w:val="51"/>
        <w:tabs>
          <w:tab w:val="right" w:leader="dot" w:pos="8313"/>
        </w:tabs>
      </w:pPr>
      <w:r>
        <w:fldChar w:fldCharType="begin"/>
      </w:r>
      <w:r>
        <w:instrText xml:space="preserve"> HYPERLINK \l _Toc10921 </w:instrText>
      </w:r>
      <w:r>
        <w:fldChar w:fldCharType="separate"/>
      </w:r>
      <w:r>
        <w:rPr>
          <w:bCs w:val="0"/>
          <w:spacing w:val="0"/>
          <w:kern w:val="0"/>
          <w:szCs w:val="32"/>
        </w:rPr>
        <w:t>9</w:t>
      </w:r>
      <w:r>
        <w:rPr>
          <w:rFonts w:hAnsi="宋体"/>
          <w:bCs w:val="0"/>
          <w:spacing w:val="0"/>
          <w:kern w:val="0"/>
          <w:szCs w:val="32"/>
        </w:rPr>
        <w:t>、结论与建议</w:t>
      </w:r>
      <w:r>
        <w:tab/>
      </w:r>
      <w:r>
        <w:fldChar w:fldCharType="begin"/>
      </w:r>
      <w:r>
        <w:instrText xml:space="preserve"> PAGEREF _Toc10921 </w:instrText>
      </w:r>
      <w:r>
        <w:fldChar w:fldCharType="separate"/>
      </w:r>
      <w:r>
        <w:t>45</w:t>
      </w:r>
      <w:r>
        <w:fldChar w:fldCharType="end"/>
      </w:r>
      <w:r>
        <w:fldChar w:fldCharType="end"/>
      </w:r>
    </w:p>
    <w:p>
      <w:pPr>
        <w:adjustRightInd w:val="0"/>
        <w:snapToGrid w:val="0"/>
        <w:spacing w:line="360" w:lineRule="auto"/>
        <w:rPr>
          <w:sz w:val="24"/>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fldChar w:fldCharType="end"/>
      </w:r>
    </w:p>
    <w:p>
      <w:pPr>
        <w:adjustRightInd w:val="0"/>
        <w:snapToGrid w:val="0"/>
        <w:spacing w:line="360" w:lineRule="auto"/>
        <w:rPr>
          <w:b/>
          <w:sz w:val="24"/>
        </w:rPr>
      </w:pPr>
      <w:r>
        <w:rPr>
          <w:rFonts w:hAnsi="宋体"/>
          <w:b/>
          <w:sz w:val="24"/>
        </w:rPr>
        <w:t>附图：</w:t>
      </w:r>
      <w:r>
        <w:rPr>
          <w:b/>
          <w:sz w:val="24"/>
        </w:rPr>
        <w:t xml:space="preserve"> </w:t>
      </w:r>
    </w:p>
    <w:p>
      <w:pPr>
        <w:tabs>
          <w:tab w:val="right" w:leader="dot" w:pos="8610"/>
          <w:tab w:val="right" w:leader="dot" w:pos="8820"/>
          <w:tab w:val="right" w:leader="dot" w:pos="8925"/>
        </w:tabs>
        <w:adjustRightInd w:val="0"/>
        <w:snapToGrid w:val="0"/>
        <w:spacing w:line="360" w:lineRule="auto"/>
        <w:rPr>
          <w:sz w:val="24"/>
        </w:rPr>
      </w:pPr>
      <w:r>
        <w:rPr>
          <w:rFonts w:hAnsi="宋体"/>
          <w:sz w:val="24"/>
        </w:rPr>
        <w:t>附图</w:t>
      </w:r>
      <w:r>
        <w:rPr>
          <w:sz w:val="24"/>
        </w:rPr>
        <w:t>1</w:t>
      </w:r>
      <w:r>
        <w:rPr>
          <w:rFonts w:hAnsi="宋体"/>
          <w:sz w:val="24"/>
        </w:rPr>
        <w:t>：建设项目地理位置图</w:t>
      </w:r>
    </w:p>
    <w:p>
      <w:pPr>
        <w:adjustRightInd w:val="0"/>
        <w:snapToGrid w:val="0"/>
        <w:spacing w:line="360" w:lineRule="auto"/>
        <w:rPr>
          <w:rFonts w:hAnsi="宋体"/>
          <w:sz w:val="24"/>
        </w:rPr>
      </w:pPr>
      <w:r>
        <w:rPr>
          <w:rFonts w:hAnsi="宋体"/>
          <w:sz w:val="24"/>
          <w:szCs w:val="24"/>
        </w:rPr>
        <w:t>附图</w:t>
      </w:r>
      <w:r>
        <w:rPr>
          <w:sz w:val="24"/>
          <w:szCs w:val="24"/>
        </w:rPr>
        <w:t>2</w:t>
      </w:r>
      <w:r>
        <w:rPr>
          <w:rFonts w:hint="eastAsia"/>
          <w:sz w:val="24"/>
          <w:szCs w:val="24"/>
        </w:rPr>
        <w:t>：</w:t>
      </w:r>
      <w:r>
        <w:rPr>
          <w:rFonts w:hAnsi="宋体"/>
          <w:sz w:val="24"/>
        </w:rPr>
        <w:t>建设项目周围环境</w:t>
      </w:r>
      <w:r>
        <w:rPr>
          <w:rFonts w:hint="eastAsia" w:hAnsi="宋体"/>
          <w:sz w:val="24"/>
        </w:rPr>
        <w:t>示意图</w:t>
      </w:r>
    </w:p>
    <w:p>
      <w:pPr>
        <w:adjustRightInd w:val="0"/>
        <w:snapToGrid w:val="0"/>
        <w:spacing w:line="360" w:lineRule="auto"/>
        <w:rPr>
          <w:rFonts w:hAnsi="宋体"/>
          <w:sz w:val="24"/>
        </w:rPr>
      </w:pPr>
      <w:r>
        <w:rPr>
          <w:rFonts w:hint="eastAsia" w:hAnsi="宋体"/>
          <w:sz w:val="24"/>
        </w:rPr>
        <w:t>附图3：建设项目车间平面布置图</w:t>
      </w:r>
    </w:p>
    <w:p>
      <w:pPr>
        <w:adjustRightInd w:val="0"/>
        <w:snapToGrid w:val="0"/>
        <w:spacing w:line="360" w:lineRule="auto"/>
        <w:rPr>
          <w:rFonts w:hAnsi="宋体"/>
          <w:sz w:val="24"/>
          <w:lang w:val="en-US"/>
        </w:rPr>
      </w:pPr>
      <w:r>
        <w:rPr>
          <w:rFonts w:hint="eastAsia" w:hAnsi="宋体"/>
          <w:sz w:val="24"/>
        </w:rPr>
        <w:t>附图</w:t>
      </w:r>
      <w:r>
        <w:rPr>
          <w:rFonts w:hint="eastAsia" w:hAnsi="宋体"/>
          <w:sz w:val="24"/>
          <w:lang w:val="en-US"/>
        </w:rPr>
        <w:t>4：</w:t>
      </w:r>
      <w:r>
        <w:rPr>
          <w:rFonts w:hint="eastAsia" w:hAnsi="宋体"/>
          <w:sz w:val="24"/>
        </w:rPr>
        <w:t>建设项目厂区平面布置图</w:t>
      </w:r>
    </w:p>
    <w:p>
      <w:pPr>
        <w:adjustRightInd w:val="0"/>
        <w:snapToGrid w:val="0"/>
        <w:spacing w:line="360" w:lineRule="auto"/>
        <w:rPr>
          <w:rFonts w:hAnsi="宋体"/>
          <w:sz w:val="24"/>
        </w:rPr>
      </w:pPr>
      <w:r>
        <w:rPr>
          <w:rFonts w:hint="eastAsia" w:hAnsi="宋体"/>
          <w:sz w:val="24"/>
        </w:rPr>
        <w:t>附图</w:t>
      </w:r>
      <w:r>
        <w:rPr>
          <w:rFonts w:hint="eastAsia" w:hAnsi="宋体"/>
          <w:sz w:val="24"/>
          <w:lang w:val="en-US"/>
        </w:rPr>
        <w:t>5：</w:t>
      </w:r>
      <w:r>
        <w:rPr>
          <w:rFonts w:hAnsi="宋体"/>
          <w:sz w:val="24"/>
        </w:rPr>
        <w:t>建设项目</w:t>
      </w:r>
      <w:r>
        <w:rPr>
          <w:rFonts w:hint="eastAsia" w:hAnsi="宋体"/>
          <w:sz w:val="24"/>
        </w:rPr>
        <w:t>任墅工业集中区</w:t>
      </w:r>
      <w:r>
        <w:rPr>
          <w:rFonts w:hAnsi="宋体"/>
          <w:sz w:val="24"/>
        </w:rPr>
        <w:t>地理位置</w:t>
      </w:r>
      <w:r>
        <w:rPr>
          <w:rFonts w:hint="eastAsia" w:hAnsi="宋体"/>
          <w:sz w:val="24"/>
        </w:rPr>
        <w:t>图</w:t>
      </w:r>
    </w:p>
    <w:p>
      <w:pPr>
        <w:adjustRightInd w:val="0"/>
        <w:snapToGrid w:val="0"/>
        <w:spacing w:line="360" w:lineRule="auto"/>
        <w:rPr>
          <w:rFonts w:hAnsi="宋体"/>
          <w:sz w:val="24"/>
        </w:rPr>
      </w:pPr>
      <w:r>
        <w:rPr>
          <w:rFonts w:hint="eastAsia" w:hAnsi="宋体"/>
          <w:sz w:val="24"/>
        </w:rPr>
        <w:t>附图</w:t>
      </w:r>
      <w:r>
        <w:rPr>
          <w:rFonts w:hint="eastAsia" w:hAnsi="宋体"/>
          <w:sz w:val="24"/>
          <w:lang w:val="en-US"/>
        </w:rPr>
        <w:t>6：</w:t>
      </w:r>
      <w:r>
        <w:rPr>
          <w:rFonts w:hAnsi="宋体"/>
          <w:sz w:val="24"/>
        </w:rPr>
        <w:t>建设项目与宜兴市生态红线地理位置关系图</w:t>
      </w:r>
    </w:p>
    <w:p>
      <w:pPr>
        <w:adjustRightInd w:val="0"/>
        <w:snapToGrid w:val="0"/>
        <w:spacing w:line="360" w:lineRule="auto"/>
        <w:rPr>
          <w:rFonts w:hAnsi="宋体"/>
          <w:b/>
          <w:sz w:val="24"/>
        </w:rPr>
      </w:pPr>
    </w:p>
    <w:p>
      <w:pPr>
        <w:adjustRightInd w:val="0"/>
        <w:snapToGrid w:val="0"/>
        <w:spacing w:line="360" w:lineRule="auto"/>
        <w:rPr>
          <w:b/>
          <w:sz w:val="24"/>
        </w:rPr>
      </w:pPr>
      <w:r>
        <w:rPr>
          <w:rFonts w:hAnsi="宋体"/>
          <w:b/>
          <w:sz w:val="24"/>
        </w:rPr>
        <w:t>附件：</w:t>
      </w:r>
    </w:p>
    <w:p>
      <w:pPr>
        <w:adjustRightInd w:val="0"/>
        <w:snapToGrid w:val="0"/>
        <w:spacing w:line="360" w:lineRule="auto"/>
        <w:rPr>
          <w:sz w:val="24"/>
        </w:rPr>
      </w:pPr>
      <w:bookmarkStart w:id="0" w:name="_Toc28167"/>
      <w:bookmarkStart w:id="1" w:name="_Toc367970824"/>
      <w:bookmarkStart w:id="2" w:name="_Toc367970630"/>
      <w:bookmarkStart w:id="3" w:name="_Toc279473126"/>
      <w:bookmarkStart w:id="4" w:name="_Toc279911128"/>
      <w:bookmarkStart w:id="5" w:name="_Toc279277645"/>
      <w:bookmarkStart w:id="6" w:name="_Toc367970385"/>
      <w:bookmarkStart w:id="7" w:name="_Toc289449138"/>
      <w:r>
        <w:rPr>
          <w:rFonts w:hAnsi="宋体"/>
          <w:sz w:val="24"/>
        </w:rPr>
        <w:t>附件</w:t>
      </w:r>
      <w:r>
        <w:rPr>
          <w:sz w:val="24"/>
        </w:rPr>
        <w:t>1</w:t>
      </w:r>
      <w:r>
        <w:rPr>
          <w:rFonts w:hAnsi="宋体"/>
          <w:sz w:val="24"/>
        </w:rPr>
        <w:t>：</w:t>
      </w:r>
      <w:r>
        <w:rPr>
          <w:rFonts w:hint="eastAsia" w:hAnsi="宋体"/>
          <w:sz w:val="24"/>
        </w:rPr>
        <w:t>立项文件</w:t>
      </w:r>
    </w:p>
    <w:p>
      <w:pPr>
        <w:adjustRightInd w:val="0"/>
        <w:snapToGrid w:val="0"/>
        <w:spacing w:line="360" w:lineRule="auto"/>
        <w:rPr>
          <w:rFonts w:hint="eastAsia" w:hAnsi="宋体"/>
          <w:sz w:val="24"/>
        </w:rPr>
      </w:pPr>
      <w:r>
        <w:rPr>
          <w:rFonts w:hint="eastAsia" w:hAnsi="宋体"/>
          <w:sz w:val="24"/>
        </w:rPr>
        <w:t>附件2：排水方案审查意见书</w:t>
      </w:r>
    </w:p>
    <w:p>
      <w:pPr>
        <w:pStyle w:val="2"/>
        <w:rPr>
          <w:rFonts w:hint="eastAsia" w:eastAsia="宋体"/>
          <w:lang w:eastAsia="zh-CN"/>
        </w:rPr>
      </w:pPr>
      <w:r>
        <w:rPr>
          <w:rFonts w:hint="eastAsia" w:hAnsi="宋体"/>
          <w:sz w:val="24"/>
        </w:rPr>
        <w:t>附件3：</w:t>
      </w:r>
      <w:r>
        <w:rPr>
          <w:rFonts w:hint="eastAsia" w:hAnsi="宋体"/>
          <w:sz w:val="24"/>
          <w:lang w:eastAsia="zh-CN"/>
        </w:rPr>
        <w:t>租赁协议</w:t>
      </w:r>
    </w:p>
    <w:p>
      <w:pPr>
        <w:adjustRightInd w:val="0"/>
        <w:snapToGrid w:val="0"/>
        <w:spacing w:line="360" w:lineRule="auto"/>
        <w:rPr>
          <w:rFonts w:hint="eastAsia" w:hAnsi="宋体"/>
          <w:sz w:val="24"/>
        </w:rPr>
      </w:pPr>
      <w:r>
        <w:rPr>
          <w:rFonts w:hint="eastAsia" w:hAnsi="宋体"/>
          <w:sz w:val="24"/>
        </w:rPr>
        <w:t>附件4：</w:t>
      </w:r>
      <w:r>
        <w:rPr>
          <w:rFonts w:hAnsi="宋体"/>
          <w:sz w:val="24"/>
        </w:rPr>
        <w:t>建设项目环境影响申报（登记）表（</w:t>
      </w:r>
      <w:r>
        <w:rPr>
          <w:rFonts w:hint="eastAsia" w:hAnsi="宋体"/>
          <w:sz w:val="24"/>
        </w:rPr>
        <w:t>工业</w:t>
      </w:r>
      <w:r>
        <w:rPr>
          <w:rFonts w:hAnsi="宋体"/>
          <w:sz w:val="24"/>
        </w:rPr>
        <w:t>类）</w:t>
      </w:r>
    </w:p>
    <w:p>
      <w:pPr>
        <w:adjustRightInd w:val="0"/>
        <w:snapToGrid w:val="0"/>
        <w:spacing w:line="360" w:lineRule="auto"/>
        <w:rPr>
          <w:rFonts w:hint="eastAsia" w:hAnsi="宋体"/>
          <w:sz w:val="24"/>
        </w:rPr>
      </w:pPr>
      <w:r>
        <w:rPr>
          <w:rFonts w:hint="eastAsia" w:hAnsi="宋体"/>
          <w:sz w:val="24"/>
        </w:rPr>
        <w:t>附件5：</w:t>
      </w:r>
      <w:r>
        <w:rPr>
          <w:rFonts w:hint="eastAsia"/>
          <w:sz w:val="24"/>
        </w:rPr>
        <w:t>建设项目环境影响审批现场勘察表</w:t>
      </w:r>
    </w:p>
    <w:p>
      <w:pPr>
        <w:adjustRightInd w:val="0"/>
        <w:snapToGrid w:val="0"/>
        <w:spacing w:line="360" w:lineRule="auto"/>
        <w:rPr>
          <w:rFonts w:hAnsi="宋体"/>
          <w:sz w:val="24"/>
        </w:rPr>
      </w:pPr>
      <w:r>
        <w:rPr>
          <w:rFonts w:hint="eastAsia" w:hAnsi="宋体"/>
          <w:sz w:val="24"/>
        </w:rPr>
        <w:t>附件6：</w:t>
      </w:r>
      <w:r>
        <w:rPr>
          <w:rFonts w:hAnsi="宋体"/>
          <w:sz w:val="24"/>
        </w:rPr>
        <w:t>监测报告</w:t>
      </w:r>
    </w:p>
    <w:p>
      <w:pPr>
        <w:adjustRightInd w:val="0"/>
        <w:snapToGrid w:val="0"/>
        <w:spacing w:line="360" w:lineRule="auto"/>
        <w:rPr>
          <w:rFonts w:hint="eastAsia" w:hAnsi="宋体"/>
          <w:sz w:val="24"/>
        </w:rPr>
      </w:pPr>
      <w:r>
        <w:rPr>
          <w:rFonts w:hAnsi="宋体"/>
          <w:sz w:val="24"/>
        </w:rPr>
        <w:t>附件</w:t>
      </w:r>
      <w:r>
        <w:rPr>
          <w:rFonts w:hint="eastAsia"/>
          <w:sz w:val="24"/>
        </w:rPr>
        <w:t>7</w:t>
      </w:r>
      <w:r>
        <w:rPr>
          <w:rFonts w:hAnsi="宋体"/>
          <w:sz w:val="24"/>
        </w:rPr>
        <w:t>：报批申请</w:t>
      </w:r>
    </w:p>
    <w:p>
      <w:pPr>
        <w:adjustRightInd w:val="0"/>
        <w:snapToGrid w:val="0"/>
        <w:spacing w:line="360" w:lineRule="auto"/>
        <w:rPr>
          <w:sz w:val="24"/>
        </w:rPr>
      </w:pPr>
      <w:r>
        <w:rPr>
          <w:rFonts w:hAnsi="宋体"/>
          <w:sz w:val="24"/>
        </w:rPr>
        <w:t>附件</w:t>
      </w:r>
      <w:r>
        <w:rPr>
          <w:rFonts w:hint="eastAsia"/>
          <w:sz w:val="24"/>
          <w:lang w:val="en-US" w:eastAsia="zh-CN"/>
        </w:rPr>
        <w:t>8</w:t>
      </w:r>
      <w:r>
        <w:rPr>
          <w:rFonts w:hAnsi="宋体"/>
          <w:sz w:val="24"/>
        </w:rPr>
        <w:t>：环境影响评价单位承接环评业务承诺书</w:t>
      </w:r>
    </w:p>
    <w:p>
      <w:pPr>
        <w:adjustRightInd w:val="0"/>
        <w:snapToGrid w:val="0"/>
        <w:spacing w:line="360" w:lineRule="auto"/>
        <w:rPr>
          <w:sz w:val="24"/>
        </w:rPr>
      </w:pPr>
      <w:r>
        <w:rPr>
          <w:rFonts w:hAnsi="宋体"/>
          <w:sz w:val="24"/>
        </w:rPr>
        <w:t>附件</w:t>
      </w:r>
      <w:r>
        <w:rPr>
          <w:rFonts w:hint="eastAsia"/>
          <w:sz w:val="24"/>
          <w:lang w:val="en-US" w:eastAsia="zh-CN"/>
        </w:rPr>
        <w:t>9</w:t>
      </w:r>
      <w:r>
        <w:rPr>
          <w:rFonts w:hAnsi="宋体"/>
          <w:sz w:val="24"/>
        </w:rPr>
        <w:t>：公示截图</w:t>
      </w:r>
    </w:p>
    <w:p>
      <w:pPr>
        <w:adjustRightInd w:val="0"/>
        <w:snapToGrid w:val="0"/>
        <w:spacing w:line="360" w:lineRule="auto"/>
        <w:rPr>
          <w:sz w:val="24"/>
        </w:rPr>
      </w:pPr>
      <w:r>
        <w:rPr>
          <w:rFonts w:hAnsi="宋体"/>
          <w:sz w:val="24"/>
        </w:rPr>
        <w:t>附件</w:t>
      </w:r>
      <w:r>
        <w:rPr>
          <w:rFonts w:hint="eastAsia"/>
          <w:sz w:val="24"/>
        </w:rPr>
        <w:t>1</w:t>
      </w:r>
      <w:r>
        <w:rPr>
          <w:rFonts w:hint="eastAsia"/>
          <w:sz w:val="24"/>
          <w:lang w:val="en-US" w:eastAsia="zh-CN"/>
        </w:rPr>
        <w:t>0</w:t>
      </w:r>
      <w:r>
        <w:rPr>
          <w:rFonts w:hAnsi="宋体"/>
          <w:sz w:val="24"/>
        </w:rPr>
        <w:t>：环保措施承诺书</w:t>
      </w:r>
    </w:p>
    <w:p>
      <w:pPr>
        <w:adjustRightInd w:val="0"/>
        <w:snapToGrid w:val="0"/>
        <w:spacing w:line="360" w:lineRule="auto"/>
        <w:rPr>
          <w:rFonts w:hAnsi="宋体"/>
          <w:sz w:val="24"/>
        </w:rPr>
      </w:pPr>
      <w:r>
        <w:rPr>
          <w:rFonts w:hAnsi="宋体"/>
          <w:sz w:val="24"/>
        </w:rPr>
        <w:t>附件</w:t>
      </w:r>
      <w:r>
        <w:rPr>
          <w:sz w:val="24"/>
        </w:rPr>
        <w:t>1</w:t>
      </w:r>
      <w:r>
        <w:rPr>
          <w:rFonts w:hint="eastAsia"/>
          <w:sz w:val="24"/>
          <w:lang w:val="en-US" w:eastAsia="zh-CN"/>
        </w:rPr>
        <w:t>1</w:t>
      </w:r>
      <w:r>
        <w:rPr>
          <w:rFonts w:hAnsi="宋体"/>
          <w:sz w:val="24"/>
        </w:rPr>
        <w:t>：主要环境影响及环境保护对策与措施</w:t>
      </w:r>
    </w:p>
    <w:p>
      <w:pPr>
        <w:pStyle w:val="2"/>
        <w:rPr>
          <w:rFonts w:hAnsi="宋体"/>
          <w:sz w:val="24"/>
        </w:rPr>
      </w:pPr>
    </w:p>
    <w:p>
      <w:pPr>
        <w:pStyle w:val="3"/>
      </w:pPr>
    </w:p>
    <w:p>
      <w:pPr>
        <w:adjustRightInd w:val="0"/>
        <w:snapToGrid w:val="0"/>
        <w:spacing w:line="360" w:lineRule="auto"/>
        <w:rPr>
          <w:b/>
          <w:sz w:val="24"/>
        </w:rPr>
      </w:pPr>
      <w:r>
        <w:rPr>
          <w:rFonts w:hAnsi="宋体"/>
          <w:b/>
          <w:sz w:val="24"/>
        </w:rPr>
        <w:t>附表：</w:t>
      </w:r>
    </w:p>
    <w:p>
      <w:pPr>
        <w:adjustRightInd w:val="0"/>
        <w:snapToGrid w:val="0"/>
        <w:spacing w:line="360" w:lineRule="auto"/>
        <w:rPr>
          <w:sz w:val="24"/>
        </w:rPr>
      </w:pPr>
      <w:r>
        <w:rPr>
          <w:rFonts w:hAnsi="宋体"/>
          <w:sz w:val="24"/>
        </w:rPr>
        <w:t>建设项目环境保护审批登记表</w:t>
      </w:r>
    </w:p>
    <w:p>
      <w:pPr>
        <w:adjustRightInd w:val="0"/>
        <w:snapToGrid w:val="0"/>
        <w:spacing w:line="360" w:lineRule="auto"/>
        <w:rPr>
          <w:sz w:val="24"/>
          <w:highlight w:val="yellow"/>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p>
      <w:pPr>
        <w:pStyle w:val="4"/>
        <w:jc w:val="both"/>
        <w:rPr>
          <w:bCs w:val="0"/>
          <w:spacing w:val="0"/>
          <w:kern w:val="0"/>
          <w:sz w:val="32"/>
          <w:szCs w:val="32"/>
        </w:rPr>
      </w:pPr>
      <w:r>
        <w:rPr>
          <w:bCs w:val="0"/>
          <w:spacing w:val="0"/>
          <w:kern w:val="0"/>
          <w:sz w:val="32"/>
          <w:szCs w:val="32"/>
        </w:rPr>
        <w:t>1</w:t>
      </w:r>
      <w:r>
        <w:rPr>
          <w:rFonts w:hAnsi="宋体"/>
          <w:bCs w:val="0"/>
          <w:spacing w:val="0"/>
          <w:kern w:val="0"/>
          <w:sz w:val="32"/>
          <w:szCs w:val="32"/>
        </w:rPr>
        <w:t>、建设项目基本情况</w:t>
      </w:r>
      <w:bookmarkEnd w:id="0"/>
      <w:bookmarkEnd w:id="1"/>
      <w:bookmarkEnd w:id="2"/>
      <w:bookmarkEnd w:id="3"/>
      <w:bookmarkEnd w:id="4"/>
      <w:bookmarkEnd w:id="5"/>
      <w:bookmarkEnd w:id="6"/>
      <w:bookmarkEnd w:id="7"/>
    </w:p>
    <w:tbl>
      <w:tblPr>
        <w:tblStyle w:val="75"/>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680"/>
        <w:gridCol w:w="137"/>
        <w:gridCol w:w="985"/>
        <w:gridCol w:w="772"/>
        <w:gridCol w:w="27"/>
        <w:gridCol w:w="24"/>
        <w:gridCol w:w="1230"/>
        <w:gridCol w:w="539"/>
        <w:gridCol w:w="141"/>
        <w:gridCol w:w="1249"/>
        <w:gridCol w:w="248"/>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项目名称</w:t>
            </w:r>
          </w:p>
        </w:tc>
        <w:tc>
          <w:tcPr>
            <w:tcW w:w="7272" w:type="dxa"/>
            <w:gridSpan w:val="12"/>
            <w:vAlign w:val="center"/>
          </w:tcPr>
          <w:p>
            <w:pPr>
              <w:jc w:val="center"/>
              <w:rPr>
                <w:rFonts w:hAnsi="宋体"/>
                <w:kern w:val="0"/>
                <w:sz w:val="24"/>
                <w:szCs w:val="24"/>
              </w:rPr>
            </w:pPr>
            <w:r>
              <w:rPr>
                <w:rFonts w:hint="eastAsia" w:hAnsi="宋体"/>
                <w:kern w:val="0"/>
                <w:sz w:val="24"/>
                <w:szCs w:val="24"/>
                <w:lang w:val="en-US"/>
              </w:rPr>
              <w:t>陶瓷制品、陶瓷模具的制造、加工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建设单位</w:t>
            </w:r>
          </w:p>
        </w:tc>
        <w:tc>
          <w:tcPr>
            <w:tcW w:w="7272" w:type="dxa"/>
            <w:gridSpan w:val="12"/>
            <w:vAlign w:val="center"/>
          </w:tcPr>
          <w:p>
            <w:pPr>
              <w:jc w:val="center"/>
              <w:rPr>
                <w:rFonts w:hAnsi="宋体"/>
                <w:kern w:val="0"/>
                <w:sz w:val="24"/>
                <w:szCs w:val="24"/>
              </w:rPr>
            </w:pPr>
            <w:r>
              <w:rPr>
                <w:rFonts w:hint="eastAsia" w:hAnsi="宋体"/>
                <w:kern w:val="0"/>
                <w:sz w:val="24"/>
              </w:rPr>
              <w:t>宜兴市和恒精密陶瓷有限公司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法人代表</w:t>
            </w:r>
          </w:p>
        </w:tc>
        <w:tc>
          <w:tcPr>
            <w:tcW w:w="2625" w:type="dxa"/>
            <w:gridSpan w:val="6"/>
            <w:vAlign w:val="center"/>
          </w:tcPr>
          <w:p>
            <w:pPr>
              <w:jc w:val="center"/>
              <w:rPr>
                <w:sz w:val="24"/>
                <w:szCs w:val="24"/>
              </w:rPr>
            </w:pPr>
            <w:r>
              <w:rPr>
                <w:rFonts w:hint="eastAsia"/>
                <w:sz w:val="24"/>
              </w:rPr>
              <w:t>朱会东</w:t>
            </w:r>
          </w:p>
        </w:tc>
        <w:tc>
          <w:tcPr>
            <w:tcW w:w="1769" w:type="dxa"/>
            <w:gridSpan w:val="2"/>
            <w:vAlign w:val="center"/>
          </w:tcPr>
          <w:p>
            <w:pPr>
              <w:jc w:val="center"/>
              <w:rPr>
                <w:b/>
                <w:kern w:val="0"/>
                <w:sz w:val="24"/>
                <w:szCs w:val="24"/>
              </w:rPr>
            </w:pPr>
            <w:r>
              <w:rPr>
                <w:rFonts w:hAnsi="宋体"/>
                <w:b/>
                <w:kern w:val="0"/>
                <w:sz w:val="24"/>
                <w:szCs w:val="24"/>
              </w:rPr>
              <w:t>联系人</w:t>
            </w:r>
          </w:p>
        </w:tc>
        <w:tc>
          <w:tcPr>
            <w:tcW w:w="2878" w:type="dxa"/>
            <w:gridSpan w:val="4"/>
            <w:vAlign w:val="center"/>
          </w:tcPr>
          <w:p>
            <w:pPr>
              <w:jc w:val="center"/>
              <w:rPr>
                <w:sz w:val="24"/>
                <w:szCs w:val="24"/>
              </w:rPr>
            </w:pPr>
            <w:r>
              <w:rPr>
                <w:rFonts w:hint="eastAsia"/>
                <w:sz w:val="24"/>
              </w:rPr>
              <w:t>朱会东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通讯地址</w:t>
            </w:r>
          </w:p>
        </w:tc>
        <w:tc>
          <w:tcPr>
            <w:tcW w:w="7272" w:type="dxa"/>
            <w:gridSpan w:val="12"/>
            <w:vAlign w:val="center"/>
          </w:tcPr>
          <w:p>
            <w:pPr>
              <w:jc w:val="center"/>
              <w:rPr>
                <w:rFonts w:hAnsi="宋体"/>
                <w:kern w:val="0"/>
                <w:sz w:val="24"/>
                <w:szCs w:val="24"/>
              </w:rPr>
            </w:pPr>
            <w:r>
              <w:rPr>
                <w:rFonts w:hint="eastAsia" w:hAnsi="宋体"/>
                <w:kern w:val="0"/>
                <w:sz w:val="24"/>
                <w:szCs w:val="24"/>
                <w:lang w:val="en-US"/>
              </w:rPr>
              <w:t>宜兴市丁蜀镇任墅工业集中区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联系电话</w:t>
            </w:r>
          </w:p>
        </w:tc>
        <w:tc>
          <w:tcPr>
            <w:tcW w:w="1802" w:type="dxa"/>
            <w:gridSpan w:val="3"/>
            <w:vAlign w:val="center"/>
          </w:tcPr>
          <w:p>
            <w:pPr>
              <w:jc w:val="center"/>
              <w:rPr>
                <w:kern w:val="0"/>
                <w:sz w:val="24"/>
                <w:szCs w:val="24"/>
                <w:lang w:val="en-US"/>
              </w:rPr>
            </w:pPr>
            <w:r>
              <w:rPr>
                <w:rFonts w:hint="eastAsia"/>
                <w:kern w:val="0"/>
                <w:sz w:val="24"/>
                <w:szCs w:val="24"/>
                <w:lang w:val="en-US"/>
              </w:rPr>
              <w:t>13585038117</w:t>
            </w:r>
          </w:p>
        </w:tc>
        <w:tc>
          <w:tcPr>
            <w:tcW w:w="823" w:type="dxa"/>
            <w:gridSpan w:val="3"/>
            <w:vAlign w:val="center"/>
          </w:tcPr>
          <w:p>
            <w:pPr>
              <w:jc w:val="center"/>
              <w:rPr>
                <w:b/>
                <w:kern w:val="0"/>
                <w:sz w:val="24"/>
                <w:szCs w:val="24"/>
              </w:rPr>
            </w:pPr>
            <w:r>
              <w:rPr>
                <w:rFonts w:hAnsi="宋体"/>
                <w:b/>
                <w:kern w:val="0"/>
                <w:sz w:val="24"/>
                <w:szCs w:val="24"/>
              </w:rPr>
              <w:t>传真</w:t>
            </w:r>
          </w:p>
        </w:tc>
        <w:tc>
          <w:tcPr>
            <w:tcW w:w="1769" w:type="dxa"/>
            <w:gridSpan w:val="2"/>
            <w:vAlign w:val="center"/>
          </w:tcPr>
          <w:p>
            <w:pPr>
              <w:jc w:val="center"/>
              <w:rPr>
                <w:kern w:val="0"/>
                <w:sz w:val="24"/>
                <w:szCs w:val="24"/>
                <w:lang w:val="en-US"/>
              </w:rPr>
            </w:pPr>
            <w:r>
              <w:rPr>
                <w:rFonts w:hint="eastAsia"/>
                <w:kern w:val="0"/>
                <w:sz w:val="24"/>
                <w:szCs w:val="24"/>
                <w:lang w:val="en-US"/>
              </w:rPr>
              <w:t>/</w:t>
            </w:r>
          </w:p>
        </w:tc>
        <w:tc>
          <w:tcPr>
            <w:tcW w:w="1638" w:type="dxa"/>
            <w:gridSpan w:val="3"/>
            <w:vAlign w:val="center"/>
          </w:tcPr>
          <w:p>
            <w:pPr>
              <w:jc w:val="center"/>
              <w:rPr>
                <w:b/>
                <w:kern w:val="0"/>
                <w:sz w:val="24"/>
                <w:szCs w:val="24"/>
              </w:rPr>
            </w:pPr>
            <w:r>
              <w:rPr>
                <w:rFonts w:hAnsi="宋体"/>
                <w:b/>
                <w:kern w:val="0"/>
                <w:sz w:val="24"/>
                <w:szCs w:val="24"/>
              </w:rPr>
              <w:t>邮政编码</w:t>
            </w:r>
          </w:p>
        </w:tc>
        <w:tc>
          <w:tcPr>
            <w:tcW w:w="1240" w:type="dxa"/>
            <w:vAlign w:val="center"/>
          </w:tcPr>
          <w:p>
            <w:pPr>
              <w:jc w:val="center"/>
              <w:rPr>
                <w:kern w:val="0"/>
                <w:sz w:val="24"/>
                <w:szCs w:val="24"/>
              </w:rPr>
            </w:pPr>
            <w:r>
              <w:rPr>
                <w:rFonts w:hint="eastAsia"/>
                <w:kern w:val="0"/>
                <w:sz w:val="24"/>
                <w:szCs w:val="24"/>
              </w:rPr>
              <w:t>214</w:t>
            </w:r>
            <w:r>
              <w:rPr>
                <w:rFonts w:hint="eastAsia"/>
                <w:kern w:val="0"/>
                <w:sz w:val="24"/>
                <w:szCs w:val="24"/>
                <w:lang w:val="en-US"/>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建设地点</w:t>
            </w:r>
          </w:p>
        </w:tc>
        <w:tc>
          <w:tcPr>
            <w:tcW w:w="7272" w:type="dxa"/>
            <w:gridSpan w:val="12"/>
            <w:vAlign w:val="center"/>
          </w:tcPr>
          <w:p>
            <w:pPr>
              <w:jc w:val="center"/>
              <w:rPr>
                <w:rFonts w:hAnsi="宋体"/>
                <w:kern w:val="0"/>
                <w:sz w:val="24"/>
                <w:szCs w:val="24"/>
              </w:rPr>
            </w:pPr>
            <w:r>
              <w:rPr>
                <w:rFonts w:hint="eastAsia" w:hAnsi="宋体"/>
                <w:kern w:val="0"/>
                <w:sz w:val="24"/>
                <w:szCs w:val="24"/>
              </w:rPr>
              <w:t>宜兴市丁蜀镇任墅工业集中区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立项审批部门</w:t>
            </w:r>
          </w:p>
        </w:tc>
        <w:tc>
          <w:tcPr>
            <w:tcW w:w="2601" w:type="dxa"/>
            <w:gridSpan w:val="5"/>
            <w:vAlign w:val="center"/>
          </w:tcPr>
          <w:p>
            <w:pPr>
              <w:jc w:val="center"/>
              <w:rPr>
                <w:kern w:val="0"/>
                <w:sz w:val="24"/>
                <w:szCs w:val="24"/>
              </w:rPr>
            </w:pPr>
            <w:r>
              <w:rPr>
                <w:rFonts w:hint="eastAsia" w:hAnsi="宋体"/>
                <w:kern w:val="0"/>
                <w:sz w:val="24"/>
                <w:szCs w:val="24"/>
              </w:rPr>
              <w:t>宜兴市丁蜀镇人民镇府</w:t>
            </w:r>
            <w:r>
              <w:rPr>
                <w:rFonts w:hint="eastAsia" w:hAnsi="宋体"/>
                <w:color w:val="auto"/>
                <w:kern w:val="0"/>
                <w:sz w:val="24"/>
                <w:szCs w:val="24"/>
              </w:rPr>
              <w:t>（</w:t>
            </w:r>
            <w:r>
              <w:rPr>
                <w:rFonts w:hint="eastAsia" w:hAnsi="宋体"/>
                <w:color w:val="auto"/>
                <w:kern w:val="0"/>
                <w:sz w:val="24"/>
                <w:szCs w:val="24"/>
                <w:lang w:eastAsia="zh-CN"/>
              </w:rPr>
              <w:t>丁备</w:t>
            </w:r>
            <w:r>
              <w:rPr>
                <w:rFonts w:hint="eastAsia" w:hAnsi="宋体"/>
                <w:color w:val="auto"/>
                <w:kern w:val="0"/>
                <w:sz w:val="24"/>
                <w:szCs w:val="24"/>
              </w:rPr>
              <w:t>[201</w:t>
            </w:r>
            <w:r>
              <w:rPr>
                <w:rFonts w:hint="eastAsia" w:hAnsi="宋体"/>
                <w:color w:val="auto"/>
                <w:kern w:val="0"/>
                <w:sz w:val="24"/>
                <w:szCs w:val="24"/>
                <w:lang w:val="en-US"/>
              </w:rPr>
              <w:t>9</w:t>
            </w:r>
            <w:r>
              <w:rPr>
                <w:rFonts w:hint="eastAsia" w:hAnsi="宋体"/>
                <w:color w:val="auto"/>
                <w:kern w:val="0"/>
                <w:sz w:val="24"/>
                <w:szCs w:val="24"/>
              </w:rPr>
              <w:t>]</w:t>
            </w:r>
            <w:r>
              <w:rPr>
                <w:rFonts w:hint="eastAsia" w:hAnsi="宋体"/>
                <w:color w:val="auto"/>
                <w:kern w:val="0"/>
                <w:sz w:val="24"/>
                <w:szCs w:val="24"/>
                <w:lang w:val="en-US"/>
              </w:rPr>
              <w:t>6</w:t>
            </w:r>
            <w:r>
              <w:rPr>
                <w:rFonts w:hint="eastAsia" w:hAnsi="宋体"/>
                <w:color w:val="auto"/>
                <w:kern w:val="0"/>
                <w:sz w:val="24"/>
                <w:szCs w:val="24"/>
              </w:rPr>
              <w:t>号</w:t>
            </w:r>
            <w:r>
              <w:rPr>
                <w:rFonts w:hint="eastAsia" w:hAnsi="宋体"/>
                <w:kern w:val="0"/>
                <w:sz w:val="24"/>
                <w:szCs w:val="24"/>
              </w:rPr>
              <w:t>）</w:t>
            </w:r>
          </w:p>
        </w:tc>
        <w:tc>
          <w:tcPr>
            <w:tcW w:w="1254" w:type="dxa"/>
            <w:gridSpan w:val="2"/>
            <w:vAlign w:val="center"/>
          </w:tcPr>
          <w:p>
            <w:pPr>
              <w:jc w:val="center"/>
              <w:rPr>
                <w:b/>
                <w:kern w:val="0"/>
                <w:sz w:val="24"/>
                <w:szCs w:val="24"/>
              </w:rPr>
            </w:pPr>
            <w:r>
              <w:rPr>
                <w:rFonts w:hint="eastAsia" w:hAnsi="宋体"/>
                <w:b/>
                <w:kern w:val="0"/>
                <w:sz w:val="24"/>
                <w:szCs w:val="24"/>
              </w:rPr>
              <w:t>项目代码</w:t>
            </w:r>
          </w:p>
        </w:tc>
        <w:tc>
          <w:tcPr>
            <w:tcW w:w="3417" w:type="dxa"/>
            <w:gridSpan w:val="5"/>
            <w:vAlign w:val="center"/>
          </w:tcPr>
          <w:p>
            <w:pPr>
              <w:pStyle w:val="4"/>
              <w:spacing w:line="240" w:lineRule="auto"/>
              <w:rPr>
                <w:b w:val="0"/>
                <w:kern w:val="0"/>
                <w:lang w:val="en-US"/>
              </w:rPr>
            </w:pPr>
            <w:bookmarkStart w:id="8" w:name="_Toc14366"/>
            <w:r>
              <w:rPr>
                <w:rFonts w:hint="eastAsia"/>
                <w:b w:val="0"/>
                <w:kern w:val="0"/>
                <w:sz w:val="24"/>
                <w:szCs w:val="24"/>
                <w:lang w:val="en-US"/>
              </w:rPr>
              <w:t>2019-320255-30-03-502124</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建设性质</w:t>
            </w:r>
          </w:p>
        </w:tc>
        <w:tc>
          <w:tcPr>
            <w:tcW w:w="2601" w:type="dxa"/>
            <w:gridSpan w:val="5"/>
            <w:vAlign w:val="center"/>
          </w:tcPr>
          <w:p>
            <w:pPr>
              <w:jc w:val="center"/>
              <w:rPr>
                <w:kern w:val="0"/>
                <w:sz w:val="24"/>
                <w:szCs w:val="24"/>
              </w:rPr>
            </w:pPr>
            <w:r>
              <w:rPr>
                <w:rFonts w:hint="eastAsia" w:hAnsi="宋体"/>
                <w:kern w:val="0"/>
                <w:sz w:val="24"/>
                <w:szCs w:val="24"/>
              </w:rPr>
              <w:t>新建</w:t>
            </w:r>
          </w:p>
        </w:tc>
        <w:tc>
          <w:tcPr>
            <w:tcW w:w="1254" w:type="dxa"/>
            <w:gridSpan w:val="2"/>
            <w:vAlign w:val="center"/>
          </w:tcPr>
          <w:p>
            <w:pPr>
              <w:jc w:val="center"/>
              <w:rPr>
                <w:b/>
                <w:kern w:val="0"/>
                <w:sz w:val="24"/>
                <w:szCs w:val="24"/>
              </w:rPr>
            </w:pPr>
            <w:r>
              <w:rPr>
                <w:rFonts w:hAnsi="宋体"/>
                <w:b/>
                <w:kern w:val="0"/>
                <w:sz w:val="24"/>
                <w:szCs w:val="24"/>
              </w:rPr>
              <w:t>行业类别</w:t>
            </w:r>
          </w:p>
          <w:p>
            <w:pPr>
              <w:jc w:val="center"/>
              <w:rPr>
                <w:b/>
                <w:kern w:val="0"/>
                <w:sz w:val="24"/>
                <w:szCs w:val="24"/>
              </w:rPr>
            </w:pPr>
            <w:r>
              <w:rPr>
                <w:rFonts w:hAnsi="宋体"/>
                <w:b/>
                <w:kern w:val="0"/>
                <w:sz w:val="24"/>
                <w:szCs w:val="24"/>
              </w:rPr>
              <w:t>及代码</w:t>
            </w:r>
          </w:p>
        </w:tc>
        <w:tc>
          <w:tcPr>
            <w:tcW w:w="3417" w:type="dxa"/>
            <w:gridSpan w:val="5"/>
            <w:vAlign w:val="center"/>
          </w:tcPr>
          <w:p>
            <w:pPr>
              <w:jc w:val="center"/>
              <w:rPr>
                <w:rFonts w:ascii="宋体" w:hAnsi="宋体" w:cs="宋体"/>
                <w:color w:val="000000"/>
                <w:sz w:val="22"/>
                <w:szCs w:val="22"/>
              </w:rPr>
            </w:pPr>
            <w:r>
              <w:rPr>
                <w:rFonts w:hint="eastAsia"/>
                <w:kern w:val="0"/>
                <w:sz w:val="24"/>
                <w:szCs w:val="24"/>
              </w:rPr>
              <w:t>C</w:t>
            </w:r>
            <w:r>
              <w:rPr>
                <w:kern w:val="0"/>
                <w:sz w:val="24"/>
                <w:szCs w:val="24"/>
                <w:lang w:val="en-US"/>
              </w:rPr>
              <w:t>30</w:t>
            </w:r>
            <w:r>
              <w:rPr>
                <w:rFonts w:hint="eastAsia"/>
                <w:kern w:val="0"/>
                <w:sz w:val="24"/>
                <w:szCs w:val="24"/>
                <w:lang w:val="en-US"/>
              </w:rPr>
              <w:t>7</w:t>
            </w:r>
            <w:r>
              <w:rPr>
                <w:rFonts w:hint="eastAsia"/>
                <w:kern w:val="0"/>
                <w:sz w:val="24"/>
                <w:szCs w:val="24"/>
                <w:lang w:val="en-US" w:eastAsia="zh-CN"/>
              </w:rPr>
              <w:t>3</w:t>
            </w:r>
            <w:r>
              <w:rPr>
                <w:rFonts w:hint="eastAsia"/>
                <w:kern w:val="0"/>
                <w:sz w:val="24"/>
                <w:szCs w:val="24"/>
                <w:lang w:val="en-US"/>
              </w:rPr>
              <w:t>特种陶瓷制品制造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int="eastAsia" w:hAnsi="宋体"/>
                <w:b/>
                <w:kern w:val="0"/>
                <w:sz w:val="24"/>
                <w:szCs w:val="24"/>
              </w:rPr>
              <w:t>占地面积</w:t>
            </w:r>
          </w:p>
          <w:p>
            <w:pPr>
              <w:jc w:val="center"/>
              <w:rPr>
                <w:b/>
                <w:kern w:val="0"/>
                <w:sz w:val="24"/>
                <w:szCs w:val="24"/>
              </w:rPr>
            </w:pPr>
            <w:r>
              <w:rPr>
                <w:rFonts w:hAnsi="宋体"/>
                <w:b/>
                <w:kern w:val="0"/>
                <w:sz w:val="24"/>
                <w:szCs w:val="24"/>
              </w:rPr>
              <w:t>（</w:t>
            </w:r>
            <w:r>
              <w:rPr>
                <w:b/>
                <w:kern w:val="0"/>
                <w:sz w:val="24"/>
                <w:szCs w:val="24"/>
              </w:rPr>
              <w:t>m</w:t>
            </w:r>
            <w:r>
              <w:rPr>
                <w:rFonts w:hint="eastAsia"/>
                <w:b/>
                <w:kern w:val="0"/>
                <w:sz w:val="24"/>
                <w:szCs w:val="24"/>
                <w:vertAlign w:val="superscript"/>
              </w:rPr>
              <w:t>2</w:t>
            </w:r>
            <w:r>
              <w:rPr>
                <w:rFonts w:hAnsi="宋体"/>
                <w:b/>
                <w:kern w:val="0"/>
                <w:sz w:val="24"/>
                <w:szCs w:val="24"/>
              </w:rPr>
              <w:t>）</w:t>
            </w:r>
          </w:p>
        </w:tc>
        <w:tc>
          <w:tcPr>
            <w:tcW w:w="2601" w:type="dxa"/>
            <w:gridSpan w:val="5"/>
            <w:vAlign w:val="center"/>
          </w:tcPr>
          <w:p>
            <w:pPr>
              <w:jc w:val="center"/>
              <w:rPr>
                <w:kern w:val="0"/>
                <w:sz w:val="24"/>
                <w:szCs w:val="24"/>
                <w:lang w:val="en-US"/>
              </w:rPr>
            </w:pPr>
            <w:r>
              <w:rPr>
                <w:rFonts w:hint="eastAsia"/>
                <w:kern w:val="0"/>
                <w:sz w:val="24"/>
                <w:szCs w:val="24"/>
                <w:lang w:val="en-US"/>
              </w:rPr>
              <w:t>460</w:t>
            </w:r>
          </w:p>
        </w:tc>
        <w:tc>
          <w:tcPr>
            <w:tcW w:w="1254" w:type="dxa"/>
            <w:gridSpan w:val="2"/>
            <w:vAlign w:val="center"/>
          </w:tcPr>
          <w:p>
            <w:pPr>
              <w:jc w:val="center"/>
              <w:rPr>
                <w:b/>
                <w:kern w:val="0"/>
                <w:sz w:val="24"/>
                <w:szCs w:val="24"/>
              </w:rPr>
            </w:pPr>
            <w:r>
              <w:rPr>
                <w:rFonts w:hAnsi="宋体"/>
                <w:b/>
                <w:kern w:val="0"/>
                <w:sz w:val="24"/>
                <w:szCs w:val="24"/>
              </w:rPr>
              <w:t>绿化面积（</w:t>
            </w:r>
            <w:r>
              <w:rPr>
                <w:b/>
                <w:kern w:val="0"/>
                <w:sz w:val="24"/>
                <w:szCs w:val="24"/>
              </w:rPr>
              <w:t>m</w:t>
            </w:r>
            <w:r>
              <w:rPr>
                <w:b/>
                <w:kern w:val="0"/>
                <w:sz w:val="24"/>
                <w:szCs w:val="24"/>
                <w:vertAlign w:val="superscript"/>
              </w:rPr>
              <w:t>2</w:t>
            </w:r>
            <w:r>
              <w:rPr>
                <w:rFonts w:hAnsi="宋体"/>
                <w:b/>
                <w:kern w:val="0"/>
                <w:sz w:val="24"/>
                <w:szCs w:val="24"/>
              </w:rPr>
              <w:t>）</w:t>
            </w:r>
          </w:p>
        </w:tc>
        <w:tc>
          <w:tcPr>
            <w:tcW w:w="3417" w:type="dxa"/>
            <w:gridSpan w:val="5"/>
            <w:vAlign w:val="center"/>
          </w:tcPr>
          <w:p>
            <w:pPr>
              <w:jc w:val="center"/>
              <w:rPr>
                <w:kern w:val="0"/>
                <w:sz w:val="24"/>
                <w:szCs w:val="24"/>
                <w:lang w:val="en-US"/>
              </w:rPr>
            </w:pPr>
            <w:r>
              <w:rPr>
                <w:rFonts w:hint="eastAsia"/>
                <w:kern w:val="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总投资</w:t>
            </w:r>
          </w:p>
          <w:p>
            <w:pPr>
              <w:jc w:val="center"/>
              <w:rPr>
                <w:b/>
                <w:kern w:val="0"/>
                <w:sz w:val="24"/>
                <w:szCs w:val="24"/>
              </w:rPr>
            </w:pPr>
            <w:r>
              <w:rPr>
                <w:rFonts w:hAnsi="宋体"/>
                <w:b/>
                <w:kern w:val="0"/>
                <w:sz w:val="24"/>
                <w:szCs w:val="24"/>
              </w:rPr>
              <w:t>（万元）</w:t>
            </w:r>
          </w:p>
        </w:tc>
        <w:tc>
          <w:tcPr>
            <w:tcW w:w="817" w:type="dxa"/>
            <w:gridSpan w:val="2"/>
            <w:vAlign w:val="center"/>
          </w:tcPr>
          <w:p>
            <w:pPr>
              <w:jc w:val="center"/>
              <w:rPr>
                <w:kern w:val="0"/>
                <w:sz w:val="24"/>
                <w:szCs w:val="24"/>
                <w:lang w:val="en-US"/>
              </w:rPr>
            </w:pPr>
            <w:r>
              <w:rPr>
                <w:rFonts w:hint="eastAsia"/>
                <w:kern w:val="0"/>
                <w:sz w:val="24"/>
                <w:szCs w:val="24"/>
                <w:lang w:val="en-US"/>
              </w:rPr>
              <w:t>500</w:t>
            </w:r>
          </w:p>
        </w:tc>
        <w:tc>
          <w:tcPr>
            <w:tcW w:w="1784" w:type="dxa"/>
            <w:gridSpan w:val="3"/>
            <w:vAlign w:val="center"/>
          </w:tcPr>
          <w:p>
            <w:pPr>
              <w:jc w:val="center"/>
              <w:rPr>
                <w:rFonts w:hAnsi="宋体"/>
                <w:b/>
                <w:kern w:val="0"/>
                <w:sz w:val="24"/>
                <w:szCs w:val="24"/>
              </w:rPr>
            </w:pPr>
            <w:r>
              <w:rPr>
                <w:rFonts w:hAnsi="宋体"/>
                <w:b/>
                <w:kern w:val="0"/>
                <w:sz w:val="24"/>
                <w:szCs w:val="24"/>
              </w:rPr>
              <w:t>其中：环保投资</w:t>
            </w:r>
          </w:p>
          <w:p>
            <w:pPr>
              <w:jc w:val="center"/>
              <w:rPr>
                <w:b/>
                <w:kern w:val="0"/>
                <w:sz w:val="24"/>
                <w:szCs w:val="24"/>
              </w:rPr>
            </w:pPr>
            <w:r>
              <w:rPr>
                <w:rFonts w:hAnsi="宋体"/>
                <w:b/>
                <w:kern w:val="0"/>
                <w:sz w:val="24"/>
                <w:szCs w:val="24"/>
              </w:rPr>
              <w:t>（万元）</w:t>
            </w:r>
          </w:p>
        </w:tc>
        <w:tc>
          <w:tcPr>
            <w:tcW w:w="1254" w:type="dxa"/>
            <w:gridSpan w:val="2"/>
            <w:vAlign w:val="center"/>
          </w:tcPr>
          <w:p>
            <w:pPr>
              <w:jc w:val="center"/>
              <w:rPr>
                <w:kern w:val="0"/>
                <w:sz w:val="24"/>
                <w:szCs w:val="24"/>
                <w:lang w:val="en-US"/>
              </w:rPr>
            </w:pPr>
            <w:r>
              <w:rPr>
                <w:rFonts w:hint="eastAsia"/>
                <w:kern w:val="0"/>
                <w:sz w:val="24"/>
                <w:szCs w:val="24"/>
                <w:lang w:val="en-US"/>
              </w:rPr>
              <w:t>20</w:t>
            </w:r>
          </w:p>
        </w:tc>
        <w:tc>
          <w:tcPr>
            <w:tcW w:w="1929" w:type="dxa"/>
            <w:gridSpan w:val="3"/>
            <w:vAlign w:val="center"/>
          </w:tcPr>
          <w:p>
            <w:pPr>
              <w:jc w:val="center"/>
              <w:rPr>
                <w:b/>
                <w:kern w:val="0"/>
                <w:sz w:val="24"/>
                <w:szCs w:val="24"/>
              </w:rPr>
            </w:pPr>
            <w:r>
              <w:rPr>
                <w:rFonts w:hAnsi="宋体"/>
                <w:b/>
                <w:kern w:val="0"/>
                <w:sz w:val="24"/>
                <w:szCs w:val="24"/>
              </w:rPr>
              <w:t>环保投资占总投资比例</w:t>
            </w:r>
          </w:p>
        </w:tc>
        <w:tc>
          <w:tcPr>
            <w:tcW w:w="1488" w:type="dxa"/>
            <w:gridSpan w:val="2"/>
            <w:vAlign w:val="center"/>
          </w:tcPr>
          <w:p>
            <w:pPr>
              <w:jc w:val="center"/>
              <w:rPr>
                <w:kern w:val="0"/>
                <w:sz w:val="24"/>
                <w:szCs w:val="24"/>
                <w:lang w:val="en-US"/>
              </w:rPr>
            </w:pPr>
            <w:r>
              <w:rPr>
                <w:rFonts w:hint="eastAsia"/>
                <w:kern w:val="0"/>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8" w:type="dxa"/>
            <w:vAlign w:val="center"/>
          </w:tcPr>
          <w:p>
            <w:pPr>
              <w:jc w:val="center"/>
              <w:rPr>
                <w:b/>
                <w:kern w:val="0"/>
                <w:sz w:val="24"/>
                <w:szCs w:val="24"/>
              </w:rPr>
            </w:pPr>
            <w:r>
              <w:rPr>
                <w:rFonts w:hAnsi="宋体"/>
                <w:b/>
                <w:kern w:val="0"/>
                <w:sz w:val="24"/>
                <w:szCs w:val="24"/>
              </w:rPr>
              <w:t>评价经费</w:t>
            </w:r>
          </w:p>
          <w:p>
            <w:pPr>
              <w:jc w:val="center"/>
              <w:rPr>
                <w:b/>
                <w:kern w:val="0"/>
                <w:sz w:val="24"/>
                <w:szCs w:val="24"/>
              </w:rPr>
            </w:pPr>
            <w:r>
              <w:rPr>
                <w:rFonts w:hAnsi="宋体"/>
                <w:b/>
                <w:kern w:val="0"/>
                <w:sz w:val="24"/>
                <w:szCs w:val="24"/>
              </w:rPr>
              <w:t>（万元）</w:t>
            </w:r>
          </w:p>
        </w:tc>
        <w:tc>
          <w:tcPr>
            <w:tcW w:w="817" w:type="dxa"/>
            <w:gridSpan w:val="2"/>
            <w:vAlign w:val="center"/>
          </w:tcPr>
          <w:p>
            <w:pPr>
              <w:jc w:val="center"/>
              <w:rPr>
                <w:kern w:val="0"/>
                <w:sz w:val="24"/>
                <w:szCs w:val="24"/>
              </w:rPr>
            </w:pPr>
            <w:r>
              <w:rPr>
                <w:rFonts w:hint="eastAsia"/>
                <w:kern w:val="0"/>
                <w:sz w:val="24"/>
                <w:szCs w:val="24"/>
              </w:rPr>
              <w:t>/</w:t>
            </w:r>
          </w:p>
        </w:tc>
        <w:tc>
          <w:tcPr>
            <w:tcW w:w="1784" w:type="dxa"/>
            <w:gridSpan w:val="3"/>
            <w:vAlign w:val="center"/>
          </w:tcPr>
          <w:p>
            <w:pPr>
              <w:jc w:val="center"/>
              <w:rPr>
                <w:b/>
                <w:kern w:val="0"/>
                <w:sz w:val="24"/>
                <w:szCs w:val="24"/>
              </w:rPr>
            </w:pPr>
            <w:r>
              <w:rPr>
                <w:rFonts w:hAnsi="宋体"/>
                <w:b/>
                <w:kern w:val="0"/>
                <w:sz w:val="24"/>
                <w:szCs w:val="24"/>
              </w:rPr>
              <w:t>预计投产日期</w:t>
            </w:r>
          </w:p>
        </w:tc>
        <w:tc>
          <w:tcPr>
            <w:tcW w:w="4671" w:type="dxa"/>
            <w:gridSpan w:val="7"/>
            <w:vAlign w:val="center"/>
          </w:tcPr>
          <w:p>
            <w:pPr>
              <w:jc w:val="center"/>
              <w:rPr>
                <w:color w:val="FF0000"/>
                <w:kern w:val="0"/>
                <w:sz w:val="24"/>
                <w:szCs w:val="24"/>
                <w:lang w:val="en-US"/>
              </w:rPr>
            </w:pPr>
            <w:r>
              <w:rPr>
                <w:rFonts w:hint="eastAsia" w:hAnsi="宋体"/>
                <w:kern w:val="0"/>
                <w:sz w:val="24"/>
                <w:szCs w:val="24"/>
              </w:rPr>
              <w:t>20</w:t>
            </w:r>
            <w:r>
              <w:rPr>
                <w:rFonts w:hint="eastAsia" w:hAnsi="宋体"/>
                <w:kern w:val="0"/>
                <w:sz w:val="24"/>
                <w:szCs w:val="24"/>
                <w:lang w:val="en-US" w:eastAsia="zh-CN"/>
              </w:rPr>
              <w:t>20</w:t>
            </w:r>
            <w:r>
              <w:rPr>
                <w:rFonts w:hint="eastAsia" w:hAnsi="宋体"/>
                <w:kern w:val="0"/>
                <w:sz w:val="24"/>
                <w:szCs w:val="24"/>
              </w:rPr>
              <w:t>年</w:t>
            </w:r>
            <w:r>
              <w:rPr>
                <w:rFonts w:hint="eastAsia" w:hAnsi="宋体"/>
                <w:kern w:val="0"/>
                <w:sz w:val="24"/>
                <w:szCs w:val="24"/>
                <w:lang w:val="en-US" w:eastAsia="zh-CN"/>
              </w:rPr>
              <w:t>8</w:t>
            </w:r>
            <w:r>
              <w:rPr>
                <w:rFonts w:hint="eastAsia" w:hAnsi="宋体"/>
                <w:kern w:val="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8580" w:type="dxa"/>
            <w:gridSpan w:val="13"/>
            <w:vAlign w:val="center"/>
          </w:tcPr>
          <w:p>
            <w:pPr>
              <w:spacing w:before="120" w:beforeLines="50" w:line="360" w:lineRule="auto"/>
              <w:outlineLvl w:val="2"/>
              <w:rPr>
                <w:b/>
                <w:bCs/>
                <w:kern w:val="0"/>
                <w:sz w:val="24"/>
                <w:szCs w:val="24"/>
              </w:rPr>
            </w:pPr>
            <w:r>
              <w:rPr>
                <w:rFonts w:hAnsi="宋体"/>
                <w:b/>
                <w:bCs/>
                <w:kern w:val="0"/>
                <w:sz w:val="24"/>
                <w:szCs w:val="24"/>
              </w:rPr>
              <w:t>原辅材料（包括名称、用量）及主要设施规格、数量（包括锅炉、发电机等）</w:t>
            </w:r>
          </w:p>
          <w:p>
            <w:pPr>
              <w:autoSpaceDE w:val="0"/>
              <w:autoSpaceDN w:val="0"/>
              <w:adjustRightInd w:val="0"/>
              <w:spacing w:line="360" w:lineRule="auto"/>
              <w:jc w:val="left"/>
              <w:rPr>
                <w:rFonts w:hAnsi="宋体"/>
                <w:kern w:val="0"/>
                <w:sz w:val="24"/>
                <w:szCs w:val="24"/>
                <w:lang w:val="en-US"/>
              </w:rPr>
            </w:pPr>
            <w:r>
              <w:rPr>
                <w:rFonts w:hint="eastAsia" w:hAnsi="宋体"/>
                <w:kern w:val="0"/>
                <w:sz w:val="24"/>
                <w:szCs w:val="24"/>
                <w:lang w:val="en-US"/>
              </w:rPr>
              <w:t>一、原辅材料：</w:t>
            </w:r>
          </w:p>
          <w:p>
            <w:pPr>
              <w:autoSpaceDE w:val="0"/>
              <w:autoSpaceDN w:val="0"/>
              <w:adjustRightInd w:val="0"/>
              <w:spacing w:line="360" w:lineRule="auto"/>
              <w:ind w:left="480"/>
              <w:jc w:val="left"/>
              <w:rPr>
                <w:kern w:val="0"/>
                <w:sz w:val="24"/>
                <w:szCs w:val="24"/>
                <w:lang w:val="en-US"/>
              </w:rPr>
            </w:pPr>
            <w:r>
              <w:rPr>
                <w:rFonts w:hint="eastAsia"/>
                <w:kern w:val="0"/>
                <w:sz w:val="24"/>
                <w:szCs w:val="24"/>
                <w:lang w:val="en-US"/>
              </w:rPr>
              <w:t>本项目所需的原辅材料为：</w:t>
            </w:r>
            <w:r>
              <w:rPr>
                <w:rFonts w:hint="eastAsia"/>
                <w:sz w:val="24"/>
                <w:szCs w:val="24"/>
              </w:rPr>
              <w:t>陶瓷制品毛坯</w:t>
            </w:r>
            <w:r>
              <w:rPr>
                <w:rFonts w:hint="eastAsia"/>
                <w:kern w:val="0"/>
                <w:sz w:val="24"/>
                <w:szCs w:val="24"/>
              </w:rPr>
              <w:t>、</w:t>
            </w:r>
            <w:r>
              <w:rPr>
                <w:rFonts w:hint="eastAsia" w:hAnsi="宋体"/>
                <w:kern w:val="0"/>
                <w:sz w:val="24"/>
                <w:szCs w:val="24"/>
              </w:rPr>
              <w:t>陶瓷模具毛坯，</w:t>
            </w:r>
            <w:r>
              <w:rPr>
                <w:rFonts w:hint="eastAsia"/>
                <w:kern w:val="0"/>
                <w:sz w:val="24"/>
                <w:szCs w:val="24"/>
                <w:lang w:val="en-US"/>
              </w:rPr>
              <w:t>详见</w:t>
            </w:r>
            <w:r>
              <w:rPr>
                <w:rFonts w:hint="eastAsia" w:hAnsi="宋体"/>
                <w:kern w:val="0"/>
                <w:sz w:val="24"/>
                <w:szCs w:val="24"/>
                <w:lang w:val="en-US"/>
              </w:rPr>
              <w:t>表1-3</w:t>
            </w:r>
            <w:r>
              <w:rPr>
                <w:rFonts w:hint="eastAsia"/>
                <w:kern w:val="0"/>
                <w:sz w:val="24"/>
                <w:szCs w:val="24"/>
                <w:lang w:val="en-US"/>
              </w:rPr>
              <w:t>。</w:t>
            </w:r>
          </w:p>
          <w:p>
            <w:pPr>
              <w:autoSpaceDE w:val="0"/>
              <w:autoSpaceDN w:val="0"/>
              <w:adjustRightInd w:val="0"/>
              <w:spacing w:line="360" w:lineRule="auto"/>
              <w:jc w:val="left"/>
              <w:rPr>
                <w:kern w:val="0"/>
                <w:sz w:val="24"/>
                <w:szCs w:val="24"/>
                <w:lang w:val="en-US"/>
              </w:rPr>
            </w:pPr>
            <w:r>
              <w:rPr>
                <w:rFonts w:hAnsi="宋体"/>
                <w:kern w:val="0"/>
                <w:sz w:val="24"/>
                <w:szCs w:val="24"/>
                <w:lang w:val="en-US"/>
              </w:rPr>
              <w:t>二、主要设施：</w:t>
            </w:r>
          </w:p>
          <w:p>
            <w:pPr>
              <w:autoSpaceDE w:val="0"/>
              <w:autoSpaceDN w:val="0"/>
              <w:adjustRightInd w:val="0"/>
              <w:spacing w:line="360" w:lineRule="auto"/>
              <w:ind w:firstLine="480" w:firstLineChars="200"/>
              <w:jc w:val="left"/>
              <w:rPr>
                <w:rFonts w:hAnsi="宋体"/>
                <w:kern w:val="0"/>
                <w:sz w:val="24"/>
                <w:szCs w:val="24"/>
                <w:lang w:val="en-US"/>
              </w:rPr>
            </w:pPr>
            <w:r>
              <w:rPr>
                <w:rFonts w:hint="eastAsia" w:hAnsi="宋体"/>
                <w:kern w:val="0"/>
                <w:sz w:val="24"/>
                <w:szCs w:val="24"/>
                <w:lang w:val="en-US"/>
              </w:rPr>
              <w:t>本项目所需的主要设备见表1-4。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
                <w:bCs/>
                <w:kern w:val="0"/>
                <w:szCs w:val="21"/>
              </w:rPr>
            </w:pPr>
            <w:r>
              <w:rPr>
                <w:rFonts w:hAnsi="宋体"/>
                <w:b/>
                <w:bCs/>
                <w:kern w:val="0"/>
                <w:szCs w:val="21"/>
              </w:rPr>
              <w:t>名称</w:t>
            </w:r>
          </w:p>
        </w:tc>
        <w:tc>
          <w:tcPr>
            <w:tcW w:w="1894" w:type="dxa"/>
            <w:gridSpan w:val="3"/>
            <w:vAlign w:val="center"/>
          </w:tcPr>
          <w:p>
            <w:pPr>
              <w:jc w:val="center"/>
              <w:rPr>
                <w:b/>
                <w:bCs/>
                <w:kern w:val="0"/>
                <w:szCs w:val="21"/>
              </w:rPr>
            </w:pPr>
            <w:r>
              <w:rPr>
                <w:rFonts w:hAnsi="宋体"/>
                <w:b/>
                <w:bCs/>
                <w:kern w:val="0"/>
                <w:szCs w:val="21"/>
              </w:rPr>
              <w:t>消耗量</w:t>
            </w:r>
          </w:p>
        </w:tc>
        <w:tc>
          <w:tcPr>
            <w:tcW w:w="1961" w:type="dxa"/>
            <w:gridSpan w:val="5"/>
            <w:vAlign w:val="center"/>
          </w:tcPr>
          <w:p>
            <w:pPr>
              <w:jc w:val="center"/>
              <w:rPr>
                <w:b/>
                <w:bCs/>
                <w:kern w:val="0"/>
                <w:szCs w:val="21"/>
              </w:rPr>
            </w:pPr>
            <w:r>
              <w:rPr>
                <w:rFonts w:hAnsi="宋体"/>
                <w:b/>
                <w:bCs/>
                <w:kern w:val="0"/>
                <w:szCs w:val="21"/>
              </w:rPr>
              <w:t>名称</w:t>
            </w:r>
          </w:p>
        </w:tc>
        <w:tc>
          <w:tcPr>
            <w:tcW w:w="2737" w:type="dxa"/>
            <w:gridSpan w:val="3"/>
            <w:vAlign w:val="center"/>
          </w:tcPr>
          <w:p>
            <w:pPr>
              <w:jc w:val="center"/>
              <w:rPr>
                <w:b/>
                <w:bCs/>
                <w:kern w:val="0"/>
                <w:szCs w:val="21"/>
              </w:rPr>
            </w:pPr>
            <w:r>
              <w:rPr>
                <w:rFonts w:hAnsi="宋体"/>
                <w:b/>
                <w:bCs/>
                <w:kern w:val="0"/>
                <w:szCs w:val="21"/>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水（吨）</w:t>
            </w:r>
          </w:p>
        </w:tc>
        <w:tc>
          <w:tcPr>
            <w:tcW w:w="1894" w:type="dxa"/>
            <w:gridSpan w:val="3"/>
            <w:vAlign w:val="center"/>
          </w:tcPr>
          <w:p>
            <w:pPr>
              <w:jc w:val="center"/>
              <w:rPr>
                <w:bCs/>
                <w:kern w:val="0"/>
                <w:szCs w:val="21"/>
              </w:rPr>
            </w:pPr>
            <w:r>
              <w:rPr>
                <w:rFonts w:hint="eastAsia"/>
                <w:bCs/>
                <w:kern w:val="0"/>
                <w:szCs w:val="21"/>
                <w:lang w:val="en-US"/>
              </w:rPr>
              <w:t>90</w:t>
            </w:r>
          </w:p>
        </w:tc>
        <w:tc>
          <w:tcPr>
            <w:tcW w:w="1961" w:type="dxa"/>
            <w:gridSpan w:val="5"/>
            <w:vAlign w:val="center"/>
          </w:tcPr>
          <w:p>
            <w:pPr>
              <w:jc w:val="center"/>
              <w:rPr>
                <w:bCs/>
                <w:kern w:val="0"/>
                <w:szCs w:val="21"/>
              </w:rPr>
            </w:pPr>
            <w:r>
              <w:rPr>
                <w:rFonts w:hAnsi="宋体"/>
                <w:bCs/>
                <w:kern w:val="0"/>
                <w:szCs w:val="21"/>
              </w:rPr>
              <w:t>柴油（吨</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电（千瓦</w:t>
            </w:r>
            <w:r>
              <w:rPr>
                <w:bCs/>
                <w:kern w:val="0"/>
                <w:szCs w:val="21"/>
              </w:rPr>
              <w:t>·</w:t>
            </w:r>
            <w:r>
              <w:rPr>
                <w:rFonts w:hAnsi="宋体"/>
                <w:bCs/>
                <w:kern w:val="0"/>
                <w:szCs w:val="21"/>
              </w:rPr>
              <w:t>小时</w:t>
            </w:r>
            <w:r>
              <w:rPr>
                <w:bCs/>
                <w:kern w:val="0"/>
                <w:szCs w:val="21"/>
              </w:rPr>
              <w:t>/</w:t>
            </w:r>
            <w:r>
              <w:rPr>
                <w:rFonts w:hAnsi="宋体"/>
                <w:bCs/>
                <w:kern w:val="0"/>
                <w:szCs w:val="21"/>
              </w:rPr>
              <w:t>年）</w:t>
            </w:r>
          </w:p>
        </w:tc>
        <w:tc>
          <w:tcPr>
            <w:tcW w:w="1894" w:type="dxa"/>
            <w:gridSpan w:val="3"/>
            <w:vAlign w:val="center"/>
          </w:tcPr>
          <w:p>
            <w:pPr>
              <w:jc w:val="center"/>
              <w:rPr>
                <w:bCs/>
                <w:kern w:val="0"/>
                <w:szCs w:val="21"/>
                <w:lang w:val="en-US"/>
              </w:rPr>
            </w:pPr>
            <w:r>
              <w:rPr>
                <w:rFonts w:hint="eastAsia"/>
                <w:bCs/>
                <w:kern w:val="0"/>
                <w:szCs w:val="21"/>
                <w:lang w:val="en-US"/>
              </w:rPr>
              <w:t>200</w:t>
            </w:r>
          </w:p>
        </w:tc>
        <w:tc>
          <w:tcPr>
            <w:tcW w:w="1961" w:type="dxa"/>
            <w:gridSpan w:val="5"/>
            <w:vAlign w:val="center"/>
          </w:tcPr>
          <w:p>
            <w:pPr>
              <w:jc w:val="center"/>
              <w:rPr>
                <w:bCs/>
                <w:kern w:val="0"/>
                <w:szCs w:val="21"/>
              </w:rPr>
            </w:pPr>
            <w:r>
              <w:rPr>
                <w:rFonts w:hAnsi="宋体"/>
                <w:bCs/>
                <w:kern w:val="0"/>
                <w:szCs w:val="21"/>
              </w:rPr>
              <w:t>燃气（</w:t>
            </w:r>
            <w:r>
              <w:rPr>
                <w:rFonts w:hint="eastAsia" w:hAnsi="宋体"/>
                <w:bCs/>
                <w:kern w:val="0"/>
                <w:szCs w:val="21"/>
              </w:rPr>
              <w:t>m</w:t>
            </w:r>
            <w:r>
              <w:rPr>
                <w:rFonts w:hint="eastAsia" w:hAnsi="宋体"/>
                <w:bCs/>
                <w:kern w:val="0"/>
                <w:szCs w:val="21"/>
                <w:vertAlign w:val="superscript"/>
              </w:rPr>
              <w:t>3</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988" w:type="dxa"/>
            <w:gridSpan w:val="2"/>
            <w:vAlign w:val="center"/>
          </w:tcPr>
          <w:p>
            <w:pPr>
              <w:jc w:val="center"/>
              <w:rPr>
                <w:bCs/>
                <w:kern w:val="0"/>
                <w:szCs w:val="21"/>
              </w:rPr>
            </w:pPr>
            <w:r>
              <w:rPr>
                <w:rFonts w:hAnsi="宋体"/>
                <w:bCs/>
                <w:kern w:val="0"/>
                <w:szCs w:val="21"/>
              </w:rPr>
              <w:t>燃煤（吨</w:t>
            </w:r>
            <w:r>
              <w:rPr>
                <w:bCs/>
                <w:kern w:val="0"/>
                <w:szCs w:val="21"/>
              </w:rPr>
              <w:t>/</w:t>
            </w:r>
            <w:r>
              <w:rPr>
                <w:rFonts w:hAnsi="宋体"/>
                <w:bCs/>
                <w:kern w:val="0"/>
                <w:szCs w:val="21"/>
              </w:rPr>
              <w:t>年）</w:t>
            </w:r>
          </w:p>
        </w:tc>
        <w:tc>
          <w:tcPr>
            <w:tcW w:w="1894" w:type="dxa"/>
            <w:gridSpan w:val="3"/>
            <w:vAlign w:val="center"/>
          </w:tcPr>
          <w:p>
            <w:pPr>
              <w:jc w:val="center"/>
              <w:rPr>
                <w:bCs/>
                <w:kern w:val="0"/>
                <w:szCs w:val="21"/>
              </w:rPr>
            </w:pPr>
            <w:r>
              <w:rPr>
                <w:bCs/>
                <w:kern w:val="0"/>
                <w:szCs w:val="21"/>
              </w:rPr>
              <w:t>/</w:t>
            </w:r>
          </w:p>
        </w:tc>
        <w:tc>
          <w:tcPr>
            <w:tcW w:w="1961" w:type="dxa"/>
            <w:gridSpan w:val="5"/>
            <w:vAlign w:val="center"/>
          </w:tcPr>
          <w:p>
            <w:pPr>
              <w:jc w:val="center"/>
              <w:rPr>
                <w:bCs/>
                <w:kern w:val="0"/>
                <w:szCs w:val="21"/>
              </w:rPr>
            </w:pPr>
            <w:r>
              <w:rPr>
                <w:rFonts w:hAnsi="宋体"/>
                <w:bCs/>
                <w:kern w:val="0"/>
                <w:szCs w:val="21"/>
              </w:rPr>
              <w:t>蒸汽（吨</w:t>
            </w:r>
            <w:r>
              <w:rPr>
                <w:bCs/>
                <w:kern w:val="0"/>
                <w:szCs w:val="21"/>
              </w:rPr>
              <w:t>/</w:t>
            </w:r>
            <w:r>
              <w:rPr>
                <w:rFonts w:hAnsi="宋体"/>
                <w:bCs/>
                <w:kern w:val="0"/>
                <w:szCs w:val="21"/>
              </w:rPr>
              <w:t>年）</w:t>
            </w:r>
          </w:p>
        </w:tc>
        <w:tc>
          <w:tcPr>
            <w:tcW w:w="2737" w:type="dxa"/>
            <w:gridSpan w:val="3"/>
            <w:vAlign w:val="center"/>
          </w:tcPr>
          <w:p>
            <w:pPr>
              <w:jc w:val="center"/>
              <w:rPr>
                <w:bCs/>
                <w:kern w:val="0"/>
                <w:szCs w:val="21"/>
              </w:rPr>
            </w:pPr>
            <w:r>
              <w:rPr>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8580" w:type="dxa"/>
            <w:gridSpan w:val="13"/>
            <w:vAlign w:val="center"/>
          </w:tcPr>
          <w:p>
            <w:pPr>
              <w:autoSpaceDE w:val="0"/>
              <w:autoSpaceDN w:val="0"/>
              <w:adjustRightInd w:val="0"/>
              <w:spacing w:before="120" w:beforeLines="50" w:line="360" w:lineRule="auto"/>
              <w:jc w:val="left"/>
              <w:rPr>
                <w:kern w:val="0"/>
                <w:sz w:val="24"/>
                <w:szCs w:val="24"/>
                <w:lang w:val="en-US"/>
              </w:rPr>
            </w:pPr>
            <w:r>
              <w:rPr>
                <w:rFonts w:hAnsi="宋体"/>
                <w:kern w:val="0"/>
                <w:sz w:val="24"/>
                <w:szCs w:val="24"/>
                <w:lang w:val="en-US"/>
              </w:rPr>
              <w:t>废水（工业废水</w:t>
            </w:r>
            <w:r>
              <w:rPr>
                <w:kern w:val="0"/>
                <w:sz w:val="24"/>
                <w:szCs w:val="24"/>
                <w:lang w:val="en-US"/>
              </w:rPr>
              <w:t xml:space="preserve"> </w:t>
            </w:r>
            <w:r>
              <w:rPr>
                <w:rFonts w:hAnsi="宋体"/>
                <w:kern w:val="0"/>
                <w:sz w:val="24"/>
                <w:szCs w:val="24"/>
                <w:lang w:val="en-US"/>
              </w:rPr>
              <w:t>生活废水</w:t>
            </w:r>
            <w:r>
              <w:rPr>
                <w:kern w:val="0"/>
                <w:sz w:val="24"/>
                <w:szCs w:val="24"/>
                <w:lang w:val="en-US"/>
              </w:rPr>
              <w:t>√</w:t>
            </w:r>
            <w:r>
              <w:rPr>
                <w:rFonts w:hAnsi="宋体"/>
                <w:kern w:val="0"/>
                <w:sz w:val="24"/>
                <w:szCs w:val="24"/>
                <w:lang w:val="en-US"/>
              </w:rPr>
              <w:t>）排水量及排放去向</w:t>
            </w:r>
          </w:p>
          <w:p>
            <w:pPr>
              <w:spacing w:line="360" w:lineRule="auto"/>
              <w:ind w:firstLine="480" w:firstLineChars="200"/>
              <w:rPr>
                <w:rFonts w:hAnsi="宋体"/>
                <w:sz w:val="24"/>
                <w:lang w:val="zh-CN"/>
              </w:rPr>
            </w:pPr>
            <w:r>
              <w:rPr>
                <w:rFonts w:hint="eastAsia" w:hAnsi="宋体"/>
                <w:kern w:val="0"/>
                <w:sz w:val="24"/>
                <w:szCs w:val="24"/>
                <w:lang w:val="en-US"/>
              </w:rPr>
              <w:t>建设项目的排水体制采用雨污分流制。本项目无生产废水排放，职工的生活用水的消耗量约为90吨/年，产生生活污水72吨/年（按80%计算），生活污水经化粪池预处理后排入宜兴市华骐污水处理厂集中处理，达标后尾水排入蠡河。</w:t>
            </w:r>
            <w:r>
              <w:rPr>
                <w:rFonts w:hAnsi="宋体"/>
                <w:sz w:val="24"/>
                <w:lang w:val="zh-CN"/>
              </w:rPr>
              <w:t>污水处理厂工艺流程图见第二章</w:t>
            </w:r>
            <w:r>
              <w:rPr>
                <w:sz w:val="24"/>
                <w:lang w:val="zh-CN"/>
              </w:rPr>
              <w:t>“</w:t>
            </w:r>
            <w:r>
              <w:rPr>
                <w:sz w:val="24"/>
              </w:rPr>
              <w:t>2.2.3</w:t>
            </w:r>
            <w:r>
              <w:rPr>
                <w:rFonts w:hint="eastAsia" w:hAnsi="宋体"/>
                <w:kern w:val="0"/>
                <w:sz w:val="24"/>
                <w:szCs w:val="24"/>
                <w:lang w:val="en-US"/>
              </w:rPr>
              <w:t>宜兴市华骐污水处理厂</w:t>
            </w:r>
            <w:r>
              <w:rPr>
                <w:rFonts w:hAnsi="宋体"/>
                <w:sz w:val="24"/>
                <w:szCs w:val="24"/>
              </w:rPr>
              <w:t>概况</w:t>
            </w:r>
            <w:r>
              <w:rPr>
                <w:sz w:val="24"/>
                <w:lang w:val="zh-CN"/>
              </w:rPr>
              <w:t>”</w:t>
            </w:r>
            <w:r>
              <w:rPr>
                <w:rFonts w:hAnsi="宋体"/>
                <w:sz w:val="24"/>
                <w:lang w:val="zh-CN"/>
              </w:rPr>
              <w:t>中的图</w:t>
            </w:r>
            <w:r>
              <w:rPr>
                <w:sz w:val="24"/>
                <w:lang w:val="zh-CN"/>
              </w:rPr>
              <w:t>2-1</w:t>
            </w:r>
            <w:r>
              <w:rPr>
                <w:rFonts w:hAnsi="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580" w:type="dxa"/>
            <w:gridSpan w:val="13"/>
            <w:vAlign w:val="center"/>
          </w:tcPr>
          <w:p>
            <w:pPr>
              <w:spacing w:line="360" w:lineRule="auto"/>
              <w:outlineLvl w:val="2"/>
              <w:rPr>
                <w:b/>
                <w:bCs/>
                <w:kern w:val="0"/>
                <w:sz w:val="24"/>
                <w:szCs w:val="24"/>
              </w:rPr>
            </w:pPr>
            <w:r>
              <w:rPr>
                <w:rFonts w:hAnsi="宋体"/>
                <w:b/>
                <w:bCs/>
                <w:kern w:val="0"/>
                <w:sz w:val="24"/>
                <w:szCs w:val="24"/>
              </w:rPr>
              <w:t>放射性同位素和伴有电磁辐射的设施使用情况</w:t>
            </w:r>
          </w:p>
          <w:p>
            <w:pPr>
              <w:spacing w:line="360" w:lineRule="auto"/>
              <w:ind w:firstLine="480" w:firstLineChars="200"/>
              <w:rPr>
                <w:b/>
                <w:bCs/>
                <w:kern w:val="0"/>
                <w:sz w:val="28"/>
                <w:szCs w:val="28"/>
              </w:rPr>
            </w:pPr>
            <w:r>
              <w:rPr>
                <w:rFonts w:hAnsi="宋体"/>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580" w:type="dxa"/>
            <w:gridSpan w:val="13"/>
          </w:tcPr>
          <w:p>
            <w:pPr>
              <w:spacing w:before="120" w:line="360" w:lineRule="auto"/>
              <w:ind w:firstLine="562" w:firstLineChars="200"/>
              <w:rPr>
                <w:b/>
                <w:kern w:val="0"/>
                <w:sz w:val="28"/>
                <w:szCs w:val="28"/>
              </w:rPr>
            </w:pPr>
            <w:r>
              <w:rPr>
                <w:rFonts w:hAnsi="宋体"/>
                <w:b/>
                <w:kern w:val="0"/>
                <w:sz w:val="28"/>
                <w:szCs w:val="28"/>
              </w:rPr>
              <w:t>工程内容及规模：</w:t>
            </w:r>
          </w:p>
          <w:p>
            <w:pPr>
              <w:spacing w:line="360" w:lineRule="auto"/>
              <w:ind w:firstLine="482" w:firstLineChars="200"/>
              <w:rPr>
                <w:b/>
                <w:kern w:val="0"/>
                <w:sz w:val="24"/>
                <w:szCs w:val="24"/>
              </w:rPr>
            </w:pPr>
            <w:r>
              <w:rPr>
                <w:b/>
                <w:kern w:val="0"/>
                <w:sz w:val="24"/>
                <w:szCs w:val="24"/>
              </w:rPr>
              <w:t>1</w:t>
            </w:r>
            <w:r>
              <w:rPr>
                <w:rFonts w:hAnsi="宋体"/>
                <w:b/>
                <w:kern w:val="0"/>
                <w:sz w:val="24"/>
                <w:szCs w:val="24"/>
              </w:rPr>
              <w:t>、项目</w:t>
            </w:r>
            <w:r>
              <w:rPr>
                <w:rFonts w:hint="eastAsia" w:hAnsi="宋体"/>
                <w:b/>
                <w:kern w:val="0"/>
                <w:sz w:val="24"/>
                <w:szCs w:val="24"/>
              </w:rPr>
              <w:t>由来</w:t>
            </w:r>
          </w:p>
          <w:p>
            <w:pPr>
              <w:spacing w:line="360" w:lineRule="auto"/>
              <w:ind w:firstLine="480" w:firstLineChars="200"/>
              <w:rPr>
                <w:rFonts w:hAnsi="宋体"/>
                <w:kern w:val="0"/>
                <w:sz w:val="24"/>
                <w:szCs w:val="24"/>
              </w:rPr>
            </w:pPr>
            <w:r>
              <w:rPr>
                <w:rFonts w:hint="eastAsia" w:hAnsi="宋体"/>
                <w:kern w:val="0"/>
                <w:sz w:val="24"/>
                <w:szCs w:val="24"/>
              </w:rPr>
              <w:t>宜兴市和恒精密陶瓷有限公司成立于</w:t>
            </w:r>
            <w:r>
              <w:rPr>
                <w:rFonts w:hint="eastAsia" w:hAnsi="宋体"/>
                <w:kern w:val="0"/>
                <w:sz w:val="24"/>
                <w:szCs w:val="24"/>
                <w:lang w:val="en-US"/>
              </w:rPr>
              <w:t>2016</w:t>
            </w:r>
            <w:r>
              <w:rPr>
                <w:rFonts w:hint="eastAsia" w:hAnsi="宋体"/>
                <w:kern w:val="0"/>
                <w:sz w:val="24"/>
                <w:szCs w:val="24"/>
              </w:rPr>
              <w:t>年，位于</w:t>
            </w:r>
            <w:r>
              <w:rPr>
                <w:rFonts w:hint="eastAsia" w:hAnsi="宋体"/>
                <w:kern w:val="0"/>
                <w:sz w:val="24"/>
                <w:szCs w:val="24"/>
                <w:lang w:val="en-US"/>
              </w:rPr>
              <w:t>宜兴市丁蜀镇任墅工业集中区，拟投资500万元，</w:t>
            </w:r>
            <w:r>
              <w:rPr>
                <w:rFonts w:hint="eastAsia" w:hAnsi="宋体"/>
                <w:kern w:val="0"/>
                <w:sz w:val="24"/>
                <w:szCs w:val="24"/>
              </w:rPr>
              <w:t>租用宜兴市丁蜀镇宏伟陶瓷釉料加工厂空置厂房，新建陶瓷制品、陶瓷模具的制造、加工项目。</w:t>
            </w:r>
          </w:p>
          <w:p>
            <w:pPr>
              <w:spacing w:line="360" w:lineRule="auto"/>
              <w:ind w:firstLine="480" w:firstLineChars="200"/>
              <w:rPr>
                <w:rFonts w:hAnsi="宋体"/>
                <w:kern w:val="0"/>
                <w:sz w:val="24"/>
                <w:szCs w:val="24"/>
                <w:lang w:val="en-US"/>
              </w:rPr>
            </w:pPr>
            <w:r>
              <w:rPr>
                <w:rFonts w:hint="eastAsia" w:hAnsi="宋体"/>
                <w:color w:val="auto"/>
                <w:kern w:val="0"/>
                <w:sz w:val="24"/>
                <w:szCs w:val="24"/>
              </w:rPr>
              <w:t>宜兴市和恒精密陶瓷有限公司成立</w:t>
            </w:r>
            <w:r>
              <w:rPr>
                <w:rFonts w:hint="eastAsia" w:hAnsi="宋体"/>
                <w:color w:val="auto"/>
                <w:kern w:val="0"/>
                <w:sz w:val="24"/>
                <w:szCs w:val="24"/>
                <w:lang w:eastAsia="zh-CN"/>
              </w:rPr>
              <w:t>至今仅进行销售，</w:t>
            </w:r>
            <w:r>
              <w:rPr>
                <w:rFonts w:hint="eastAsia" w:hAnsi="宋体"/>
                <w:color w:val="auto"/>
                <w:kern w:val="0"/>
                <w:sz w:val="24"/>
                <w:szCs w:val="24"/>
              </w:rPr>
              <w:t>未进行生产，</w:t>
            </w:r>
            <w:r>
              <w:rPr>
                <w:rFonts w:hint="eastAsia" w:hAnsi="宋体"/>
                <w:kern w:val="0"/>
                <w:sz w:val="24"/>
                <w:szCs w:val="24"/>
                <w:lang w:val="en-US"/>
              </w:rPr>
              <w:t>2018年11月租用</w:t>
            </w:r>
            <w:r>
              <w:rPr>
                <w:rFonts w:hint="eastAsia" w:hAnsi="宋体"/>
                <w:kern w:val="0"/>
                <w:sz w:val="24"/>
                <w:szCs w:val="24"/>
              </w:rPr>
              <w:t>宜兴市丁蜀镇宏伟陶瓷釉料加工厂空置厂房</w:t>
            </w:r>
            <w:r>
              <w:rPr>
                <w:rFonts w:hint="eastAsia" w:hAnsi="宋体"/>
                <w:kern w:val="0"/>
                <w:sz w:val="24"/>
                <w:szCs w:val="24"/>
                <w:lang w:val="en-US"/>
              </w:rPr>
              <w:t>，购置平面磨床等进行调试，丁蜀镇“散乱污”企业专治整治检查组于2018年11月12日3时在检查过程中发现公司未办理环评手续，要求补全相关手续后进行生产。目前企业已取得宜兴市丁蜀镇人民政府出具的江苏省投资项目备案证（备案证号丁备[2019] 6号），同意</w:t>
            </w:r>
            <w:r>
              <w:rPr>
                <w:rFonts w:hAnsi="宋体"/>
                <w:kern w:val="0"/>
                <w:sz w:val="24"/>
                <w:szCs w:val="24"/>
                <w:lang w:val="en-US"/>
              </w:rPr>
              <w:t>企业</w:t>
            </w:r>
            <w:r>
              <w:rPr>
                <w:rFonts w:hint="eastAsia" w:hAnsi="宋体"/>
                <w:kern w:val="0"/>
                <w:sz w:val="24"/>
                <w:szCs w:val="24"/>
                <w:lang w:val="en-US"/>
              </w:rPr>
              <w:t>投资500</w:t>
            </w:r>
            <w:r>
              <w:rPr>
                <w:rFonts w:hAnsi="宋体"/>
                <w:kern w:val="0"/>
                <w:sz w:val="24"/>
                <w:szCs w:val="24"/>
                <w:lang w:val="en-US"/>
              </w:rPr>
              <w:t>万元，</w:t>
            </w:r>
            <w:r>
              <w:rPr>
                <w:rFonts w:hint="eastAsia" w:hAnsi="宋体"/>
                <w:kern w:val="0"/>
                <w:sz w:val="24"/>
                <w:szCs w:val="24"/>
                <w:lang w:val="en-US"/>
              </w:rPr>
              <w:t>形成年产陶瓷制品</w:t>
            </w:r>
            <w:r>
              <w:rPr>
                <w:rFonts w:hAnsi="宋体"/>
                <w:kern w:val="0"/>
                <w:sz w:val="24"/>
                <w:szCs w:val="24"/>
                <w:lang w:val="en-US"/>
              </w:rPr>
              <w:t>50</w:t>
            </w:r>
            <w:r>
              <w:rPr>
                <w:rFonts w:hint="eastAsia" w:hAnsi="宋体"/>
                <w:kern w:val="0"/>
                <w:sz w:val="24"/>
                <w:szCs w:val="24"/>
                <w:lang w:val="en-US"/>
              </w:rPr>
              <w:t>万件、陶瓷模具</w:t>
            </w:r>
            <w:r>
              <w:rPr>
                <w:rFonts w:hAnsi="宋体"/>
                <w:kern w:val="0"/>
                <w:sz w:val="24"/>
                <w:szCs w:val="24"/>
                <w:lang w:val="en-US"/>
              </w:rPr>
              <w:t>50</w:t>
            </w:r>
            <w:r>
              <w:rPr>
                <w:rFonts w:hint="eastAsia" w:hAnsi="宋体"/>
                <w:kern w:val="0"/>
                <w:sz w:val="24"/>
                <w:szCs w:val="24"/>
                <w:lang w:val="en-US"/>
              </w:rPr>
              <w:t>万件的生产</w:t>
            </w:r>
            <w:r>
              <w:rPr>
                <w:rFonts w:hint="eastAsia" w:hAnsi="宋体"/>
                <w:kern w:val="0"/>
                <w:sz w:val="24"/>
                <w:szCs w:val="24"/>
                <w:lang w:val="en-US" w:eastAsia="zh-CN"/>
              </w:rPr>
              <w:t>规模</w:t>
            </w:r>
            <w:r>
              <w:rPr>
                <w:rFonts w:hint="eastAsia" w:hAnsi="宋体"/>
                <w:kern w:val="0"/>
                <w:sz w:val="24"/>
                <w:szCs w:val="24"/>
                <w:lang w:val="en-US"/>
              </w:rPr>
              <w:t>。</w:t>
            </w:r>
          </w:p>
          <w:p>
            <w:pPr>
              <w:spacing w:line="360" w:lineRule="auto"/>
              <w:ind w:firstLine="480" w:firstLineChars="200"/>
              <w:rPr>
                <w:rFonts w:hAnsi="宋体"/>
                <w:color w:val="000000"/>
                <w:szCs w:val="21"/>
              </w:rPr>
            </w:pPr>
            <w:r>
              <w:rPr>
                <w:rFonts w:hint="eastAsia" w:hAnsi="宋体"/>
                <w:kern w:val="0"/>
                <w:sz w:val="24"/>
                <w:szCs w:val="24"/>
              </w:rPr>
              <w:t>根据《中华人民共和国环境影响评价法》、国务院第253号令《建设项目环境保护管理条例》、和省、市环保局有关文件精神和规定，建设项目需办理环境影响评价手续。根据环境保护部《建设项目环境影响评价分类管理名录》（2018年修正），</w:t>
            </w:r>
            <w:r>
              <w:rPr>
                <w:rFonts w:hint="eastAsia" w:asciiTheme="minorEastAsia" w:hAnsiTheme="minorEastAsia" w:eastAsiaTheme="minorEastAsia"/>
                <w:color w:val="000000"/>
                <w:sz w:val="24"/>
                <w:szCs w:val="24"/>
              </w:rPr>
              <w:t>本项目属于“十九、非金属矿物制品业</w:t>
            </w:r>
            <w:r>
              <w:rPr>
                <w:rFonts w:eastAsiaTheme="minorEastAsia"/>
                <w:color w:val="000000"/>
                <w:sz w:val="24"/>
                <w:szCs w:val="24"/>
              </w:rPr>
              <w:t>54</w:t>
            </w:r>
            <w:r>
              <w:rPr>
                <w:rFonts w:asciiTheme="minorEastAsia" w:hAnsiTheme="minorEastAsia" w:eastAsiaTheme="minorEastAsia"/>
                <w:color w:val="000000"/>
                <w:sz w:val="24"/>
                <w:szCs w:val="24"/>
              </w:rPr>
              <w:t>陶瓷制品”“其他”类别，应编制环评报告表</w:t>
            </w:r>
            <w:r>
              <w:rPr>
                <w:rFonts w:hint="eastAsia" w:hAnsi="宋体"/>
                <w:color w:val="000000"/>
                <w:kern w:val="0"/>
                <w:sz w:val="24"/>
                <w:szCs w:val="24"/>
              </w:rPr>
              <w:t>。</w:t>
            </w:r>
            <w:r>
              <w:rPr>
                <w:rFonts w:hint="eastAsia" w:hAnsi="宋体"/>
                <w:kern w:val="0"/>
                <w:sz w:val="24"/>
                <w:szCs w:val="24"/>
              </w:rPr>
              <w:t>因此，宜兴市和恒精密陶瓷有限公司特委托</w:t>
            </w:r>
            <w:r>
              <w:rPr>
                <w:rFonts w:hint="eastAsia" w:hAnsi="宋体"/>
                <w:kern w:val="0"/>
                <w:sz w:val="24"/>
                <w:szCs w:val="24"/>
                <w:lang w:eastAsia="zh-CN"/>
              </w:rPr>
              <w:t>资质单位</w:t>
            </w:r>
            <w:r>
              <w:rPr>
                <w:rFonts w:hint="eastAsia" w:hAnsi="宋体"/>
                <w:kern w:val="0"/>
                <w:sz w:val="24"/>
                <w:szCs w:val="24"/>
              </w:rPr>
              <w:t>承担该项目的环境影响报告表编制工作。我单位通过现场勘探调查、资料收集，并依据《环境影响评价技术导则》的要求编制了本项目的环境影响报告表，提请审查。</w:t>
            </w:r>
          </w:p>
          <w:p>
            <w:pPr>
              <w:spacing w:line="360" w:lineRule="auto"/>
              <w:ind w:firstLine="482" w:firstLineChars="200"/>
              <w:rPr>
                <w:b/>
                <w:kern w:val="0"/>
                <w:sz w:val="24"/>
                <w:szCs w:val="24"/>
              </w:rPr>
            </w:pPr>
            <w:r>
              <w:rPr>
                <w:rFonts w:hint="eastAsia"/>
                <w:b/>
                <w:kern w:val="0"/>
                <w:sz w:val="24"/>
                <w:szCs w:val="24"/>
              </w:rPr>
              <w:t>2</w:t>
            </w:r>
            <w:r>
              <w:rPr>
                <w:rFonts w:hAnsi="宋体"/>
                <w:b/>
                <w:kern w:val="0"/>
                <w:sz w:val="24"/>
                <w:szCs w:val="24"/>
              </w:rPr>
              <w:t>、建设规模及内容</w:t>
            </w:r>
          </w:p>
          <w:p>
            <w:pPr>
              <w:spacing w:line="360" w:lineRule="auto"/>
              <w:ind w:firstLine="480" w:firstLineChars="200"/>
              <w:rPr>
                <w:rFonts w:hAnsi="宋体"/>
                <w:b/>
                <w:kern w:val="0"/>
                <w:szCs w:val="21"/>
              </w:rPr>
            </w:pPr>
            <w:r>
              <w:rPr>
                <w:rFonts w:hint="eastAsia" w:hAnsi="宋体"/>
                <w:kern w:val="0"/>
                <w:sz w:val="24"/>
                <w:szCs w:val="24"/>
              </w:rPr>
              <w:t>本项目购置平面磨床等设备，</w:t>
            </w:r>
            <w:r>
              <w:rPr>
                <w:rFonts w:hint="eastAsia" w:hAnsi="宋体"/>
                <w:kern w:val="0"/>
                <w:sz w:val="24"/>
                <w:szCs w:val="24"/>
                <w:lang w:val="en-US"/>
              </w:rPr>
              <w:t>租用</w:t>
            </w:r>
            <w:r>
              <w:rPr>
                <w:rFonts w:hint="eastAsia" w:hAnsi="宋体"/>
                <w:kern w:val="0"/>
                <w:sz w:val="24"/>
                <w:szCs w:val="24"/>
              </w:rPr>
              <w:t>宜兴市丁蜀镇宏伟陶瓷釉料加工厂</w:t>
            </w:r>
            <w:r>
              <w:rPr>
                <w:rFonts w:hint="eastAsia" w:hAnsi="宋体"/>
                <w:kern w:val="0"/>
                <w:sz w:val="24"/>
                <w:szCs w:val="24"/>
                <w:lang w:val="en-US"/>
              </w:rPr>
              <w:t>丁蜀镇任墅工业集中区空置厂房460m</w:t>
            </w:r>
            <w:r>
              <w:rPr>
                <w:rFonts w:hAnsi="宋体"/>
                <w:kern w:val="0"/>
                <w:sz w:val="24"/>
                <w:szCs w:val="24"/>
                <w:vertAlign w:val="superscript"/>
                <w:lang w:val="en-US"/>
              </w:rPr>
              <w:t>2</w:t>
            </w:r>
            <w:r>
              <w:rPr>
                <w:rFonts w:hint="eastAsia" w:hAnsi="宋体"/>
                <w:kern w:val="0"/>
                <w:sz w:val="24"/>
                <w:szCs w:val="24"/>
              </w:rPr>
              <w:t>，</w:t>
            </w:r>
            <w:r>
              <w:rPr>
                <w:rFonts w:hint="eastAsia" w:hAnsi="宋体"/>
                <w:kern w:val="0"/>
                <w:sz w:val="24"/>
                <w:szCs w:val="24"/>
                <w:lang w:val="en-US"/>
              </w:rPr>
              <w:t>形成年产陶瓷制品50万件、陶瓷模具50万件的生产能力。</w:t>
            </w:r>
          </w:p>
          <w:p>
            <w:pPr>
              <w:spacing w:line="360" w:lineRule="auto"/>
              <w:ind w:firstLine="480" w:firstLineChars="200"/>
              <w:rPr>
                <w:kern w:val="0"/>
                <w:sz w:val="24"/>
                <w:szCs w:val="24"/>
              </w:rPr>
            </w:pPr>
            <w:bookmarkStart w:id="9" w:name="_Toc411512764"/>
            <w:bookmarkStart w:id="10" w:name="_Toc412708035"/>
            <w:r>
              <w:rPr>
                <w:rFonts w:hint="eastAsia" w:hAnsi="宋体"/>
                <w:kern w:val="0"/>
                <w:sz w:val="24"/>
                <w:szCs w:val="24"/>
              </w:rPr>
              <w:t>建设项目</w:t>
            </w:r>
            <w:r>
              <w:rPr>
                <w:rFonts w:hint="eastAsia"/>
                <w:kern w:val="0"/>
                <w:sz w:val="24"/>
                <w:szCs w:val="24"/>
              </w:rPr>
              <w:t>主体工程及产品方案见表1-</w:t>
            </w:r>
            <w:r>
              <w:rPr>
                <w:rFonts w:hint="eastAsia"/>
                <w:kern w:val="0"/>
                <w:sz w:val="24"/>
                <w:szCs w:val="24"/>
                <w:lang w:val="en-US"/>
              </w:rPr>
              <w:t>1</w:t>
            </w:r>
            <w:r>
              <w:rPr>
                <w:rFonts w:hint="eastAsia"/>
                <w:kern w:val="0"/>
                <w:sz w:val="24"/>
                <w:szCs w:val="24"/>
              </w:rPr>
              <w:t>。</w:t>
            </w:r>
          </w:p>
          <w:p>
            <w:pPr>
              <w:ind w:firstLine="482" w:firstLineChars="200"/>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表</w:t>
            </w:r>
            <w:r>
              <w:rPr>
                <w:rFonts w:eastAsiaTheme="minorEastAsia"/>
                <w:b/>
                <w:color w:val="000000"/>
                <w:sz w:val="24"/>
                <w:szCs w:val="24"/>
              </w:rPr>
              <w:t>1-</w:t>
            </w:r>
            <w:r>
              <w:rPr>
                <w:rFonts w:hint="eastAsia" w:eastAsiaTheme="minorEastAsia"/>
                <w:b/>
                <w:color w:val="000000"/>
                <w:sz w:val="24"/>
                <w:szCs w:val="24"/>
                <w:lang w:val="en-US"/>
              </w:rPr>
              <w:t>1</w:t>
            </w:r>
            <w:r>
              <w:rPr>
                <w:rFonts w:eastAsiaTheme="minorEastAsia"/>
                <w:b/>
                <w:color w:val="000000"/>
                <w:sz w:val="24"/>
                <w:szCs w:val="24"/>
              </w:rPr>
              <w:t xml:space="preserve"> </w:t>
            </w:r>
            <w:r>
              <w:rPr>
                <w:rFonts w:hint="eastAsia" w:asciiTheme="minorEastAsia" w:hAnsiTheme="minorEastAsia" w:eastAsiaTheme="minorEastAsia"/>
                <w:b/>
                <w:color w:val="000000"/>
                <w:sz w:val="24"/>
                <w:szCs w:val="24"/>
              </w:rPr>
              <w:t xml:space="preserve"> 主体工程及产品方案</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539"/>
              <w:gridCol w:w="2279"/>
              <w:gridCol w:w="1385"/>
              <w:gridCol w:w="144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1" w:type="dxa"/>
                  <w:vAlign w:val="center"/>
                </w:tcPr>
                <w:p>
                  <w:pPr>
                    <w:adjustRightInd w:val="0"/>
                    <w:snapToGrid w:val="0"/>
                    <w:jc w:val="center"/>
                    <w:rPr>
                      <w:b/>
                      <w:szCs w:val="21"/>
                    </w:rPr>
                  </w:pPr>
                  <w:r>
                    <w:rPr>
                      <w:rFonts w:hint="eastAsia"/>
                      <w:b/>
                      <w:szCs w:val="21"/>
                    </w:rPr>
                    <w:t>序号</w:t>
                  </w:r>
                </w:p>
              </w:tc>
              <w:tc>
                <w:tcPr>
                  <w:tcW w:w="2539" w:type="dxa"/>
                  <w:vAlign w:val="center"/>
                </w:tcPr>
                <w:p>
                  <w:pPr>
                    <w:adjustRightInd w:val="0"/>
                    <w:snapToGrid w:val="0"/>
                    <w:jc w:val="center"/>
                    <w:rPr>
                      <w:b/>
                      <w:szCs w:val="21"/>
                    </w:rPr>
                  </w:pPr>
                  <w:r>
                    <w:rPr>
                      <w:rFonts w:hint="eastAsia"/>
                      <w:b/>
                      <w:szCs w:val="21"/>
                    </w:rPr>
                    <w:t>工程名称（车间或生产线）</w:t>
                  </w:r>
                </w:p>
              </w:tc>
              <w:tc>
                <w:tcPr>
                  <w:tcW w:w="2279" w:type="dxa"/>
                  <w:vAlign w:val="center"/>
                </w:tcPr>
                <w:p>
                  <w:pPr>
                    <w:adjustRightInd w:val="0"/>
                    <w:snapToGrid w:val="0"/>
                    <w:jc w:val="center"/>
                    <w:rPr>
                      <w:b/>
                      <w:szCs w:val="21"/>
                    </w:rPr>
                  </w:pPr>
                  <w:r>
                    <w:rPr>
                      <w:rFonts w:hint="eastAsia"/>
                      <w:b/>
                      <w:szCs w:val="21"/>
                    </w:rPr>
                    <w:t>产品名称及规格</w:t>
                  </w:r>
                </w:p>
              </w:tc>
              <w:tc>
                <w:tcPr>
                  <w:tcW w:w="1385" w:type="dxa"/>
                  <w:vAlign w:val="center"/>
                </w:tcPr>
                <w:p>
                  <w:pPr>
                    <w:adjustRightInd w:val="0"/>
                    <w:snapToGrid w:val="0"/>
                    <w:jc w:val="center"/>
                    <w:rPr>
                      <w:b/>
                      <w:szCs w:val="21"/>
                    </w:rPr>
                  </w:pPr>
                  <w:r>
                    <w:rPr>
                      <w:rFonts w:hint="eastAsia"/>
                      <w:b/>
                      <w:szCs w:val="21"/>
                    </w:rPr>
                    <w:t>设计能力</w:t>
                  </w:r>
                  <w:r>
                    <w:rPr>
                      <w:b/>
                      <w:szCs w:val="21"/>
                    </w:rPr>
                    <w:t>/年</w:t>
                  </w:r>
                </w:p>
              </w:tc>
              <w:tc>
                <w:tcPr>
                  <w:tcW w:w="1448" w:type="dxa"/>
                  <w:vAlign w:val="center"/>
                </w:tcPr>
                <w:p>
                  <w:pPr>
                    <w:adjustRightInd w:val="0"/>
                    <w:snapToGrid w:val="0"/>
                    <w:jc w:val="center"/>
                    <w:rPr>
                      <w:b/>
                      <w:szCs w:val="21"/>
                    </w:rPr>
                  </w:pPr>
                  <w:r>
                    <w:rPr>
                      <w:rFonts w:hint="eastAsia"/>
                      <w:b/>
                      <w:szCs w:val="21"/>
                    </w:rPr>
                    <w:t>年运行时（</w:t>
                  </w:r>
                  <w:r>
                    <w:rPr>
                      <w:b/>
                      <w:szCs w:val="21"/>
                    </w:rPr>
                    <w:t>h）</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1" w:type="dxa"/>
                  <w:vAlign w:val="center"/>
                </w:tcPr>
                <w:p>
                  <w:pPr>
                    <w:adjustRightInd w:val="0"/>
                    <w:snapToGrid w:val="0"/>
                    <w:jc w:val="center"/>
                    <w:rPr>
                      <w:szCs w:val="21"/>
                    </w:rPr>
                  </w:pPr>
                  <w:r>
                    <w:rPr>
                      <w:szCs w:val="21"/>
                    </w:rPr>
                    <w:t>1</w:t>
                  </w:r>
                </w:p>
              </w:tc>
              <w:tc>
                <w:tcPr>
                  <w:tcW w:w="2539" w:type="dxa"/>
                  <w:vMerge w:val="restart"/>
                  <w:vAlign w:val="center"/>
                </w:tcPr>
                <w:p>
                  <w:pPr>
                    <w:adjustRightInd w:val="0"/>
                    <w:snapToGrid w:val="0"/>
                    <w:jc w:val="center"/>
                    <w:rPr>
                      <w:szCs w:val="21"/>
                    </w:rPr>
                  </w:pPr>
                  <w:r>
                    <w:rPr>
                      <w:rFonts w:hint="eastAsia"/>
                      <w:szCs w:val="21"/>
                    </w:rPr>
                    <w:t>生产车间</w:t>
                  </w:r>
                </w:p>
              </w:tc>
              <w:tc>
                <w:tcPr>
                  <w:tcW w:w="2279" w:type="dxa"/>
                  <w:vAlign w:val="center"/>
                </w:tcPr>
                <w:p>
                  <w:pPr>
                    <w:adjustRightInd w:val="0"/>
                    <w:snapToGrid w:val="0"/>
                    <w:jc w:val="center"/>
                    <w:rPr>
                      <w:szCs w:val="21"/>
                    </w:rPr>
                  </w:pPr>
                  <w:r>
                    <w:rPr>
                      <w:rFonts w:hint="eastAsia"/>
                      <w:szCs w:val="21"/>
                      <w:lang w:val="en-US"/>
                    </w:rPr>
                    <w:t>陶瓷制品</w:t>
                  </w:r>
                </w:p>
              </w:tc>
              <w:tc>
                <w:tcPr>
                  <w:tcW w:w="1385" w:type="dxa"/>
                  <w:vAlign w:val="center"/>
                </w:tcPr>
                <w:p>
                  <w:pPr>
                    <w:adjustRightInd w:val="0"/>
                    <w:snapToGrid w:val="0"/>
                    <w:jc w:val="center"/>
                    <w:rPr>
                      <w:szCs w:val="21"/>
                      <w:lang w:val="en-US"/>
                    </w:rPr>
                  </w:pPr>
                  <w:r>
                    <w:rPr>
                      <w:rFonts w:hint="eastAsia"/>
                      <w:szCs w:val="21"/>
                      <w:lang w:val="en-US"/>
                    </w:rPr>
                    <w:t>50万件</w:t>
                  </w:r>
                </w:p>
              </w:tc>
              <w:tc>
                <w:tcPr>
                  <w:tcW w:w="1448" w:type="dxa"/>
                  <w:vAlign w:val="center"/>
                </w:tcPr>
                <w:p>
                  <w:pPr>
                    <w:adjustRightInd w:val="0"/>
                    <w:snapToGrid w:val="0"/>
                    <w:jc w:val="center"/>
                    <w:rPr>
                      <w:szCs w:val="21"/>
                      <w:lang w:val="en-US"/>
                    </w:rPr>
                  </w:pPr>
                  <w:r>
                    <w:rPr>
                      <w:szCs w:val="21"/>
                      <w:lang w:val="en-US"/>
                    </w:rPr>
                    <w:t>2400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1" w:type="dxa"/>
                  <w:vAlign w:val="center"/>
                </w:tcPr>
                <w:p>
                  <w:pPr>
                    <w:adjustRightInd w:val="0"/>
                    <w:snapToGrid w:val="0"/>
                    <w:jc w:val="center"/>
                    <w:rPr>
                      <w:szCs w:val="21"/>
                      <w:lang w:val="en-US"/>
                    </w:rPr>
                  </w:pPr>
                  <w:r>
                    <w:rPr>
                      <w:rFonts w:hint="eastAsia"/>
                      <w:szCs w:val="21"/>
                      <w:lang w:val="en-US"/>
                    </w:rPr>
                    <w:t>2</w:t>
                  </w:r>
                </w:p>
              </w:tc>
              <w:tc>
                <w:tcPr>
                  <w:tcW w:w="2539" w:type="dxa"/>
                  <w:vMerge w:val="continue"/>
                  <w:vAlign w:val="center"/>
                </w:tcPr>
                <w:p>
                  <w:pPr>
                    <w:adjustRightInd w:val="0"/>
                    <w:snapToGrid w:val="0"/>
                    <w:ind w:firstLine="420" w:firstLineChars="200"/>
                    <w:jc w:val="center"/>
                    <w:rPr>
                      <w:szCs w:val="21"/>
                    </w:rPr>
                  </w:pPr>
                </w:p>
              </w:tc>
              <w:tc>
                <w:tcPr>
                  <w:tcW w:w="2279" w:type="dxa"/>
                  <w:vAlign w:val="center"/>
                </w:tcPr>
                <w:p>
                  <w:pPr>
                    <w:adjustRightInd w:val="0"/>
                    <w:snapToGrid w:val="0"/>
                    <w:jc w:val="center"/>
                    <w:rPr>
                      <w:szCs w:val="21"/>
                      <w:lang w:val="en-US"/>
                    </w:rPr>
                  </w:pPr>
                  <w:r>
                    <w:rPr>
                      <w:rFonts w:hint="eastAsia"/>
                      <w:szCs w:val="21"/>
                      <w:lang w:val="en-US"/>
                    </w:rPr>
                    <w:t>陶瓷模具</w:t>
                  </w:r>
                </w:p>
              </w:tc>
              <w:tc>
                <w:tcPr>
                  <w:tcW w:w="1385" w:type="dxa"/>
                  <w:vAlign w:val="center"/>
                </w:tcPr>
                <w:p>
                  <w:pPr>
                    <w:adjustRightInd w:val="0"/>
                    <w:snapToGrid w:val="0"/>
                    <w:jc w:val="center"/>
                    <w:rPr>
                      <w:szCs w:val="21"/>
                      <w:lang w:val="en-US"/>
                    </w:rPr>
                  </w:pPr>
                  <w:r>
                    <w:rPr>
                      <w:rFonts w:hint="eastAsia"/>
                      <w:szCs w:val="21"/>
                      <w:lang w:val="en-US"/>
                    </w:rPr>
                    <w:t>50万件</w:t>
                  </w:r>
                </w:p>
              </w:tc>
              <w:tc>
                <w:tcPr>
                  <w:tcW w:w="1448" w:type="dxa"/>
                  <w:vAlign w:val="center"/>
                </w:tcPr>
                <w:p>
                  <w:pPr>
                    <w:adjustRightInd w:val="0"/>
                    <w:snapToGrid w:val="0"/>
                    <w:jc w:val="center"/>
                    <w:rPr>
                      <w:szCs w:val="21"/>
                      <w:lang w:val="en-US"/>
                    </w:rPr>
                  </w:pPr>
                  <w:r>
                    <w:rPr>
                      <w:szCs w:val="21"/>
                      <w:lang w:val="en-US"/>
                    </w:rPr>
                    <w:t>2400</w:t>
                  </w:r>
                </w:p>
              </w:tc>
            </w:tr>
          </w:tbl>
          <w:p>
            <w:pPr>
              <w:adjustRightInd w:val="0"/>
              <w:snapToGrid w:val="0"/>
              <w:spacing w:before="120" w:beforeLines="50" w:line="360" w:lineRule="auto"/>
              <w:ind w:firstLine="480" w:firstLineChars="200"/>
              <w:rPr>
                <w:kern w:val="0"/>
                <w:sz w:val="24"/>
                <w:szCs w:val="24"/>
              </w:rPr>
            </w:pPr>
            <w:r>
              <w:rPr>
                <w:rFonts w:hint="eastAsia" w:hAnsi="宋体"/>
                <w:kern w:val="0"/>
                <w:sz w:val="24"/>
                <w:szCs w:val="24"/>
              </w:rPr>
              <w:t>建设项目主要原辅材料消耗见</w:t>
            </w:r>
            <w:r>
              <w:rPr>
                <w:rFonts w:hint="eastAsia"/>
                <w:kern w:val="0"/>
                <w:sz w:val="24"/>
                <w:szCs w:val="24"/>
              </w:rPr>
              <w:t>表1-</w:t>
            </w:r>
            <w:r>
              <w:rPr>
                <w:rFonts w:hint="eastAsia"/>
                <w:kern w:val="0"/>
                <w:sz w:val="24"/>
                <w:szCs w:val="24"/>
                <w:lang w:val="en-US"/>
              </w:rPr>
              <w:t>2</w:t>
            </w:r>
            <w:r>
              <w:rPr>
                <w:rFonts w:hint="eastAsia"/>
                <w:kern w:val="0"/>
                <w:sz w:val="24"/>
                <w:szCs w:val="24"/>
              </w:rPr>
              <w:t>。</w:t>
            </w:r>
          </w:p>
          <w:p>
            <w:pPr>
              <w:ind w:firstLine="482" w:firstLineChars="200"/>
              <w:jc w:val="center"/>
              <w:rPr>
                <w:rFonts w:hAnsi="宋体"/>
                <w:b/>
                <w:kern w:val="0"/>
                <w:sz w:val="24"/>
                <w:szCs w:val="24"/>
              </w:rPr>
            </w:pPr>
            <w:r>
              <w:rPr>
                <w:rFonts w:hint="eastAsia" w:hAnsi="宋体"/>
                <w:b/>
                <w:kern w:val="0"/>
                <w:sz w:val="24"/>
                <w:szCs w:val="24"/>
              </w:rPr>
              <w:t>表1-</w:t>
            </w:r>
            <w:r>
              <w:rPr>
                <w:rFonts w:hint="eastAsia" w:hAnsi="宋体"/>
                <w:b/>
                <w:kern w:val="0"/>
                <w:sz w:val="24"/>
                <w:szCs w:val="24"/>
                <w:lang w:val="en-US"/>
              </w:rPr>
              <w:t>2</w:t>
            </w:r>
            <w:r>
              <w:rPr>
                <w:rFonts w:hint="eastAsia" w:hAnsi="宋体"/>
                <w:b/>
                <w:kern w:val="0"/>
                <w:sz w:val="24"/>
                <w:szCs w:val="24"/>
              </w:rPr>
              <w:t xml:space="preserve"> </w:t>
            </w:r>
            <w:r>
              <w:rPr>
                <w:rFonts w:hint="eastAsia" w:hAnsi="宋体"/>
                <w:b/>
                <w:kern w:val="0"/>
                <w:sz w:val="24"/>
                <w:szCs w:val="24"/>
                <w:lang w:val="en-US"/>
              </w:rPr>
              <w:t xml:space="preserve"> </w:t>
            </w:r>
            <w:r>
              <w:rPr>
                <w:rFonts w:hint="eastAsia" w:hAnsi="宋体"/>
                <w:b/>
                <w:kern w:val="0"/>
                <w:sz w:val="24"/>
                <w:szCs w:val="24"/>
              </w:rPr>
              <w:t>主要原辅材料消耗表</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7"/>
              <w:gridCol w:w="1203"/>
              <w:gridCol w:w="2217"/>
              <w:gridCol w:w="194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5" w:type="dxa"/>
                  <w:vAlign w:val="center"/>
                </w:tcPr>
                <w:p>
                  <w:pPr>
                    <w:rPr>
                      <w:b/>
                      <w:kern w:val="0"/>
                      <w:szCs w:val="21"/>
                    </w:rPr>
                  </w:pPr>
                  <w:r>
                    <w:rPr>
                      <w:rFonts w:hint="eastAsia"/>
                      <w:b/>
                      <w:kern w:val="0"/>
                      <w:szCs w:val="21"/>
                    </w:rPr>
                    <w:t>序号</w:t>
                  </w:r>
                </w:p>
              </w:tc>
              <w:tc>
                <w:tcPr>
                  <w:tcW w:w="2147" w:type="dxa"/>
                  <w:vAlign w:val="center"/>
                </w:tcPr>
                <w:p>
                  <w:pPr>
                    <w:ind w:firstLine="422" w:firstLineChars="200"/>
                    <w:rPr>
                      <w:b/>
                      <w:kern w:val="0"/>
                      <w:szCs w:val="21"/>
                    </w:rPr>
                  </w:pPr>
                  <w:r>
                    <w:rPr>
                      <w:rFonts w:hint="eastAsia"/>
                      <w:b/>
                      <w:kern w:val="0"/>
                      <w:szCs w:val="21"/>
                    </w:rPr>
                    <w:t>原辅料名称</w:t>
                  </w:r>
                </w:p>
              </w:tc>
              <w:tc>
                <w:tcPr>
                  <w:tcW w:w="1203" w:type="dxa"/>
                  <w:vAlign w:val="center"/>
                </w:tcPr>
                <w:p>
                  <w:pPr>
                    <w:rPr>
                      <w:b/>
                      <w:kern w:val="0"/>
                      <w:szCs w:val="21"/>
                    </w:rPr>
                  </w:pPr>
                  <w:r>
                    <w:rPr>
                      <w:rFonts w:hint="eastAsia"/>
                      <w:b/>
                      <w:kern w:val="0"/>
                      <w:szCs w:val="21"/>
                    </w:rPr>
                    <w:t>年消耗量</w:t>
                  </w:r>
                </w:p>
              </w:tc>
              <w:tc>
                <w:tcPr>
                  <w:tcW w:w="2217" w:type="dxa"/>
                  <w:vAlign w:val="center"/>
                </w:tcPr>
                <w:p>
                  <w:pPr>
                    <w:ind w:firstLine="422" w:firstLineChars="200"/>
                    <w:rPr>
                      <w:b/>
                      <w:kern w:val="0"/>
                      <w:szCs w:val="21"/>
                    </w:rPr>
                  </w:pPr>
                  <w:r>
                    <w:rPr>
                      <w:rFonts w:hint="eastAsia"/>
                      <w:b/>
                      <w:kern w:val="0"/>
                      <w:szCs w:val="21"/>
                    </w:rPr>
                    <w:t>来源及运输方式</w:t>
                  </w:r>
                </w:p>
              </w:tc>
              <w:tc>
                <w:tcPr>
                  <w:tcW w:w="1940" w:type="dxa"/>
                  <w:vAlign w:val="center"/>
                </w:tcPr>
                <w:p>
                  <w:pPr>
                    <w:ind w:firstLine="422" w:firstLineChars="200"/>
                    <w:rPr>
                      <w:b/>
                      <w:kern w:val="0"/>
                      <w:szCs w:val="21"/>
                    </w:rPr>
                  </w:pPr>
                  <w:r>
                    <w:rPr>
                      <w:rFonts w:hint="eastAsia"/>
                      <w:b/>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5" w:type="dxa"/>
                  <w:vAlign w:val="center"/>
                </w:tcPr>
                <w:p>
                  <w:pPr>
                    <w:ind w:firstLine="420" w:firstLineChars="200"/>
                    <w:rPr>
                      <w:kern w:val="0"/>
                      <w:szCs w:val="21"/>
                    </w:rPr>
                  </w:pPr>
                  <w:r>
                    <w:rPr>
                      <w:rFonts w:hint="eastAsia"/>
                      <w:kern w:val="0"/>
                      <w:szCs w:val="21"/>
                      <w:lang w:val="en-US"/>
                    </w:rPr>
                    <w:t>1</w:t>
                  </w:r>
                </w:p>
              </w:tc>
              <w:tc>
                <w:tcPr>
                  <w:tcW w:w="2147" w:type="dxa"/>
                  <w:vAlign w:val="center"/>
                </w:tcPr>
                <w:p>
                  <w:pPr>
                    <w:ind w:firstLine="420" w:firstLineChars="200"/>
                    <w:rPr>
                      <w:kern w:val="0"/>
                      <w:szCs w:val="21"/>
                    </w:rPr>
                  </w:pPr>
                  <w:r>
                    <w:rPr>
                      <w:rFonts w:hint="eastAsia"/>
                      <w:kern w:val="0"/>
                      <w:szCs w:val="21"/>
                    </w:rPr>
                    <w:t>陶瓷制品毛坯</w:t>
                  </w:r>
                </w:p>
              </w:tc>
              <w:tc>
                <w:tcPr>
                  <w:tcW w:w="1203" w:type="dxa"/>
                  <w:vAlign w:val="center"/>
                </w:tcPr>
                <w:p>
                  <w:pPr>
                    <w:rPr>
                      <w:kern w:val="0"/>
                      <w:szCs w:val="21"/>
                    </w:rPr>
                  </w:pPr>
                  <w:r>
                    <w:rPr>
                      <w:rFonts w:hint="eastAsia"/>
                      <w:kern w:val="0"/>
                      <w:szCs w:val="21"/>
                      <w:lang w:val="en-US"/>
                    </w:rPr>
                    <w:t>50万件</w:t>
                  </w:r>
                </w:p>
              </w:tc>
              <w:tc>
                <w:tcPr>
                  <w:tcW w:w="2217" w:type="dxa"/>
                  <w:vAlign w:val="center"/>
                </w:tcPr>
                <w:p>
                  <w:pPr>
                    <w:ind w:firstLine="420" w:firstLineChars="200"/>
                    <w:rPr>
                      <w:kern w:val="0"/>
                      <w:szCs w:val="21"/>
                    </w:rPr>
                  </w:pPr>
                  <w:r>
                    <w:rPr>
                      <w:rFonts w:hint="eastAsia"/>
                      <w:kern w:val="0"/>
                      <w:szCs w:val="21"/>
                    </w:rPr>
                    <w:t>外购，汽运</w:t>
                  </w:r>
                </w:p>
              </w:tc>
              <w:tc>
                <w:tcPr>
                  <w:tcW w:w="1940" w:type="dxa"/>
                  <w:vAlign w:val="center"/>
                </w:tcPr>
                <w:p>
                  <w:pPr>
                    <w:ind w:firstLine="420" w:firstLineChars="200"/>
                    <w:rPr>
                      <w:kern w:val="0"/>
                      <w:szCs w:val="21"/>
                    </w:rPr>
                  </w:pPr>
                  <w:r>
                    <w:rPr>
                      <w:rFonts w:hint="eastAsia"/>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5" w:type="dxa"/>
                  <w:vAlign w:val="center"/>
                </w:tcPr>
                <w:p>
                  <w:pPr>
                    <w:ind w:firstLine="420" w:firstLineChars="200"/>
                    <w:rPr>
                      <w:kern w:val="0"/>
                      <w:szCs w:val="21"/>
                    </w:rPr>
                  </w:pPr>
                  <w:r>
                    <w:rPr>
                      <w:rFonts w:hint="eastAsia"/>
                      <w:kern w:val="0"/>
                      <w:szCs w:val="21"/>
                      <w:lang w:val="en-US"/>
                    </w:rPr>
                    <w:t>2</w:t>
                  </w:r>
                </w:p>
              </w:tc>
              <w:tc>
                <w:tcPr>
                  <w:tcW w:w="2147" w:type="dxa"/>
                  <w:vAlign w:val="center"/>
                </w:tcPr>
                <w:p>
                  <w:pPr>
                    <w:ind w:firstLine="420" w:firstLineChars="200"/>
                    <w:rPr>
                      <w:kern w:val="0"/>
                      <w:szCs w:val="21"/>
                    </w:rPr>
                  </w:pPr>
                  <w:r>
                    <w:rPr>
                      <w:rFonts w:hint="eastAsia"/>
                      <w:kern w:val="0"/>
                      <w:szCs w:val="21"/>
                    </w:rPr>
                    <w:t>陶瓷模具毛坯</w:t>
                  </w:r>
                </w:p>
              </w:tc>
              <w:tc>
                <w:tcPr>
                  <w:tcW w:w="1203" w:type="dxa"/>
                  <w:vAlign w:val="center"/>
                </w:tcPr>
                <w:p>
                  <w:pPr>
                    <w:rPr>
                      <w:kern w:val="0"/>
                      <w:szCs w:val="21"/>
                      <w:lang w:val="en-US"/>
                    </w:rPr>
                  </w:pPr>
                  <w:r>
                    <w:rPr>
                      <w:rFonts w:hint="eastAsia"/>
                      <w:kern w:val="0"/>
                      <w:szCs w:val="21"/>
                      <w:lang w:val="en-US"/>
                    </w:rPr>
                    <w:t>50万件</w:t>
                  </w:r>
                </w:p>
              </w:tc>
              <w:tc>
                <w:tcPr>
                  <w:tcW w:w="2217" w:type="dxa"/>
                  <w:vAlign w:val="center"/>
                </w:tcPr>
                <w:p>
                  <w:pPr>
                    <w:ind w:firstLine="420" w:firstLineChars="200"/>
                    <w:rPr>
                      <w:kern w:val="0"/>
                      <w:szCs w:val="21"/>
                    </w:rPr>
                  </w:pPr>
                  <w:r>
                    <w:rPr>
                      <w:rFonts w:hint="eastAsia"/>
                      <w:kern w:val="0"/>
                      <w:szCs w:val="21"/>
                    </w:rPr>
                    <w:t>外购，汽运</w:t>
                  </w:r>
                </w:p>
              </w:tc>
              <w:tc>
                <w:tcPr>
                  <w:tcW w:w="1940" w:type="dxa"/>
                  <w:vAlign w:val="center"/>
                </w:tcPr>
                <w:p>
                  <w:pPr>
                    <w:ind w:firstLine="420" w:firstLineChars="200"/>
                    <w:rPr>
                      <w:kern w:val="0"/>
                      <w:szCs w:val="21"/>
                    </w:rPr>
                  </w:pPr>
                  <w:r>
                    <w:rPr>
                      <w:rFonts w:hint="eastAsia"/>
                      <w:kern w:val="0"/>
                      <w:szCs w:val="21"/>
                      <w:lang w:val="en-US"/>
                    </w:rPr>
                    <w:t>/</w:t>
                  </w:r>
                </w:p>
              </w:tc>
            </w:tr>
          </w:tbl>
          <w:p>
            <w:pPr>
              <w:spacing w:line="360" w:lineRule="auto"/>
              <w:ind w:firstLine="480" w:firstLineChars="200"/>
              <w:rPr>
                <w:rFonts w:hAnsi="宋体"/>
                <w:kern w:val="0"/>
                <w:sz w:val="24"/>
                <w:szCs w:val="24"/>
              </w:rPr>
            </w:pPr>
            <w:r>
              <w:rPr>
                <w:rFonts w:hint="eastAsia" w:hAnsi="宋体"/>
                <w:kern w:val="0"/>
                <w:sz w:val="24"/>
                <w:szCs w:val="24"/>
              </w:rPr>
              <w:t>建设项目主要生产及辅助设备见</w:t>
            </w:r>
            <w:r>
              <w:rPr>
                <w:rFonts w:hint="eastAsia"/>
                <w:kern w:val="0"/>
                <w:sz w:val="24"/>
                <w:szCs w:val="24"/>
              </w:rPr>
              <w:t>表1-</w:t>
            </w:r>
            <w:r>
              <w:rPr>
                <w:rFonts w:hint="eastAsia"/>
                <w:kern w:val="0"/>
                <w:sz w:val="24"/>
                <w:szCs w:val="24"/>
                <w:lang w:val="en-US"/>
              </w:rPr>
              <w:t>3</w:t>
            </w:r>
            <w:r>
              <w:rPr>
                <w:rFonts w:hint="eastAsia"/>
                <w:kern w:val="0"/>
                <w:sz w:val="24"/>
                <w:szCs w:val="24"/>
              </w:rPr>
              <w:t>。</w:t>
            </w:r>
          </w:p>
          <w:p>
            <w:pPr>
              <w:ind w:firstLine="482" w:firstLineChars="200"/>
              <w:jc w:val="center"/>
              <w:rPr>
                <w:rFonts w:hint="eastAsia" w:hAnsi="宋体"/>
                <w:b/>
                <w:kern w:val="0"/>
                <w:sz w:val="24"/>
                <w:szCs w:val="24"/>
              </w:rPr>
            </w:pPr>
            <w:r>
              <w:rPr>
                <w:rFonts w:hint="eastAsia" w:hAnsi="宋体"/>
                <w:b/>
                <w:kern w:val="0"/>
                <w:sz w:val="24"/>
                <w:szCs w:val="24"/>
              </w:rPr>
              <w:t>表1-</w:t>
            </w:r>
            <w:r>
              <w:rPr>
                <w:rFonts w:hint="eastAsia" w:hAnsi="宋体"/>
                <w:b/>
                <w:kern w:val="0"/>
                <w:sz w:val="24"/>
                <w:szCs w:val="24"/>
                <w:lang w:val="en-US"/>
              </w:rPr>
              <w:t xml:space="preserve">3  </w:t>
            </w:r>
            <w:r>
              <w:rPr>
                <w:rFonts w:hint="eastAsia" w:hAnsi="宋体"/>
                <w:b/>
                <w:kern w:val="0"/>
                <w:sz w:val="24"/>
                <w:szCs w:val="24"/>
              </w:rPr>
              <w:t>主要生产及辅助设备表</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31"/>
              <w:gridCol w:w="2099"/>
              <w:gridCol w:w="1451"/>
              <w:gridCol w:w="184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b/>
                      <w:kern w:val="0"/>
                      <w:szCs w:val="21"/>
                    </w:rPr>
                  </w:pPr>
                  <w:r>
                    <w:rPr>
                      <w:rFonts w:hint="eastAsia"/>
                      <w:b/>
                      <w:kern w:val="0"/>
                      <w:szCs w:val="21"/>
                    </w:rPr>
                    <w:t>序号</w:t>
                  </w:r>
                </w:p>
              </w:tc>
              <w:tc>
                <w:tcPr>
                  <w:tcW w:w="2231" w:type="dxa"/>
                  <w:vAlign w:val="center"/>
                </w:tcPr>
                <w:p>
                  <w:pPr>
                    <w:adjustRightInd w:val="0"/>
                    <w:snapToGrid w:val="0"/>
                    <w:jc w:val="center"/>
                    <w:rPr>
                      <w:b/>
                      <w:kern w:val="0"/>
                      <w:szCs w:val="21"/>
                    </w:rPr>
                  </w:pPr>
                  <w:r>
                    <w:rPr>
                      <w:b/>
                      <w:kern w:val="0"/>
                      <w:szCs w:val="21"/>
                    </w:rPr>
                    <w:t>名称</w:t>
                  </w:r>
                </w:p>
              </w:tc>
              <w:tc>
                <w:tcPr>
                  <w:tcW w:w="2099" w:type="dxa"/>
                  <w:vAlign w:val="center"/>
                </w:tcPr>
                <w:p>
                  <w:pPr>
                    <w:adjustRightInd w:val="0"/>
                    <w:snapToGrid w:val="0"/>
                    <w:jc w:val="center"/>
                    <w:rPr>
                      <w:b/>
                      <w:kern w:val="0"/>
                      <w:szCs w:val="21"/>
                    </w:rPr>
                  </w:pPr>
                  <w:r>
                    <w:rPr>
                      <w:b/>
                      <w:kern w:val="0"/>
                      <w:szCs w:val="21"/>
                    </w:rPr>
                    <w:t>规格（型号）</w:t>
                  </w:r>
                </w:p>
              </w:tc>
              <w:tc>
                <w:tcPr>
                  <w:tcW w:w="1451" w:type="dxa"/>
                  <w:vAlign w:val="center"/>
                </w:tcPr>
                <w:p>
                  <w:pPr>
                    <w:adjustRightInd w:val="0"/>
                    <w:snapToGrid w:val="0"/>
                    <w:jc w:val="center"/>
                    <w:rPr>
                      <w:b/>
                      <w:kern w:val="0"/>
                      <w:szCs w:val="21"/>
                    </w:rPr>
                  </w:pPr>
                  <w:r>
                    <w:rPr>
                      <w:b/>
                      <w:kern w:val="0"/>
                      <w:szCs w:val="21"/>
                    </w:rPr>
                    <w:t>数量（单位）</w:t>
                  </w:r>
                </w:p>
              </w:tc>
              <w:tc>
                <w:tcPr>
                  <w:tcW w:w="1847" w:type="dxa"/>
                  <w:vAlign w:val="center"/>
                </w:tcPr>
                <w:p>
                  <w:pPr>
                    <w:adjustRightInd w:val="0"/>
                    <w:snapToGrid w:val="0"/>
                    <w:jc w:val="center"/>
                    <w:rPr>
                      <w:b/>
                      <w:kern w:val="0"/>
                      <w:szCs w:val="21"/>
                    </w:rPr>
                  </w:pPr>
                  <w:r>
                    <w:rPr>
                      <w:b/>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w:t>
                  </w:r>
                </w:p>
              </w:tc>
              <w:tc>
                <w:tcPr>
                  <w:tcW w:w="2231" w:type="dxa"/>
                  <w:vMerge w:val="restart"/>
                  <w:vAlign w:val="center"/>
                </w:tcPr>
                <w:p>
                  <w:pPr>
                    <w:adjustRightInd w:val="0"/>
                    <w:snapToGrid w:val="0"/>
                    <w:ind w:firstLine="420" w:firstLineChars="200"/>
                    <w:jc w:val="center"/>
                    <w:rPr>
                      <w:szCs w:val="21"/>
                    </w:rPr>
                  </w:pPr>
                  <w:r>
                    <w:rPr>
                      <w:rFonts w:hAnsi="宋体"/>
                      <w:szCs w:val="24"/>
                    </w:rPr>
                    <w:t>加工中心</w:t>
                  </w:r>
                </w:p>
              </w:tc>
              <w:tc>
                <w:tcPr>
                  <w:tcW w:w="2099" w:type="dxa"/>
                  <w:vAlign w:val="center"/>
                </w:tcPr>
                <w:p>
                  <w:pPr>
                    <w:adjustRightInd w:val="0"/>
                    <w:snapToGrid w:val="0"/>
                    <w:ind w:left="420" w:leftChars="200"/>
                    <w:jc w:val="center"/>
                    <w:rPr>
                      <w:kern w:val="0"/>
                      <w:szCs w:val="21"/>
                    </w:rPr>
                  </w:pPr>
                  <w:r>
                    <w:rPr>
                      <w:szCs w:val="21"/>
                      <w:lang w:val="en-US"/>
                    </w:rPr>
                    <w:t>D600</w:t>
                  </w:r>
                </w:p>
              </w:tc>
              <w:tc>
                <w:tcPr>
                  <w:tcW w:w="1451" w:type="dxa"/>
                  <w:vAlign w:val="center"/>
                </w:tcPr>
                <w:p>
                  <w:pPr>
                    <w:adjustRightInd w:val="0"/>
                    <w:snapToGrid w:val="0"/>
                    <w:jc w:val="center"/>
                    <w:rPr>
                      <w:szCs w:val="21"/>
                      <w:lang w:val="en-US"/>
                    </w:rPr>
                  </w:pPr>
                  <w:r>
                    <w:rPr>
                      <w:rFonts w:hint="eastAsia"/>
                      <w:szCs w:val="21"/>
                      <w:lang w:val="en-US"/>
                    </w:rPr>
                    <w:t>2</w:t>
                  </w:r>
                </w:p>
              </w:tc>
              <w:tc>
                <w:tcPr>
                  <w:tcW w:w="1847" w:type="dxa"/>
                  <w:vAlign w:val="center"/>
                </w:tcPr>
                <w:p>
                  <w:pPr>
                    <w:adjustRightInd w:val="0"/>
                    <w:snapToGrid w:val="0"/>
                    <w:jc w:val="center"/>
                    <w:rPr>
                      <w:szCs w:val="21"/>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2</w:t>
                  </w:r>
                </w:p>
              </w:tc>
              <w:tc>
                <w:tcPr>
                  <w:tcW w:w="2231" w:type="dxa"/>
                  <w:vMerge w:val="continue"/>
                  <w:vAlign w:val="center"/>
                </w:tcPr>
                <w:p>
                  <w:pPr>
                    <w:adjustRightInd w:val="0"/>
                    <w:snapToGrid w:val="0"/>
                    <w:ind w:firstLine="420" w:firstLineChars="200"/>
                    <w:jc w:val="center"/>
                    <w:rPr>
                      <w:szCs w:val="21"/>
                    </w:rPr>
                  </w:pPr>
                </w:p>
              </w:tc>
              <w:tc>
                <w:tcPr>
                  <w:tcW w:w="2099" w:type="dxa"/>
                  <w:vAlign w:val="center"/>
                </w:tcPr>
                <w:p>
                  <w:pPr>
                    <w:adjustRightInd w:val="0"/>
                    <w:snapToGrid w:val="0"/>
                    <w:ind w:left="420" w:leftChars="200"/>
                    <w:jc w:val="center"/>
                    <w:rPr>
                      <w:kern w:val="0"/>
                      <w:szCs w:val="21"/>
                    </w:rPr>
                  </w:pPr>
                  <w:r>
                    <w:rPr>
                      <w:szCs w:val="21"/>
                      <w:lang w:val="en-US"/>
                    </w:rPr>
                    <w:t>KML-500</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3</w:t>
                  </w:r>
                </w:p>
              </w:tc>
              <w:tc>
                <w:tcPr>
                  <w:tcW w:w="2231" w:type="dxa"/>
                  <w:vMerge w:val="continue"/>
                  <w:vAlign w:val="center"/>
                </w:tcPr>
                <w:p>
                  <w:pPr>
                    <w:adjustRightInd w:val="0"/>
                    <w:snapToGrid w:val="0"/>
                    <w:ind w:firstLine="420" w:firstLineChars="200"/>
                    <w:jc w:val="center"/>
                    <w:rPr>
                      <w:szCs w:val="21"/>
                    </w:rPr>
                  </w:pPr>
                </w:p>
              </w:tc>
              <w:tc>
                <w:tcPr>
                  <w:tcW w:w="2099" w:type="dxa"/>
                  <w:vAlign w:val="center"/>
                </w:tcPr>
                <w:p>
                  <w:pPr>
                    <w:adjustRightInd w:val="0"/>
                    <w:snapToGrid w:val="0"/>
                    <w:ind w:left="420" w:leftChars="200"/>
                    <w:jc w:val="center"/>
                    <w:rPr>
                      <w:kern w:val="0"/>
                      <w:szCs w:val="21"/>
                    </w:rPr>
                  </w:pPr>
                  <w:r>
                    <w:rPr>
                      <w:szCs w:val="21"/>
                      <w:lang w:val="en-US"/>
                    </w:rPr>
                    <w:t>VE6060</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4</w:t>
                  </w:r>
                </w:p>
              </w:tc>
              <w:tc>
                <w:tcPr>
                  <w:tcW w:w="2231" w:type="dxa"/>
                  <w:vMerge w:val="continue"/>
                  <w:vAlign w:val="center"/>
                </w:tcPr>
                <w:p>
                  <w:pPr>
                    <w:adjustRightInd w:val="0"/>
                    <w:snapToGrid w:val="0"/>
                    <w:ind w:firstLine="420" w:firstLineChars="200"/>
                    <w:jc w:val="center"/>
                    <w:rPr>
                      <w:szCs w:val="21"/>
                    </w:rPr>
                  </w:pPr>
                </w:p>
              </w:tc>
              <w:tc>
                <w:tcPr>
                  <w:tcW w:w="2099" w:type="dxa"/>
                  <w:vAlign w:val="center"/>
                </w:tcPr>
                <w:p>
                  <w:pPr>
                    <w:adjustRightInd w:val="0"/>
                    <w:snapToGrid w:val="0"/>
                    <w:ind w:left="420" w:leftChars="200"/>
                    <w:jc w:val="center"/>
                    <w:rPr>
                      <w:kern w:val="0"/>
                      <w:szCs w:val="21"/>
                    </w:rPr>
                  </w:pPr>
                  <w:r>
                    <w:rPr>
                      <w:szCs w:val="21"/>
                      <w:lang w:val="en-US"/>
                    </w:rPr>
                    <w:t>800×700</w:t>
                  </w:r>
                </w:p>
              </w:tc>
              <w:tc>
                <w:tcPr>
                  <w:tcW w:w="1451" w:type="dxa"/>
                  <w:vAlign w:val="center"/>
                </w:tcPr>
                <w:p>
                  <w:pPr>
                    <w:adjustRightInd w:val="0"/>
                    <w:snapToGrid w:val="0"/>
                    <w:jc w:val="center"/>
                    <w:rPr>
                      <w:szCs w:val="21"/>
                      <w:lang w:val="en-US"/>
                    </w:rPr>
                  </w:pPr>
                  <w:r>
                    <w:rPr>
                      <w:rFonts w:hint="eastAsia"/>
                      <w:szCs w:val="21"/>
                      <w:lang w:val="en-US"/>
                    </w:rPr>
                    <w:t>6</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5</w:t>
                  </w:r>
                </w:p>
              </w:tc>
              <w:tc>
                <w:tcPr>
                  <w:tcW w:w="2231" w:type="dxa"/>
                  <w:vMerge w:val="continue"/>
                  <w:vAlign w:val="center"/>
                </w:tcPr>
                <w:p>
                  <w:pPr>
                    <w:adjustRightInd w:val="0"/>
                    <w:snapToGrid w:val="0"/>
                    <w:ind w:firstLine="420" w:firstLineChars="200"/>
                    <w:jc w:val="center"/>
                    <w:rPr>
                      <w:szCs w:val="21"/>
                    </w:rPr>
                  </w:pPr>
                </w:p>
              </w:tc>
              <w:tc>
                <w:tcPr>
                  <w:tcW w:w="2099" w:type="dxa"/>
                  <w:vAlign w:val="center"/>
                </w:tcPr>
                <w:p>
                  <w:pPr>
                    <w:adjustRightInd w:val="0"/>
                    <w:snapToGrid w:val="0"/>
                    <w:ind w:left="420" w:leftChars="200"/>
                    <w:jc w:val="center"/>
                    <w:rPr>
                      <w:kern w:val="0"/>
                      <w:szCs w:val="21"/>
                    </w:rPr>
                  </w:pPr>
                  <w:r>
                    <w:rPr>
                      <w:szCs w:val="21"/>
                      <w:lang w:val="en-US"/>
                    </w:rPr>
                    <w:t>600×540</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6</w:t>
                  </w:r>
                </w:p>
              </w:tc>
              <w:tc>
                <w:tcPr>
                  <w:tcW w:w="2231" w:type="dxa"/>
                  <w:vAlign w:val="center"/>
                </w:tcPr>
                <w:p>
                  <w:pPr>
                    <w:adjustRightInd w:val="0"/>
                    <w:snapToGrid w:val="0"/>
                    <w:jc w:val="center"/>
                    <w:rPr>
                      <w:szCs w:val="21"/>
                      <w:lang w:val="en-US"/>
                    </w:rPr>
                  </w:pPr>
                  <w:r>
                    <w:rPr>
                      <w:rFonts w:hint="eastAsia"/>
                      <w:szCs w:val="21"/>
                      <w:lang w:val="en-US"/>
                    </w:rPr>
                    <w:t>磨床</w:t>
                  </w:r>
                </w:p>
              </w:tc>
              <w:tc>
                <w:tcPr>
                  <w:tcW w:w="2099" w:type="dxa"/>
                  <w:vAlign w:val="center"/>
                </w:tcPr>
                <w:p>
                  <w:pPr>
                    <w:adjustRightInd w:val="0"/>
                    <w:snapToGrid w:val="0"/>
                    <w:ind w:left="420" w:leftChars="200"/>
                    <w:jc w:val="center"/>
                    <w:rPr>
                      <w:szCs w:val="21"/>
                    </w:rPr>
                  </w:pPr>
                  <w:r>
                    <w:rPr>
                      <w:szCs w:val="21"/>
                      <w:lang w:val="en-US"/>
                    </w:rPr>
                    <w:t>CS6150</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车床改装</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7</w:t>
                  </w:r>
                </w:p>
              </w:tc>
              <w:tc>
                <w:tcPr>
                  <w:tcW w:w="2231" w:type="dxa"/>
                  <w:vAlign w:val="center"/>
                </w:tcPr>
                <w:p>
                  <w:pPr>
                    <w:adjustRightInd w:val="0"/>
                    <w:snapToGrid w:val="0"/>
                    <w:jc w:val="center"/>
                    <w:rPr>
                      <w:szCs w:val="21"/>
                    </w:rPr>
                  </w:pPr>
                  <w:r>
                    <w:rPr>
                      <w:rFonts w:hint="eastAsia"/>
                      <w:szCs w:val="21"/>
                      <w:lang w:val="en-US"/>
                    </w:rPr>
                    <w:t>磨床</w:t>
                  </w:r>
                </w:p>
              </w:tc>
              <w:tc>
                <w:tcPr>
                  <w:tcW w:w="2099" w:type="dxa"/>
                  <w:vAlign w:val="center"/>
                </w:tcPr>
                <w:p>
                  <w:pPr>
                    <w:adjustRightInd w:val="0"/>
                    <w:snapToGrid w:val="0"/>
                    <w:ind w:left="420" w:leftChars="200"/>
                    <w:jc w:val="center"/>
                    <w:rPr>
                      <w:szCs w:val="21"/>
                    </w:rPr>
                  </w:pPr>
                  <w:r>
                    <w:rPr>
                      <w:szCs w:val="21"/>
                      <w:lang w:val="en-US"/>
                    </w:rPr>
                    <w:t>6140</w:t>
                  </w:r>
                </w:p>
              </w:tc>
              <w:tc>
                <w:tcPr>
                  <w:tcW w:w="1451" w:type="dxa"/>
                  <w:vAlign w:val="center"/>
                </w:tcPr>
                <w:p>
                  <w:pPr>
                    <w:adjustRightInd w:val="0"/>
                    <w:snapToGrid w:val="0"/>
                    <w:jc w:val="center"/>
                    <w:rPr>
                      <w:szCs w:val="21"/>
                      <w:lang w:val="en-US"/>
                    </w:rPr>
                  </w:pPr>
                  <w:r>
                    <w:rPr>
                      <w:rFonts w:hint="eastAsia"/>
                      <w:szCs w:val="21"/>
                      <w:lang w:val="en-US"/>
                    </w:rPr>
                    <w:t>2</w:t>
                  </w:r>
                </w:p>
              </w:tc>
              <w:tc>
                <w:tcPr>
                  <w:tcW w:w="1847" w:type="dxa"/>
                  <w:vAlign w:val="center"/>
                </w:tcPr>
                <w:p>
                  <w:pPr>
                    <w:adjustRightInd w:val="0"/>
                    <w:snapToGrid w:val="0"/>
                    <w:jc w:val="center"/>
                    <w:rPr>
                      <w:szCs w:val="21"/>
                      <w:lang w:val="en-US"/>
                    </w:rPr>
                  </w:pPr>
                  <w:r>
                    <w:rPr>
                      <w:rFonts w:hint="eastAsia"/>
                      <w:szCs w:val="21"/>
                      <w:lang w:val="en-US"/>
                    </w:rPr>
                    <w:t>车床改装</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8</w:t>
                  </w:r>
                </w:p>
              </w:tc>
              <w:tc>
                <w:tcPr>
                  <w:tcW w:w="2231" w:type="dxa"/>
                  <w:vAlign w:val="center"/>
                </w:tcPr>
                <w:p>
                  <w:pPr>
                    <w:adjustRightInd w:val="0"/>
                    <w:snapToGrid w:val="0"/>
                    <w:jc w:val="center"/>
                    <w:rPr>
                      <w:szCs w:val="21"/>
                    </w:rPr>
                  </w:pPr>
                  <w:r>
                    <w:rPr>
                      <w:rFonts w:hint="eastAsia"/>
                      <w:szCs w:val="21"/>
                    </w:rPr>
                    <w:t>万能外圆磨床</w:t>
                  </w:r>
                </w:p>
              </w:tc>
              <w:tc>
                <w:tcPr>
                  <w:tcW w:w="2099" w:type="dxa"/>
                  <w:vAlign w:val="center"/>
                </w:tcPr>
                <w:p>
                  <w:pPr>
                    <w:adjustRightInd w:val="0"/>
                    <w:snapToGrid w:val="0"/>
                    <w:ind w:left="420" w:leftChars="200"/>
                    <w:jc w:val="center"/>
                    <w:rPr>
                      <w:szCs w:val="21"/>
                    </w:rPr>
                  </w:pPr>
                  <w:r>
                    <w:rPr>
                      <w:szCs w:val="21"/>
                      <w:lang w:val="en-US"/>
                    </w:rPr>
                    <w:t>M1432B</w:t>
                  </w:r>
                </w:p>
              </w:tc>
              <w:tc>
                <w:tcPr>
                  <w:tcW w:w="1451" w:type="dxa"/>
                  <w:vAlign w:val="center"/>
                </w:tcPr>
                <w:p>
                  <w:pPr>
                    <w:adjustRightInd w:val="0"/>
                    <w:snapToGrid w:val="0"/>
                    <w:jc w:val="center"/>
                    <w:rPr>
                      <w:szCs w:val="21"/>
                      <w:lang w:val="en-US"/>
                    </w:rPr>
                  </w:pPr>
                  <w:r>
                    <w:rPr>
                      <w:rFonts w:hint="eastAsia"/>
                      <w:szCs w:val="21"/>
                      <w:lang w:val="en-US"/>
                    </w:rPr>
                    <w:t>2</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9</w:t>
                  </w:r>
                </w:p>
              </w:tc>
              <w:tc>
                <w:tcPr>
                  <w:tcW w:w="2231" w:type="dxa"/>
                  <w:vAlign w:val="center"/>
                </w:tcPr>
                <w:p>
                  <w:pPr>
                    <w:adjustRightInd w:val="0"/>
                    <w:snapToGrid w:val="0"/>
                    <w:jc w:val="center"/>
                    <w:rPr>
                      <w:szCs w:val="21"/>
                    </w:rPr>
                  </w:pPr>
                  <w:r>
                    <w:rPr>
                      <w:rFonts w:hint="eastAsia"/>
                      <w:szCs w:val="21"/>
                    </w:rPr>
                    <w:t>平面磨床</w:t>
                  </w:r>
                </w:p>
              </w:tc>
              <w:tc>
                <w:tcPr>
                  <w:tcW w:w="2099" w:type="dxa"/>
                  <w:vAlign w:val="center"/>
                </w:tcPr>
                <w:p>
                  <w:pPr>
                    <w:adjustRightInd w:val="0"/>
                    <w:snapToGrid w:val="0"/>
                    <w:ind w:left="420" w:leftChars="200"/>
                    <w:jc w:val="center"/>
                    <w:rPr>
                      <w:szCs w:val="21"/>
                    </w:rPr>
                  </w:pPr>
                  <w:r>
                    <w:rPr>
                      <w:szCs w:val="21"/>
                      <w:lang w:val="en-US"/>
                    </w:rPr>
                    <w:t>M7130、HZ-033/3S</w:t>
                  </w:r>
                </w:p>
              </w:tc>
              <w:tc>
                <w:tcPr>
                  <w:tcW w:w="1451" w:type="dxa"/>
                  <w:vAlign w:val="center"/>
                </w:tcPr>
                <w:p>
                  <w:pPr>
                    <w:adjustRightInd w:val="0"/>
                    <w:snapToGrid w:val="0"/>
                    <w:jc w:val="center"/>
                    <w:rPr>
                      <w:szCs w:val="21"/>
                      <w:lang w:val="en-US"/>
                    </w:rPr>
                  </w:pPr>
                  <w:r>
                    <w:rPr>
                      <w:rFonts w:hint="eastAsia"/>
                      <w:szCs w:val="21"/>
                      <w:lang w:val="en-US"/>
                    </w:rPr>
                    <w:t>2</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10</w:t>
                  </w:r>
                </w:p>
              </w:tc>
              <w:tc>
                <w:tcPr>
                  <w:tcW w:w="2231" w:type="dxa"/>
                  <w:vAlign w:val="center"/>
                </w:tcPr>
                <w:p>
                  <w:pPr>
                    <w:adjustRightInd w:val="0"/>
                    <w:snapToGrid w:val="0"/>
                    <w:jc w:val="center"/>
                    <w:rPr>
                      <w:szCs w:val="21"/>
                    </w:rPr>
                  </w:pPr>
                  <w:r>
                    <w:rPr>
                      <w:rFonts w:hint="eastAsia"/>
                      <w:szCs w:val="21"/>
                    </w:rPr>
                    <w:t>铣床</w:t>
                  </w:r>
                </w:p>
              </w:tc>
              <w:tc>
                <w:tcPr>
                  <w:tcW w:w="2099" w:type="dxa"/>
                  <w:vAlign w:val="center"/>
                </w:tcPr>
                <w:p>
                  <w:pPr>
                    <w:adjustRightInd w:val="0"/>
                    <w:snapToGrid w:val="0"/>
                    <w:ind w:left="420" w:leftChars="200"/>
                    <w:jc w:val="center"/>
                    <w:rPr>
                      <w:szCs w:val="21"/>
                    </w:rPr>
                  </w:pPr>
                  <w:r>
                    <w:rPr>
                      <w:rFonts w:hint="eastAsia"/>
                      <w:szCs w:val="21"/>
                      <w:lang w:val="en-US"/>
                    </w:rPr>
                    <w:t>佑台4S</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11</w:t>
                  </w:r>
                </w:p>
              </w:tc>
              <w:tc>
                <w:tcPr>
                  <w:tcW w:w="2231" w:type="dxa"/>
                  <w:vAlign w:val="center"/>
                </w:tcPr>
                <w:p>
                  <w:pPr>
                    <w:adjustRightInd w:val="0"/>
                    <w:snapToGrid w:val="0"/>
                    <w:jc w:val="center"/>
                    <w:rPr>
                      <w:szCs w:val="21"/>
                    </w:rPr>
                  </w:pPr>
                  <w:r>
                    <w:rPr>
                      <w:rFonts w:hint="eastAsia"/>
                      <w:szCs w:val="21"/>
                    </w:rPr>
                    <w:t>检验仪</w:t>
                  </w:r>
                </w:p>
              </w:tc>
              <w:tc>
                <w:tcPr>
                  <w:tcW w:w="2099" w:type="dxa"/>
                  <w:vAlign w:val="center"/>
                </w:tcPr>
                <w:p>
                  <w:pPr>
                    <w:adjustRightInd w:val="0"/>
                    <w:snapToGrid w:val="0"/>
                    <w:ind w:left="420" w:leftChars="200"/>
                    <w:jc w:val="center"/>
                    <w:rPr>
                      <w:szCs w:val="21"/>
                    </w:rPr>
                  </w:pPr>
                  <w:r>
                    <w:rPr>
                      <w:szCs w:val="21"/>
                      <w:lang w:val="en-US"/>
                    </w:rPr>
                    <w:t>SUNYO</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12</w:t>
                  </w:r>
                </w:p>
              </w:tc>
              <w:tc>
                <w:tcPr>
                  <w:tcW w:w="2231" w:type="dxa"/>
                  <w:vAlign w:val="center"/>
                </w:tcPr>
                <w:p>
                  <w:pPr>
                    <w:adjustRightInd w:val="0"/>
                    <w:snapToGrid w:val="0"/>
                    <w:jc w:val="center"/>
                    <w:rPr>
                      <w:szCs w:val="21"/>
                    </w:rPr>
                  </w:pPr>
                  <w:r>
                    <w:rPr>
                      <w:rFonts w:hint="eastAsia"/>
                      <w:szCs w:val="21"/>
                    </w:rPr>
                    <w:t>除尘器</w:t>
                  </w:r>
                </w:p>
              </w:tc>
              <w:tc>
                <w:tcPr>
                  <w:tcW w:w="2099" w:type="dxa"/>
                  <w:vAlign w:val="center"/>
                </w:tcPr>
                <w:p>
                  <w:pPr>
                    <w:adjustRightInd w:val="0"/>
                    <w:snapToGrid w:val="0"/>
                    <w:jc w:val="center"/>
                    <w:rPr>
                      <w:szCs w:val="21"/>
                      <w:lang w:val="en-US"/>
                    </w:rPr>
                  </w:pPr>
                  <w:r>
                    <w:rPr>
                      <w:rFonts w:hint="eastAsia"/>
                      <w:szCs w:val="21"/>
                      <w:lang w:val="en-US"/>
                    </w:rPr>
                    <w:t>PL-2200</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13</w:t>
                  </w:r>
                </w:p>
              </w:tc>
              <w:tc>
                <w:tcPr>
                  <w:tcW w:w="2231" w:type="dxa"/>
                  <w:vAlign w:val="center"/>
                </w:tcPr>
                <w:p>
                  <w:pPr>
                    <w:adjustRightInd w:val="0"/>
                    <w:snapToGrid w:val="0"/>
                    <w:jc w:val="center"/>
                    <w:rPr>
                      <w:szCs w:val="21"/>
                    </w:rPr>
                  </w:pPr>
                  <w:r>
                    <w:rPr>
                      <w:rFonts w:hint="eastAsia"/>
                      <w:szCs w:val="21"/>
                    </w:rPr>
                    <w:t>空压机</w:t>
                  </w:r>
                </w:p>
              </w:tc>
              <w:tc>
                <w:tcPr>
                  <w:tcW w:w="2099" w:type="dxa"/>
                  <w:vAlign w:val="center"/>
                </w:tcPr>
                <w:p>
                  <w:pPr>
                    <w:adjustRightInd w:val="0"/>
                    <w:snapToGrid w:val="0"/>
                    <w:jc w:val="center"/>
                    <w:rPr>
                      <w:szCs w:val="21"/>
                      <w:lang w:val="en-US"/>
                    </w:rPr>
                  </w:pPr>
                  <w:r>
                    <w:rPr>
                      <w:rFonts w:hint="eastAsia"/>
                      <w:szCs w:val="21"/>
                      <w:lang w:val="en-US"/>
                    </w:rPr>
                    <w:t>/</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34" w:type="dxa"/>
                  <w:vAlign w:val="center"/>
                </w:tcPr>
                <w:p>
                  <w:pPr>
                    <w:adjustRightInd w:val="0"/>
                    <w:snapToGrid w:val="0"/>
                    <w:jc w:val="center"/>
                    <w:rPr>
                      <w:kern w:val="0"/>
                      <w:szCs w:val="21"/>
                      <w:lang w:val="en-US"/>
                    </w:rPr>
                  </w:pPr>
                  <w:r>
                    <w:rPr>
                      <w:rFonts w:hint="eastAsia"/>
                      <w:kern w:val="0"/>
                      <w:szCs w:val="21"/>
                      <w:lang w:val="en-US"/>
                    </w:rPr>
                    <w:t>14</w:t>
                  </w:r>
                </w:p>
              </w:tc>
              <w:tc>
                <w:tcPr>
                  <w:tcW w:w="2231" w:type="dxa"/>
                  <w:vAlign w:val="center"/>
                </w:tcPr>
                <w:p>
                  <w:pPr>
                    <w:adjustRightInd w:val="0"/>
                    <w:snapToGrid w:val="0"/>
                    <w:jc w:val="center"/>
                    <w:rPr>
                      <w:szCs w:val="21"/>
                      <w:lang w:val="en-US"/>
                    </w:rPr>
                  </w:pPr>
                  <w:r>
                    <w:rPr>
                      <w:rFonts w:hint="eastAsia"/>
                      <w:szCs w:val="21"/>
                      <w:lang w:val="en-US"/>
                    </w:rPr>
                    <w:t>干燥箱</w:t>
                  </w:r>
                </w:p>
              </w:tc>
              <w:tc>
                <w:tcPr>
                  <w:tcW w:w="2099" w:type="dxa"/>
                  <w:vAlign w:val="center"/>
                </w:tcPr>
                <w:p>
                  <w:pPr>
                    <w:adjustRightInd w:val="0"/>
                    <w:snapToGrid w:val="0"/>
                    <w:jc w:val="center"/>
                    <w:rPr>
                      <w:szCs w:val="21"/>
                      <w:lang w:val="en-US"/>
                    </w:rPr>
                  </w:pPr>
                  <w:r>
                    <w:rPr>
                      <w:rFonts w:hint="eastAsia"/>
                      <w:szCs w:val="21"/>
                      <w:lang w:val="en-US"/>
                    </w:rPr>
                    <w:t>/</w:t>
                  </w:r>
                </w:p>
              </w:tc>
              <w:tc>
                <w:tcPr>
                  <w:tcW w:w="1451" w:type="dxa"/>
                  <w:vAlign w:val="center"/>
                </w:tcPr>
                <w:p>
                  <w:pPr>
                    <w:adjustRightInd w:val="0"/>
                    <w:snapToGrid w:val="0"/>
                    <w:jc w:val="center"/>
                    <w:rPr>
                      <w:szCs w:val="21"/>
                      <w:lang w:val="en-US"/>
                    </w:rPr>
                  </w:pPr>
                  <w:r>
                    <w:rPr>
                      <w:rFonts w:hint="eastAsia"/>
                      <w:szCs w:val="21"/>
                      <w:lang w:val="en-US"/>
                    </w:rPr>
                    <w:t>1</w:t>
                  </w:r>
                </w:p>
              </w:tc>
              <w:tc>
                <w:tcPr>
                  <w:tcW w:w="1847" w:type="dxa"/>
                  <w:vAlign w:val="center"/>
                </w:tcPr>
                <w:p>
                  <w:pPr>
                    <w:adjustRightInd w:val="0"/>
                    <w:snapToGrid w:val="0"/>
                    <w:jc w:val="center"/>
                    <w:rPr>
                      <w:szCs w:val="21"/>
                      <w:lang w:val="en-US"/>
                    </w:rPr>
                  </w:pPr>
                  <w:r>
                    <w:rPr>
                      <w:rFonts w:hint="eastAsia"/>
                      <w:szCs w:val="21"/>
                      <w:lang w:val="en-US"/>
                    </w:rPr>
                    <w:t>/</w:t>
                  </w:r>
                </w:p>
              </w:tc>
            </w:tr>
          </w:tbl>
          <w:p>
            <w:pPr>
              <w:spacing w:line="360" w:lineRule="auto"/>
              <w:ind w:firstLine="480" w:firstLineChars="200"/>
              <w:rPr>
                <w:kern w:val="0"/>
                <w:sz w:val="24"/>
                <w:szCs w:val="24"/>
              </w:rPr>
            </w:pPr>
            <w:r>
              <w:rPr>
                <w:rFonts w:hint="eastAsia" w:hAnsi="宋体"/>
                <w:kern w:val="0"/>
                <w:sz w:val="24"/>
                <w:szCs w:val="24"/>
              </w:rPr>
              <w:t>建设项目</w:t>
            </w:r>
            <w:r>
              <w:rPr>
                <w:rFonts w:hint="eastAsia"/>
                <w:kern w:val="0"/>
                <w:sz w:val="24"/>
                <w:szCs w:val="24"/>
              </w:rPr>
              <w:t>公用及辅助工程见表1-</w:t>
            </w:r>
            <w:r>
              <w:rPr>
                <w:rFonts w:hint="eastAsia"/>
                <w:kern w:val="0"/>
                <w:sz w:val="24"/>
                <w:szCs w:val="24"/>
                <w:lang w:val="en-US"/>
              </w:rPr>
              <w:t>4</w:t>
            </w:r>
            <w:r>
              <w:rPr>
                <w:rFonts w:hint="eastAsia"/>
                <w:kern w:val="0"/>
                <w:sz w:val="24"/>
                <w:szCs w:val="24"/>
              </w:rPr>
              <w:t>。</w:t>
            </w:r>
          </w:p>
          <w:p>
            <w:pPr>
              <w:ind w:firstLine="482" w:firstLineChars="200"/>
              <w:jc w:val="center"/>
              <w:rPr>
                <w:rFonts w:hint="eastAsia" w:hAnsi="宋体"/>
                <w:b/>
                <w:kern w:val="0"/>
                <w:sz w:val="24"/>
                <w:szCs w:val="24"/>
              </w:rPr>
            </w:pPr>
            <w:r>
              <w:rPr>
                <w:rFonts w:hint="eastAsia" w:hAnsi="宋体"/>
                <w:b/>
                <w:kern w:val="0"/>
                <w:sz w:val="24"/>
                <w:szCs w:val="24"/>
              </w:rPr>
              <w:t>表1-</w:t>
            </w:r>
            <w:r>
              <w:rPr>
                <w:rFonts w:hint="eastAsia" w:hAnsi="宋体"/>
                <w:b/>
                <w:kern w:val="0"/>
                <w:sz w:val="24"/>
                <w:szCs w:val="24"/>
                <w:lang w:val="en-US"/>
              </w:rPr>
              <w:t>4</w:t>
            </w:r>
            <w:r>
              <w:rPr>
                <w:rFonts w:hint="eastAsia" w:hAnsi="宋体"/>
                <w:b/>
                <w:kern w:val="0"/>
                <w:sz w:val="24"/>
                <w:szCs w:val="24"/>
              </w:rPr>
              <w:t xml:space="preserve"> </w:t>
            </w:r>
            <w:r>
              <w:rPr>
                <w:rFonts w:hint="eastAsia" w:hAnsi="宋体"/>
                <w:b/>
                <w:kern w:val="0"/>
                <w:sz w:val="24"/>
                <w:szCs w:val="24"/>
                <w:lang w:val="en-US"/>
              </w:rPr>
              <w:t xml:space="preserve"> </w:t>
            </w:r>
            <w:r>
              <w:rPr>
                <w:rFonts w:hint="eastAsia" w:hAnsi="宋体"/>
                <w:b/>
                <w:kern w:val="0"/>
                <w:sz w:val="24"/>
                <w:szCs w:val="24"/>
              </w:rPr>
              <w:t>本项目公用及辅助工程</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7"/>
              <w:gridCol w:w="1950"/>
              <w:gridCol w:w="2741"/>
              <w:gridCol w:w="250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3" w:type="dxa"/>
                  <w:gridSpan w:val="2"/>
                  <w:vAlign w:val="center"/>
                </w:tcPr>
                <w:p>
                  <w:pPr>
                    <w:adjustRightInd w:val="0"/>
                    <w:snapToGrid w:val="0"/>
                    <w:rPr>
                      <w:b/>
                      <w:kern w:val="0"/>
                      <w:szCs w:val="21"/>
                    </w:rPr>
                  </w:pPr>
                  <w:r>
                    <w:rPr>
                      <w:rFonts w:hint="eastAsia"/>
                      <w:b/>
                      <w:kern w:val="0"/>
                      <w:szCs w:val="21"/>
                    </w:rPr>
                    <w:t>工程名称</w:t>
                  </w:r>
                </w:p>
              </w:tc>
              <w:tc>
                <w:tcPr>
                  <w:tcW w:w="1950" w:type="dxa"/>
                  <w:vAlign w:val="center"/>
                </w:tcPr>
                <w:p>
                  <w:pPr>
                    <w:adjustRightInd w:val="0"/>
                    <w:snapToGrid w:val="0"/>
                    <w:ind w:firstLine="422" w:firstLineChars="200"/>
                    <w:rPr>
                      <w:b/>
                      <w:kern w:val="0"/>
                      <w:szCs w:val="21"/>
                    </w:rPr>
                  </w:pPr>
                  <w:r>
                    <w:rPr>
                      <w:b/>
                      <w:kern w:val="0"/>
                      <w:szCs w:val="21"/>
                    </w:rPr>
                    <w:t>建设名称</w:t>
                  </w:r>
                </w:p>
              </w:tc>
              <w:tc>
                <w:tcPr>
                  <w:tcW w:w="2741" w:type="dxa"/>
                  <w:vAlign w:val="center"/>
                </w:tcPr>
                <w:p>
                  <w:pPr>
                    <w:adjustRightInd w:val="0"/>
                    <w:snapToGrid w:val="0"/>
                    <w:ind w:firstLine="1054" w:firstLineChars="500"/>
                    <w:rPr>
                      <w:b/>
                      <w:kern w:val="0"/>
                      <w:szCs w:val="21"/>
                    </w:rPr>
                  </w:pPr>
                  <w:r>
                    <w:rPr>
                      <w:rFonts w:hint="eastAsia"/>
                      <w:b/>
                      <w:kern w:val="0"/>
                      <w:szCs w:val="21"/>
                    </w:rPr>
                    <w:t>内容</w:t>
                  </w:r>
                </w:p>
              </w:tc>
              <w:tc>
                <w:tcPr>
                  <w:tcW w:w="2508" w:type="dxa"/>
                  <w:vAlign w:val="center"/>
                </w:tcPr>
                <w:p>
                  <w:pPr>
                    <w:adjustRightInd w:val="0"/>
                    <w:snapToGrid w:val="0"/>
                    <w:ind w:firstLine="422" w:firstLineChars="200"/>
                    <w:rPr>
                      <w:b/>
                      <w:kern w:val="0"/>
                      <w:szCs w:val="21"/>
                    </w:rPr>
                  </w:pPr>
                  <w:r>
                    <w:rPr>
                      <w:b/>
                      <w:kern w:val="0"/>
                      <w:szCs w:val="21"/>
                    </w:rPr>
                    <w:t>备注</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3" w:type="dxa"/>
                  <w:gridSpan w:val="2"/>
                  <w:vAlign w:val="center"/>
                </w:tcPr>
                <w:p>
                  <w:pPr>
                    <w:adjustRightInd w:val="0"/>
                    <w:snapToGrid w:val="0"/>
                    <w:rPr>
                      <w:kern w:val="0"/>
                      <w:szCs w:val="21"/>
                    </w:rPr>
                  </w:pPr>
                  <w:r>
                    <w:rPr>
                      <w:rFonts w:hint="eastAsia"/>
                      <w:kern w:val="0"/>
                      <w:szCs w:val="21"/>
                    </w:rPr>
                    <w:t>主体工程</w:t>
                  </w:r>
                </w:p>
              </w:tc>
              <w:tc>
                <w:tcPr>
                  <w:tcW w:w="1950" w:type="dxa"/>
                  <w:vAlign w:val="center"/>
                </w:tcPr>
                <w:p>
                  <w:pPr>
                    <w:adjustRightInd w:val="0"/>
                    <w:snapToGrid w:val="0"/>
                    <w:ind w:firstLine="420" w:firstLineChars="200"/>
                    <w:rPr>
                      <w:kern w:val="0"/>
                      <w:szCs w:val="21"/>
                      <w:highlight w:val="yellow"/>
                    </w:rPr>
                  </w:pPr>
                  <w:r>
                    <w:rPr>
                      <w:rFonts w:hint="eastAsia"/>
                    </w:rPr>
                    <w:t>生产车间</w:t>
                  </w:r>
                </w:p>
              </w:tc>
              <w:tc>
                <w:tcPr>
                  <w:tcW w:w="2741" w:type="dxa"/>
                  <w:vAlign w:val="center"/>
                </w:tcPr>
                <w:p>
                  <w:pPr>
                    <w:adjustRightInd w:val="0"/>
                    <w:snapToGrid w:val="0"/>
                    <w:jc w:val="center"/>
                    <w:rPr>
                      <w:kern w:val="0"/>
                      <w:szCs w:val="21"/>
                      <w:lang w:val="en-US"/>
                    </w:rPr>
                  </w:pPr>
                  <w:r>
                    <w:rPr>
                      <w:rFonts w:hint="eastAsia"/>
                      <w:szCs w:val="21"/>
                      <w:lang w:val="en-US"/>
                    </w:rPr>
                    <w:t>460</w:t>
                  </w:r>
                  <w:r>
                    <w:rPr>
                      <w:szCs w:val="21"/>
                    </w:rPr>
                    <w:t>m</w:t>
                  </w:r>
                  <w:r>
                    <w:rPr>
                      <w:szCs w:val="21"/>
                      <w:vertAlign w:val="superscript"/>
                    </w:rPr>
                    <w:t>2</w:t>
                  </w:r>
                </w:p>
              </w:tc>
              <w:tc>
                <w:tcPr>
                  <w:tcW w:w="2508" w:type="dxa"/>
                  <w:vAlign w:val="center"/>
                </w:tcPr>
                <w:p>
                  <w:pPr>
                    <w:adjustRightInd w:val="0"/>
                    <w:snapToGrid w:val="0"/>
                    <w:ind w:firstLine="420" w:firstLineChars="200"/>
                    <w:rPr>
                      <w:kern w:val="0"/>
                      <w:szCs w:val="21"/>
                    </w:rPr>
                  </w:pPr>
                  <w:r>
                    <w:rPr>
                      <w:rFonts w:hint="eastAsia"/>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restart"/>
                  <w:vAlign w:val="center"/>
                </w:tcPr>
                <w:p>
                  <w:pPr>
                    <w:adjustRightInd w:val="0"/>
                    <w:snapToGrid w:val="0"/>
                    <w:ind w:firstLine="420" w:firstLineChars="200"/>
                    <w:rPr>
                      <w:kern w:val="0"/>
                      <w:szCs w:val="21"/>
                    </w:rPr>
                  </w:pPr>
                  <w:r>
                    <w:rPr>
                      <w:kern w:val="0"/>
                      <w:szCs w:val="21"/>
                    </w:rPr>
                    <w:t>公用工程</w:t>
                  </w:r>
                </w:p>
              </w:tc>
              <w:tc>
                <w:tcPr>
                  <w:tcW w:w="727" w:type="dxa"/>
                  <w:vAlign w:val="center"/>
                </w:tcPr>
                <w:p>
                  <w:pPr>
                    <w:adjustRightInd w:val="0"/>
                    <w:snapToGrid w:val="0"/>
                    <w:rPr>
                      <w:kern w:val="0"/>
                      <w:szCs w:val="21"/>
                    </w:rPr>
                  </w:pPr>
                  <w:r>
                    <w:rPr>
                      <w:kern w:val="0"/>
                      <w:szCs w:val="21"/>
                    </w:rPr>
                    <w:t>给水</w:t>
                  </w:r>
                </w:p>
              </w:tc>
              <w:tc>
                <w:tcPr>
                  <w:tcW w:w="1950" w:type="dxa"/>
                  <w:vAlign w:val="center"/>
                </w:tcPr>
                <w:p>
                  <w:pPr>
                    <w:adjustRightInd w:val="0"/>
                    <w:snapToGrid w:val="0"/>
                    <w:ind w:firstLine="420" w:firstLineChars="200"/>
                    <w:rPr>
                      <w:kern w:val="0"/>
                      <w:szCs w:val="21"/>
                    </w:rPr>
                  </w:pPr>
                  <w:r>
                    <w:rPr>
                      <w:kern w:val="0"/>
                      <w:szCs w:val="21"/>
                    </w:rPr>
                    <w:t>给水管网</w:t>
                  </w:r>
                </w:p>
              </w:tc>
              <w:tc>
                <w:tcPr>
                  <w:tcW w:w="2741" w:type="dxa"/>
                  <w:vAlign w:val="center"/>
                </w:tcPr>
                <w:p>
                  <w:pPr>
                    <w:adjustRightInd w:val="0"/>
                    <w:snapToGrid w:val="0"/>
                    <w:jc w:val="center"/>
                    <w:rPr>
                      <w:kern w:val="0"/>
                      <w:szCs w:val="21"/>
                    </w:rPr>
                  </w:pPr>
                  <w:r>
                    <w:rPr>
                      <w:rFonts w:hint="eastAsia"/>
                      <w:kern w:val="0"/>
                      <w:szCs w:val="21"/>
                    </w:rPr>
                    <w:t>由镇区给水站给水管网直接供给</w:t>
                  </w:r>
                </w:p>
              </w:tc>
              <w:tc>
                <w:tcPr>
                  <w:tcW w:w="2508" w:type="dxa"/>
                </w:tcPr>
                <w:p>
                  <w:pPr>
                    <w:adjustRightInd w:val="0"/>
                    <w:snapToGrid w:val="0"/>
                    <w:ind w:firstLine="420" w:firstLineChars="200"/>
                    <w:rPr>
                      <w:kern w:val="0"/>
                      <w:szCs w:val="21"/>
                      <w:lang w:val="en-US"/>
                    </w:rPr>
                  </w:pPr>
                </w:p>
                <w:p>
                  <w:pPr>
                    <w:adjustRightInd w:val="0"/>
                    <w:snapToGrid w:val="0"/>
                    <w:ind w:firstLine="420" w:firstLineChars="200"/>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6" w:type="dxa"/>
                  <w:vMerge w:val="continue"/>
                  <w:vAlign w:val="center"/>
                </w:tcPr>
                <w:p>
                  <w:pPr>
                    <w:adjustRightInd w:val="0"/>
                    <w:snapToGrid w:val="0"/>
                    <w:ind w:firstLine="420" w:firstLineChars="200"/>
                    <w:rPr>
                      <w:kern w:val="0"/>
                      <w:szCs w:val="21"/>
                    </w:rPr>
                  </w:pPr>
                </w:p>
              </w:tc>
              <w:tc>
                <w:tcPr>
                  <w:tcW w:w="727" w:type="dxa"/>
                  <w:vAlign w:val="center"/>
                </w:tcPr>
                <w:p>
                  <w:pPr>
                    <w:adjustRightInd w:val="0"/>
                    <w:snapToGrid w:val="0"/>
                    <w:rPr>
                      <w:kern w:val="0"/>
                      <w:szCs w:val="21"/>
                    </w:rPr>
                  </w:pPr>
                  <w:r>
                    <w:rPr>
                      <w:rFonts w:hint="eastAsia"/>
                      <w:kern w:val="0"/>
                      <w:szCs w:val="21"/>
                    </w:rPr>
                    <w:t>排水</w:t>
                  </w:r>
                </w:p>
              </w:tc>
              <w:tc>
                <w:tcPr>
                  <w:tcW w:w="1950" w:type="dxa"/>
                  <w:vAlign w:val="center"/>
                </w:tcPr>
                <w:p>
                  <w:pPr>
                    <w:adjustRightInd w:val="0"/>
                    <w:snapToGrid w:val="0"/>
                    <w:ind w:firstLine="420" w:firstLineChars="200"/>
                    <w:rPr>
                      <w:kern w:val="0"/>
                      <w:szCs w:val="21"/>
                    </w:rPr>
                  </w:pPr>
                  <w:r>
                    <w:rPr>
                      <w:rFonts w:hint="eastAsia"/>
                      <w:kern w:val="0"/>
                      <w:szCs w:val="21"/>
                    </w:rPr>
                    <w:t>排水管网</w:t>
                  </w:r>
                </w:p>
              </w:tc>
              <w:tc>
                <w:tcPr>
                  <w:tcW w:w="2741" w:type="dxa"/>
                  <w:vAlign w:val="center"/>
                </w:tcPr>
                <w:p>
                  <w:pPr>
                    <w:adjustRightInd w:val="0"/>
                    <w:snapToGrid w:val="0"/>
                    <w:jc w:val="center"/>
                    <w:rPr>
                      <w:kern w:val="0"/>
                      <w:szCs w:val="21"/>
                    </w:rPr>
                  </w:pPr>
                  <w:r>
                    <w:rPr>
                      <w:rFonts w:hint="eastAsia"/>
                      <w:kern w:val="0"/>
                      <w:szCs w:val="21"/>
                    </w:rPr>
                    <w:t>项目无生产废水排放，经厂内化粪池处理后接入</w:t>
                  </w:r>
                  <w:r>
                    <w:rPr>
                      <w:rFonts w:hint="eastAsia"/>
                      <w:kern w:val="0"/>
                      <w:szCs w:val="21"/>
                      <w:lang w:val="en-US"/>
                    </w:rPr>
                    <w:t>宜兴市华骐污水处理厂</w:t>
                  </w:r>
                  <w:r>
                    <w:rPr>
                      <w:rFonts w:hint="eastAsia"/>
                      <w:kern w:val="0"/>
                      <w:szCs w:val="21"/>
                    </w:rPr>
                    <w:t>处理达标后外排</w:t>
                  </w:r>
                </w:p>
              </w:tc>
              <w:tc>
                <w:tcPr>
                  <w:tcW w:w="2508" w:type="dxa"/>
                </w:tcPr>
                <w:p>
                  <w:pPr>
                    <w:adjustRightInd w:val="0"/>
                    <w:snapToGrid w:val="0"/>
                    <w:ind w:firstLine="420" w:firstLineChars="200"/>
                    <w:rPr>
                      <w:kern w:val="0"/>
                      <w:szCs w:val="21"/>
                      <w:lang w:val="en-US"/>
                    </w:rPr>
                  </w:pPr>
                </w:p>
                <w:p>
                  <w:pPr>
                    <w:adjustRightInd w:val="0"/>
                    <w:snapToGrid w:val="0"/>
                    <w:ind w:firstLine="420" w:firstLineChars="200"/>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adjustRightInd w:val="0"/>
                    <w:snapToGrid w:val="0"/>
                    <w:ind w:firstLine="420" w:firstLineChars="200"/>
                    <w:rPr>
                      <w:kern w:val="0"/>
                      <w:szCs w:val="21"/>
                    </w:rPr>
                  </w:pPr>
                </w:p>
              </w:tc>
              <w:tc>
                <w:tcPr>
                  <w:tcW w:w="727" w:type="dxa"/>
                  <w:vAlign w:val="center"/>
                </w:tcPr>
                <w:p>
                  <w:pPr>
                    <w:adjustRightInd w:val="0"/>
                    <w:snapToGrid w:val="0"/>
                    <w:rPr>
                      <w:kern w:val="0"/>
                      <w:szCs w:val="21"/>
                    </w:rPr>
                  </w:pPr>
                  <w:r>
                    <w:rPr>
                      <w:kern w:val="0"/>
                      <w:szCs w:val="21"/>
                    </w:rPr>
                    <w:t>供电</w:t>
                  </w:r>
                </w:p>
              </w:tc>
              <w:tc>
                <w:tcPr>
                  <w:tcW w:w="1950" w:type="dxa"/>
                  <w:vAlign w:val="center"/>
                </w:tcPr>
                <w:p>
                  <w:pPr>
                    <w:adjustRightInd w:val="0"/>
                    <w:snapToGrid w:val="0"/>
                    <w:ind w:firstLine="420" w:firstLineChars="200"/>
                    <w:rPr>
                      <w:kern w:val="0"/>
                      <w:szCs w:val="21"/>
                    </w:rPr>
                  </w:pPr>
                  <w:r>
                    <w:rPr>
                      <w:kern w:val="0"/>
                      <w:szCs w:val="21"/>
                    </w:rPr>
                    <w:t>供电网络</w:t>
                  </w:r>
                </w:p>
              </w:tc>
              <w:tc>
                <w:tcPr>
                  <w:tcW w:w="2741" w:type="dxa"/>
                  <w:vAlign w:val="center"/>
                </w:tcPr>
                <w:p>
                  <w:pPr>
                    <w:adjustRightInd w:val="0"/>
                    <w:snapToGrid w:val="0"/>
                    <w:jc w:val="center"/>
                    <w:rPr>
                      <w:kern w:val="0"/>
                      <w:szCs w:val="21"/>
                    </w:rPr>
                  </w:pPr>
                  <w:r>
                    <w:rPr>
                      <w:rFonts w:hint="eastAsia"/>
                      <w:kern w:val="0"/>
                      <w:szCs w:val="21"/>
                    </w:rPr>
                    <w:t>由镇区变电所架空线接入厂区配电室</w:t>
                  </w:r>
                </w:p>
              </w:tc>
              <w:tc>
                <w:tcPr>
                  <w:tcW w:w="2508" w:type="dxa"/>
                </w:tcPr>
                <w:p>
                  <w:pPr>
                    <w:adjustRightInd w:val="0"/>
                    <w:snapToGrid w:val="0"/>
                    <w:ind w:firstLine="420" w:firstLineChars="200"/>
                    <w:rPr>
                      <w:kern w:val="0"/>
                      <w:szCs w:val="21"/>
                      <w:lang w:val="en-US"/>
                    </w:rPr>
                  </w:pPr>
                </w:p>
                <w:p>
                  <w:pPr>
                    <w:adjustRightInd w:val="0"/>
                    <w:snapToGrid w:val="0"/>
                    <w:ind w:firstLine="420" w:firstLineChars="200"/>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restart"/>
                  <w:vAlign w:val="center"/>
                </w:tcPr>
                <w:p>
                  <w:pPr>
                    <w:adjustRightInd w:val="0"/>
                    <w:snapToGrid w:val="0"/>
                    <w:ind w:firstLine="420" w:firstLineChars="200"/>
                    <w:rPr>
                      <w:kern w:val="0"/>
                      <w:szCs w:val="21"/>
                    </w:rPr>
                  </w:pPr>
                  <w:r>
                    <w:rPr>
                      <w:kern w:val="0"/>
                      <w:szCs w:val="21"/>
                    </w:rPr>
                    <w:t>环保工程</w:t>
                  </w:r>
                </w:p>
              </w:tc>
              <w:tc>
                <w:tcPr>
                  <w:tcW w:w="727" w:type="dxa"/>
                  <w:vAlign w:val="center"/>
                </w:tcPr>
                <w:p>
                  <w:pPr>
                    <w:adjustRightInd w:val="0"/>
                    <w:snapToGrid w:val="0"/>
                    <w:rPr>
                      <w:kern w:val="0"/>
                      <w:szCs w:val="21"/>
                    </w:rPr>
                  </w:pPr>
                  <w:r>
                    <w:rPr>
                      <w:kern w:val="0"/>
                      <w:szCs w:val="21"/>
                    </w:rPr>
                    <w:t>废水</w:t>
                  </w:r>
                </w:p>
              </w:tc>
              <w:tc>
                <w:tcPr>
                  <w:tcW w:w="1950" w:type="dxa"/>
                  <w:vAlign w:val="center"/>
                </w:tcPr>
                <w:p>
                  <w:pPr>
                    <w:adjustRightInd w:val="0"/>
                    <w:snapToGrid w:val="0"/>
                    <w:ind w:firstLine="420" w:firstLineChars="200"/>
                    <w:rPr>
                      <w:kern w:val="0"/>
                      <w:szCs w:val="21"/>
                    </w:rPr>
                  </w:pPr>
                  <w:r>
                    <w:rPr>
                      <w:rFonts w:hint="eastAsia"/>
                      <w:kern w:val="0"/>
                      <w:szCs w:val="21"/>
                    </w:rPr>
                    <w:t>生活污水</w:t>
                  </w:r>
                </w:p>
              </w:tc>
              <w:tc>
                <w:tcPr>
                  <w:tcW w:w="2741" w:type="dxa"/>
                  <w:vAlign w:val="center"/>
                </w:tcPr>
                <w:p>
                  <w:pPr>
                    <w:adjustRightInd w:val="0"/>
                    <w:snapToGrid w:val="0"/>
                    <w:jc w:val="center"/>
                    <w:rPr>
                      <w:kern w:val="0"/>
                      <w:szCs w:val="21"/>
                    </w:rPr>
                  </w:pPr>
                  <w:r>
                    <w:rPr>
                      <w:rFonts w:hint="eastAsia"/>
                      <w:kern w:val="0"/>
                      <w:szCs w:val="21"/>
                    </w:rPr>
                    <w:t>经厂内化粪池处理后接入</w:t>
                  </w:r>
                  <w:r>
                    <w:rPr>
                      <w:rFonts w:hint="eastAsia"/>
                      <w:kern w:val="0"/>
                      <w:szCs w:val="21"/>
                      <w:lang w:val="en-US"/>
                    </w:rPr>
                    <w:t>宜兴市华骐污水处理厂</w:t>
                  </w:r>
                  <w:r>
                    <w:rPr>
                      <w:rFonts w:hint="eastAsia"/>
                      <w:kern w:val="0"/>
                      <w:szCs w:val="21"/>
                    </w:rPr>
                    <w:t>处理达标后外排</w:t>
                  </w:r>
                </w:p>
              </w:tc>
              <w:tc>
                <w:tcPr>
                  <w:tcW w:w="2508" w:type="dxa"/>
                  <w:vAlign w:val="center"/>
                </w:tcPr>
                <w:p>
                  <w:pPr>
                    <w:adjustRightInd w:val="0"/>
                    <w:snapToGrid w:val="0"/>
                    <w:ind w:firstLine="420" w:firstLineChars="200"/>
                    <w:rPr>
                      <w:kern w:val="0"/>
                      <w:szCs w:val="21"/>
                    </w:rPr>
                  </w:pPr>
                  <w:r>
                    <w:rPr>
                      <w:kern w:val="0"/>
                      <w:szCs w:val="21"/>
                      <w:lang w:val="en-US"/>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adjustRightInd w:val="0"/>
                    <w:snapToGrid w:val="0"/>
                    <w:ind w:firstLine="420" w:firstLineChars="200"/>
                    <w:rPr>
                      <w:kern w:val="0"/>
                      <w:szCs w:val="21"/>
                    </w:rPr>
                  </w:pPr>
                </w:p>
              </w:tc>
              <w:tc>
                <w:tcPr>
                  <w:tcW w:w="727" w:type="dxa"/>
                  <w:vMerge w:val="restart"/>
                  <w:vAlign w:val="center"/>
                </w:tcPr>
                <w:p>
                  <w:pPr>
                    <w:adjustRightInd w:val="0"/>
                    <w:snapToGrid w:val="0"/>
                    <w:rPr>
                      <w:kern w:val="0"/>
                      <w:szCs w:val="21"/>
                    </w:rPr>
                  </w:pPr>
                  <w:r>
                    <w:rPr>
                      <w:rFonts w:hint="eastAsia"/>
                      <w:kern w:val="0"/>
                      <w:szCs w:val="21"/>
                    </w:rPr>
                    <w:t>固废</w:t>
                  </w:r>
                </w:p>
              </w:tc>
              <w:tc>
                <w:tcPr>
                  <w:tcW w:w="1950" w:type="dxa"/>
                  <w:vAlign w:val="center"/>
                </w:tcPr>
                <w:p>
                  <w:pPr>
                    <w:adjustRightInd w:val="0"/>
                    <w:snapToGrid w:val="0"/>
                    <w:jc w:val="center"/>
                    <w:rPr>
                      <w:kern w:val="0"/>
                      <w:szCs w:val="21"/>
                    </w:rPr>
                  </w:pPr>
                  <w:r>
                    <w:rPr>
                      <w:rFonts w:hint="eastAsia"/>
                      <w:kern w:val="0"/>
                      <w:szCs w:val="21"/>
                    </w:rPr>
                    <w:t>生活</w:t>
                  </w:r>
                  <w:r>
                    <w:rPr>
                      <w:kern w:val="0"/>
                      <w:szCs w:val="21"/>
                    </w:rPr>
                    <w:t>垃圾</w:t>
                  </w:r>
                </w:p>
              </w:tc>
              <w:tc>
                <w:tcPr>
                  <w:tcW w:w="2741" w:type="dxa"/>
                  <w:vAlign w:val="center"/>
                </w:tcPr>
                <w:p>
                  <w:pPr>
                    <w:adjustRightInd w:val="0"/>
                    <w:snapToGrid w:val="0"/>
                    <w:jc w:val="center"/>
                    <w:rPr>
                      <w:lang w:val="en-US"/>
                    </w:rPr>
                  </w:pPr>
                  <w:r>
                    <w:rPr>
                      <w:rFonts w:hint="eastAsia"/>
                      <w:lang w:val="en-US"/>
                    </w:rPr>
                    <w:t>0.9t/a</w:t>
                  </w:r>
                </w:p>
              </w:tc>
              <w:tc>
                <w:tcPr>
                  <w:tcW w:w="2508" w:type="dxa"/>
                  <w:vAlign w:val="center"/>
                </w:tcPr>
                <w:p>
                  <w:pPr>
                    <w:adjustRightInd w:val="0"/>
                    <w:snapToGrid w:val="0"/>
                    <w:jc w:val="center"/>
                    <w:rPr>
                      <w:kern w:val="0"/>
                      <w:szCs w:val="21"/>
                    </w:rPr>
                  </w:pPr>
                  <w:r>
                    <w:rPr>
                      <w:rFonts w:hint="eastAsia"/>
                      <w:kern w:val="0"/>
                      <w:szCs w:val="21"/>
                    </w:rPr>
                    <w:t>环卫部门清运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6" w:type="dxa"/>
                  <w:vMerge w:val="continue"/>
                  <w:vAlign w:val="center"/>
                </w:tcPr>
                <w:p>
                  <w:pPr>
                    <w:adjustRightInd w:val="0"/>
                    <w:snapToGrid w:val="0"/>
                    <w:ind w:firstLine="420" w:firstLineChars="200"/>
                    <w:rPr>
                      <w:kern w:val="0"/>
                      <w:szCs w:val="21"/>
                    </w:rPr>
                  </w:pPr>
                </w:p>
              </w:tc>
              <w:tc>
                <w:tcPr>
                  <w:tcW w:w="727" w:type="dxa"/>
                  <w:vMerge w:val="continue"/>
                  <w:vAlign w:val="center"/>
                </w:tcPr>
                <w:p>
                  <w:pPr>
                    <w:adjustRightInd w:val="0"/>
                    <w:snapToGrid w:val="0"/>
                    <w:ind w:firstLine="420" w:firstLineChars="200"/>
                    <w:rPr>
                      <w:kern w:val="0"/>
                      <w:szCs w:val="21"/>
                    </w:rPr>
                  </w:pPr>
                </w:p>
              </w:tc>
              <w:tc>
                <w:tcPr>
                  <w:tcW w:w="1950" w:type="dxa"/>
                  <w:vAlign w:val="center"/>
                </w:tcPr>
                <w:p>
                  <w:pPr>
                    <w:adjustRightInd w:val="0"/>
                    <w:snapToGrid w:val="0"/>
                    <w:jc w:val="center"/>
                    <w:rPr>
                      <w:kern w:val="0"/>
                      <w:szCs w:val="21"/>
                    </w:rPr>
                  </w:pPr>
                  <w:r>
                    <w:rPr>
                      <w:rFonts w:hint="eastAsia"/>
                      <w:kern w:val="0"/>
                      <w:szCs w:val="21"/>
                    </w:rPr>
                    <w:t>废陶瓷</w:t>
                  </w:r>
                </w:p>
              </w:tc>
              <w:tc>
                <w:tcPr>
                  <w:tcW w:w="2741" w:type="dxa"/>
                  <w:vAlign w:val="center"/>
                </w:tcPr>
                <w:p>
                  <w:pPr>
                    <w:adjustRightInd w:val="0"/>
                    <w:snapToGrid w:val="0"/>
                    <w:jc w:val="center"/>
                  </w:pPr>
                  <w:r>
                    <w:rPr>
                      <w:rFonts w:hint="eastAsia"/>
                      <w:lang w:val="en-US"/>
                    </w:rPr>
                    <w:t>0.3t/a</w:t>
                  </w:r>
                </w:p>
              </w:tc>
              <w:tc>
                <w:tcPr>
                  <w:tcW w:w="2508" w:type="dxa"/>
                  <w:vMerge w:val="restart"/>
                  <w:vAlign w:val="center"/>
                </w:tcPr>
                <w:p>
                  <w:pPr>
                    <w:adjustRightInd w:val="0"/>
                    <w:snapToGrid w:val="0"/>
                    <w:jc w:val="center"/>
                    <w:rPr>
                      <w:kern w:val="0"/>
                      <w:szCs w:val="21"/>
                    </w:rPr>
                  </w:pPr>
                  <w:r>
                    <w:rPr>
                      <w:rFonts w:hint="eastAsia"/>
                      <w:kern w:val="0"/>
                      <w:szCs w:val="21"/>
                    </w:rPr>
                    <w:t>暂存于一般固废暂存处，收集后统一外售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6" w:type="dxa"/>
                  <w:vMerge w:val="continue"/>
                  <w:vAlign w:val="center"/>
                </w:tcPr>
                <w:p>
                  <w:pPr>
                    <w:adjustRightInd w:val="0"/>
                    <w:snapToGrid w:val="0"/>
                    <w:ind w:firstLine="420" w:firstLineChars="200"/>
                    <w:rPr>
                      <w:kern w:val="0"/>
                      <w:szCs w:val="21"/>
                    </w:rPr>
                  </w:pPr>
                </w:p>
              </w:tc>
              <w:tc>
                <w:tcPr>
                  <w:tcW w:w="727" w:type="dxa"/>
                  <w:vMerge w:val="continue"/>
                  <w:vAlign w:val="center"/>
                </w:tcPr>
                <w:p>
                  <w:pPr>
                    <w:adjustRightInd w:val="0"/>
                    <w:snapToGrid w:val="0"/>
                    <w:ind w:firstLine="420" w:firstLineChars="200"/>
                    <w:rPr>
                      <w:kern w:val="0"/>
                      <w:szCs w:val="21"/>
                    </w:rPr>
                  </w:pPr>
                </w:p>
              </w:tc>
              <w:tc>
                <w:tcPr>
                  <w:tcW w:w="1950" w:type="dxa"/>
                  <w:vAlign w:val="center"/>
                </w:tcPr>
                <w:p>
                  <w:pPr>
                    <w:adjustRightInd w:val="0"/>
                    <w:snapToGrid w:val="0"/>
                    <w:jc w:val="center"/>
                    <w:rPr>
                      <w:kern w:val="0"/>
                      <w:szCs w:val="21"/>
                    </w:rPr>
                  </w:pPr>
                  <w:r>
                    <w:rPr>
                      <w:rFonts w:hint="eastAsia"/>
                      <w:kern w:val="0"/>
                      <w:szCs w:val="21"/>
                    </w:rPr>
                    <w:t>陶瓷泥料</w:t>
                  </w:r>
                </w:p>
              </w:tc>
              <w:tc>
                <w:tcPr>
                  <w:tcW w:w="2741" w:type="dxa"/>
                  <w:vAlign w:val="center"/>
                </w:tcPr>
                <w:p>
                  <w:pPr>
                    <w:adjustRightInd w:val="0"/>
                    <w:snapToGrid w:val="0"/>
                    <w:jc w:val="center"/>
                    <w:rPr>
                      <w:lang w:val="en-US"/>
                    </w:rPr>
                  </w:pPr>
                  <w:r>
                    <w:rPr>
                      <w:rFonts w:hint="eastAsia"/>
                      <w:lang w:val="en-US" w:eastAsia="zh-CN"/>
                    </w:rPr>
                    <w:t>0.8</w:t>
                  </w:r>
                  <w:r>
                    <w:rPr>
                      <w:rFonts w:hint="eastAsia"/>
                      <w:lang w:val="en-US"/>
                    </w:rPr>
                    <w:t>t/a</w:t>
                  </w:r>
                </w:p>
              </w:tc>
              <w:tc>
                <w:tcPr>
                  <w:tcW w:w="2508" w:type="dxa"/>
                  <w:vMerge w:val="continue"/>
                  <w:vAlign w:val="center"/>
                </w:tcPr>
                <w:p>
                  <w:pPr>
                    <w:adjustRightInd w:val="0"/>
                    <w:snapToGrid w:val="0"/>
                    <w:jc w:val="center"/>
                    <w:rPr>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6" w:type="dxa"/>
                  <w:vMerge w:val="continue"/>
                  <w:vAlign w:val="center"/>
                </w:tcPr>
                <w:p>
                  <w:pPr>
                    <w:adjustRightInd w:val="0"/>
                    <w:snapToGrid w:val="0"/>
                    <w:ind w:firstLine="420" w:firstLineChars="200"/>
                    <w:rPr>
                      <w:kern w:val="0"/>
                      <w:szCs w:val="21"/>
                    </w:rPr>
                  </w:pPr>
                </w:p>
              </w:tc>
              <w:tc>
                <w:tcPr>
                  <w:tcW w:w="727" w:type="dxa"/>
                  <w:vMerge w:val="continue"/>
                  <w:vAlign w:val="center"/>
                </w:tcPr>
                <w:p>
                  <w:pPr>
                    <w:adjustRightInd w:val="0"/>
                    <w:snapToGrid w:val="0"/>
                    <w:ind w:firstLine="420" w:firstLineChars="200"/>
                    <w:rPr>
                      <w:kern w:val="0"/>
                      <w:szCs w:val="21"/>
                    </w:rPr>
                  </w:pPr>
                </w:p>
              </w:tc>
              <w:tc>
                <w:tcPr>
                  <w:tcW w:w="1950" w:type="dxa"/>
                  <w:vAlign w:val="center"/>
                </w:tcPr>
                <w:p>
                  <w:pPr>
                    <w:adjustRightInd w:val="0"/>
                    <w:snapToGrid w:val="0"/>
                    <w:jc w:val="center"/>
                    <w:rPr>
                      <w:kern w:val="0"/>
                      <w:szCs w:val="21"/>
                    </w:rPr>
                  </w:pPr>
                  <w:r>
                    <w:rPr>
                      <w:rFonts w:hint="eastAsia"/>
                      <w:kern w:val="0"/>
                      <w:szCs w:val="21"/>
                    </w:rPr>
                    <w:t>废次品</w:t>
                  </w:r>
                </w:p>
              </w:tc>
              <w:tc>
                <w:tcPr>
                  <w:tcW w:w="2741" w:type="dxa"/>
                  <w:vAlign w:val="center"/>
                </w:tcPr>
                <w:p>
                  <w:pPr>
                    <w:adjustRightInd w:val="0"/>
                    <w:snapToGrid w:val="0"/>
                    <w:jc w:val="center"/>
                    <w:rPr>
                      <w:lang w:val="en-US"/>
                    </w:rPr>
                  </w:pPr>
                  <w:r>
                    <w:rPr>
                      <w:rFonts w:hint="eastAsia"/>
                      <w:lang w:val="en-US"/>
                    </w:rPr>
                    <w:t xml:space="preserve">0.2t/a </w:t>
                  </w:r>
                </w:p>
              </w:tc>
              <w:tc>
                <w:tcPr>
                  <w:tcW w:w="2508" w:type="dxa"/>
                  <w:vMerge w:val="continue"/>
                  <w:vAlign w:val="center"/>
                </w:tcPr>
                <w:p>
                  <w:pPr>
                    <w:adjustRightInd w:val="0"/>
                    <w:snapToGrid w:val="0"/>
                    <w:jc w:val="center"/>
                    <w:rPr>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36" w:type="dxa"/>
                  <w:vMerge w:val="continue"/>
                  <w:vAlign w:val="center"/>
                </w:tcPr>
                <w:p>
                  <w:pPr>
                    <w:adjustRightInd w:val="0"/>
                    <w:snapToGrid w:val="0"/>
                    <w:ind w:firstLine="420" w:firstLineChars="200"/>
                  </w:pPr>
                </w:p>
              </w:tc>
              <w:tc>
                <w:tcPr>
                  <w:tcW w:w="727" w:type="dxa"/>
                  <w:vMerge w:val="continue"/>
                  <w:vAlign w:val="center"/>
                </w:tcPr>
                <w:p>
                  <w:pPr>
                    <w:adjustRightInd w:val="0"/>
                    <w:snapToGrid w:val="0"/>
                    <w:ind w:firstLine="420" w:firstLineChars="200"/>
                  </w:pPr>
                </w:p>
              </w:tc>
              <w:tc>
                <w:tcPr>
                  <w:tcW w:w="1950" w:type="dxa"/>
                  <w:vAlign w:val="center"/>
                </w:tcPr>
                <w:p>
                  <w:pPr>
                    <w:adjustRightInd w:val="0"/>
                    <w:snapToGrid w:val="0"/>
                    <w:jc w:val="center"/>
                    <w:rPr>
                      <w:kern w:val="0"/>
                      <w:szCs w:val="21"/>
                    </w:rPr>
                  </w:pPr>
                  <w:r>
                    <w:rPr>
                      <w:rFonts w:hint="eastAsia"/>
                      <w:kern w:val="0"/>
                      <w:szCs w:val="21"/>
                    </w:rPr>
                    <w:t>废瓷粉</w:t>
                  </w:r>
                </w:p>
              </w:tc>
              <w:tc>
                <w:tcPr>
                  <w:tcW w:w="2741" w:type="dxa"/>
                  <w:vAlign w:val="center"/>
                </w:tcPr>
                <w:p>
                  <w:pPr>
                    <w:adjustRightInd w:val="0"/>
                    <w:snapToGrid w:val="0"/>
                    <w:jc w:val="center"/>
                    <w:rPr>
                      <w:kern w:val="0"/>
                      <w:szCs w:val="21"/>
                      <w:lang w:val="en-US"/>
                    </w:rPr>
                  </w:pPr>
                  <w:r>
                    <w:rPr>
                      <w:rFonts w:hint="eastAsia"/>
                      <w:kern w:val="0"/>
                      <w:szCs w:val="21"/>
                      <w:lang w:val="en-US"/>
                    </w:rPr>
                    <w:t>0.0043t/a</w:t>
                  </w:r>
                </w:p>
              </w:tc>
              <w:tc>
                <w:tcPr>
                  <w:tcW w:w="2508" w:type="dxa"/>
                  <w:vMerge w:val="continue"/>
                  <w:vAlign w:val="center"/>
                </w:tcPr>
                <w:p>
                  <w:pPr>
                    <w:adjustRightInd w:val="0"/>
                    <w:snapToGrid w:val="0"/>
                    <w:ind w:firstLine="420" w:firstLineChars="200"/>
                    <w:jc w:val="center"/>
                    <w:rPr>
                      <w:kern w:val="0"/>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36" w:type="dxa"/>
                  <w:vMerge w:val="continue"/>
                  <w:vAlign w:val="center"/>
                </w:tcPr>
                <w:p>
                  <w:pPr>
                    <w:adjustRightInd w:val="0"/>
                    <w:snapToGrid w:val="0"/>
                    <w:ind w:firstLine="420" w:firstLineChars="200"/>
                    <w:rPr>
                      <w:kern w:val="0"/>
                      <w:szCs w:val="21"/>
                    </w:rPr>
                  </w:pPr>
                </w:p>
              </w:tc>
              <w:tc>
                <w:tcPr>
                  <w:tcW w:w="727" w:type="dxa"/>
                  <w:vAlign w:val="center"/>
                </w:tcPr>
                <w:p>
                  <w:pPr>
                    <w:adjustRightInd w:val="0"/>
                    <w:snapToGrid w:val="0"/>
                    <w:rPr>
                      <w:kern w:val="0"/>
                      <w:szCs w:val="21"/>
                    </w:rPr>
                  </w:pPr>
                  <w:r>
                    <w:rPr>
                      <w:kern w:val="0"/>
                      <w:szCs w:val="21"/>
                    </w:rPr>
                    <w:t>噪声</w:t>
                  </w:r>
                </w:p>
              </w:tc>
              <w:tc>
                <w:tcPr>
                  <w:tcW w:w="1950" w:type="dxa"/>
                  <w:vAlign w:val="center"/>
                </w:tcPr>
                <w:p>
                  <w:pPr>
                    <w:adjustRightInd w:val="0"/>
                    <w:snapToGrid w:val="0"/>
                    <w:jc w:val="center"/>
                    <w:rPr>
                      <w:kern w:val="0"/>
                      <w:szCs w:val="21"/>
                    </w:rPr>
                  </w:pPr>
                  <w:r>
                    <w:rPr>
                      <w:kern w:val="0"/>
                      <w:szCs w:val="21"/>
                    </w:rPr>
                    <w:t>选用低噪声设备、</w:t>
                  </w:r>
                  <w:r>
                    <w:rPr>
                      <w:kern w:val="0"/>
                      <w:szCs w:val="21"/>
                      <w:lang w:val="en-US"/>
                    </w:rPr>
                    <w:t>隔声门窗、吸声材料，</w:t>
                  </w:r>
                  <w:r>
                    <w:rPr>
                      <w:kern w:val="0"/>
                      <w:szCs w:val="21"/>
                    </w:rPr>
                    <w:t>合理布置车间</w:t>
                  </w:r>
                </w:p>
              </w:tc>
              <w:tc>
                <w:tcPr>
                  <w:tcW w:w="2741" w:type="dxa"/>
                  <w:vAlign w:val="center"/>
                </w:tcPr>
                <w:p>
                  <w:pPr>
                    <w:adjustRightInd w:val="0"/>
                    <w:snapToGrid w:val="0"/>
                    <w:ind w:firstLine="420" w:firstLineChars="200"/>
                    <w:jc w:val="center"/>
                    <w:rPr>
                      <w:kern w:val="0"/>
                      <w:szCs w:val="21"/>
                    </w:rPr>
                  </w:pPr>
                  <w:r>
                    <w:rPr>
                      <w:kern w:val="0"/>
                      <w:szCs w:val="21"/>
                    </w:rPr>
                    <w:t>/</w:t>
                  </w:r>
                </w:p>
              </w:tc>
              <w:tc>
                <w:tcPr>
                  <w:tcW w:w="2508" w:type="dxa"/>
                  <w:vAlign w:val="center"/>
                </w:tcPr>
                <w:p>
                  <w:pPr>
                    <w:adjustRightInd w:val="0"/>
                    <w:snapToGrid w:val="0"/>
                    <w:ind w:firstLine="420" w:firstLineChars="200"/>
                    <w:jc w:val="center"/>
                    <w:rPr>
                      <w:color w:val="FF0000"/>
                      <w:kern w:val="0"/>
                      <w:szCs w:val="21"/>
                    </w:rPr>
                  </w:pPr>
                  <w:r>
                    <w:rPr>
                      <w:kern w:val="0"/>
                      <w:szCs w:val="21"/>
                      <w:lang w:val="en-US"/>
                    </w:rPr>
                    <w:t>/</w:t>
                  </w:r>
                </w:p>
              </w:tc>
            </w:tr>
          </w:tbl>
          <w:p>
            <w:pPr>
              <w:spacing w:line="360" w:lineRule="auto"/>
              <w:ind w:firstLine="482" w:firstLineChars="200"/>
              <w:rPr>
                <w:rFonts w:hAnsi="宋体"/>
                <w:b/>
                <w:kern w:val="0"/>
                <w:sz w:val="24"/>
                <w:szCs w:val="24"/>
              </w:rPr>
            </w:pPr>
            <w:r>
              <w:rPr>
                <w:rFonts w:hint="eastAsia"/>
                <w:b/>
                <w:kern w:val="0"/>
                <w:sz w:val="24"/>
                <w:szCs w:val="24"/>
              </w:rPr>
              <w:t>3</w:t>
            </w:r>
            <w:r>
              <w:rPr>
                <w:rFonts w:hAnsi="宋体"/>
                <w:b/>
                <w:kern w:val="0"/>
                <w:sz w:val="24"/>
                <w:szCs w:val="24"/>
              </w:rPr>
              <w:t>、</w:t>
            </w:r>
            <w:r>
              <w:rPr>
                <w:rFonts w:hint="eastAsia" w:hAnsi="宋体"/>
                <w:b/>
                <w:kern w:val="0"/>
                <w:sz w:val="24"/>
                <w:szCs w:val="24"/>
              </w:rPr>
              <w:t>劳动定员及生产班制</w:t>
            </w:r>
          </w:p>
          <w:p>
            <w:pPr>
              <w:spacing w:line="360" w:lineRule="auto"/>
              <w:ind w:firstLine="480" w:firstLineChars="200"/>
              <w:rPr>
                <w:rFonts w:hAnsi="宋体"/>
                <w:kern w:val="0"/>
                <w:sz w:val="24"/>
                <w:szCs w:val="24"/>
              </w:rPr>
            </w:pPr>
            <w:r>
              <w:rPr>
                <w:rFonts w:hint="eastAsia" w:hAnsi="宋体"/>
                <w:kern w:val="0"/>
                <w:sz w:val="24"/>
                <w:szCs w:val="24"/>
              </w:rPr>
              <w:t>生产班制：一班制生产，每班8小时生产，年实际运行天数300天。</w:t>
            </w:r>
          </w:p>
          <w:p>
            <w:pPr>
              <w:spacing w:line="360" w:lineRule="auto"/>
              <w:ind w:firstLine="480" w:firstLineChars="200"/>
              <w:rPr>
                <w:rFonts w:hAnsi="宋体"/>
                <w:kern w:val="0"/>
                <w:sz w:val="24"/>
                <w:szCs w:val="24"/>
              </w:rPr>
            </w:pPr>
            <w:r>
              <w:rPr>
                <w:rFonts w:hint="eastAsia" w:hAnsi="宋体"/>
                <w:kern w:val="0"/>
                <w:sz w:val="24"/>
                <w:szCs w:val="24"/>
              </w:rPr>
              <w:t>劳动定员：本项目劳动定员</w:t>
            </w:r>
            <w:r>
              <w:rPr>
                <w:rFonts w:hint="eastAsia" w:hAnsi="宋体"/>
                <w:kern w:val="0"/>
                <w:sz w:val="24"/>
                <w:szCs w:val="24"/>
                <w:lang w:val="en-US"/>
              </w:rPr>
              <w:t>6</w:t>
            </w:r>
            <w:r>
              <w:rPr>
                <w:rFonts w:hint="eastAsia" w:hAnsi="宋体"/>
                <w:kern w:val="0"/>
                <w:sz w:val="24"/>
                <w:szCs w:val="24"/>
              </w:rPr>
              <w:t>人。厂区不设宿舍和食堂。</w:t>
            </w:r>
          </w:p>
          <w:p>
            <w:pPr>
              <w:spacing w:line="360" w:lineRule="auto"/>
              <w:ind w:firstLine="482" w:firstLineChars="200"/>
              <w:rPr>
                <w:rFonts w:hAnsi="宋体"/>
                <w:b/>
                <w:kern w:val="0"/>
                <w:sz w:val="24"/>
                <w:szCs w:val="24"/>
              </w:rPr>
            </w:pPr>
            <w:r>
              <w:rPr>
                <w:rFonts w:hint="eastAsia" w:hAnsi="宋体"/>
                <w:b/>
                <w:kern w:val="0"/>
                <w:sz w:val="24"/>
                <w:szCs w:val="24"/>
              </w:rPr>
              <w:t>4、建设进度</w:t>
            </w:r>
          </w:p>
          <w:p>
            <w:pPr>
              <w:spacing w:line="360" w:lineRule="auto"/>
              <w:ind w:firstLine="480" w:firstLineChars="200"/>
              <w:rPr>
                <w:rFonts w:hAnsi="宋体"/>
                <w:bCs/>
                <w:color w:val="auto"/>
                <w:kern w:val="0"/>
                <w:sz w:val="24"/>
                <w:szCs w:val="24"/>
                <w:lang w:val="en-US"/>
              </w:rPr>
            </w:pPr>
            <w:r>
              <w:rPr>
                <w:rFonts w:hint="eastAsia" w:hAnsi="宋体"/>
                <w:color w:val="auto"/>
                <w:kern w:val="0"/>
                <w:sz w:val="24"/>
                <w:szCs w:val="24"/>
              </w:rPr>
              <w:t>本项目计划于</w:t>
            </w:r>
            <w:r>
              <w:rPr>
                <w:rFonts w:hAnsi="宋体"/>
                <w:color w:val="auto"/>
                <w:kern w:val="0"/>
                <w:sz w:val="24"/>
                <w:szCs w:val="24"/>
              </w:rPr>
              <w:t>20</w:t>
            </w:r>
            <w:r>
              <w:rPr>
                <w:rFonts w:hint="eastAsia" w:hAnsi="宋体"/>
                <w:color w:val="auto"/>
                <w:kern w:val="0"/>
                <w:sz w:val="24"/>
                <w:szCs w:val="24"/>
                <w:lang w:val="en-US" w:eastAsia="zh-CN"/>
              </w:rPr>
              <w:t>20</w:t>
            </w:r>
            <w:r>
              <w:rPr>
                <w:rFonts w:hint="eastAsia" w:hAnsi="宋体"/>
                <w:color w:val="auto"/>
                <w:kern w:val="0"/>
                <w:sz w:val="24"/>
                <w:szCs w:val="24"/>
              </w:rPr>
              <w:t>年</w:t>
            </w:r>
            <w:r>
              <w:rPr>
                <w:rFonts w:hint="eastAsia" w:hAnsi="宋体"/>
                <w:color w:val="auto"/>
                <w:kern w:val="0"/>
                <w:sz w:val="24"/>
                <w:szCs w:val="24"/>
                <w:lang w:val="en-US" w:eastAsia="zh-CN"/>
              </w:rPr>
              <w:t>3</w:t>
            </w:r>
            <w:r>
              <w:rPr>
                <w:rFonts w:hint="eastAsia" w:hAnsi="宋体"/>
                <w:color w:val="auto"/>
                <w:kern w:val="0"/>
                <w:sz w:val="24"/>
                <w:szCs w:val="24"/>
              </w:rPr>
              <w:t>月开始各项审批手续的报批，于</w:t>
            </w:r>
            <w:r>
              <w:rPr>
                <w:rFonts w:hint="eastAsia" w:hAnsi="宋体"/>
                <w:color w:val="auto"/>
                <w:kern w:val="0"/>
                <w:sz w:val="24"/>
                <w:szCs w:val="24"/>
                <w:lang w:val="en-US" w:eastAsia="zh-CN"/>
              </w:rPr>
              <w:t>2020</w:t>
            </w:r>
            <w:r>
              <w:rPr>
                <w:rFonts w:hint="eastAsia" w:hAnsi="宋体"/>
                <w:color w:val="auto"/>
                <w:kern w:val="0"/>
                <w:sz w:val="24"/>
                <w:szCs w:val="24"/>
              </w:rPr>
              <w:t>年</w:t>
            </w:r>
            <w:r>
              <w:rPr>
                <w:rFonts w:hint="eastAsia" w:hAnsi="宋体"/>
                <w:color w:val="auto"/>
                <w:kern w:val="0"/>
                <w:sz w:val="24"/>
                <w:szCs w:val="24"/>
                <w:lang w:val="en-US" w:eastAsia="zh-CN"/>
              </w:rPr>
              <w:t>6</w:t>
            </w:r>
            <w:r>
              <w:rPr>
                <w:rFonts w:hint="eastAsia" w:hAnsi="宋体"/>
                <w:color w:val="auto"/>
                <w:kern w:val="0"/>
                <w:sz w:val="24"/>
                <w:szCs w:val="24"/>
                <w:lang w:val="en-US"/>
              </w:rPr>
              <w:t>月底</w:t>
            </w:r>
            <w:r>
              <w:rPr>
                <w:rFonts w:hint="eastAsia" w:hAnsi="宋体"/>
                <w:color w:val="auto"/>
                <w:kern w:val="0"/>
                <w:sz w:val="24"/>
                <w:szCs w:val="24"/>
              </w:rPr>
              <w:t>开工建设，建设期约</w:t>
            </w:r>
            <w:r>
              <w:rPr>
                <w:rFonts w:hint="eastAsia" w:hAnsi="宋体"/>
                <w:color w:val="auto"/>
                <w:kern w:val="0"/>
                <w:sz w:val="24"/>
                <w:szCs w:val="24"/>
                <w:lang w:val="en-US"/>
              </w:rPr>
              <w:t>2</w:t>
            </w:r>
            <w:r>
              <w:rPr>
                <w:rFonts w:hint="eastAsia" w:hAnsi="宋体"/>
                <w:color w:val="auto"/>
                <w:kern w:val="0"/>
                <w:sz w:val="24"/>
                <w:szCs w:val="24"/>
              </w:rPr>
              <w:t>个月，于</w:t>
            </w:r>
            <w:r>
              <w:rPr>
                <w:rFonts w:hAnsi="宋体"/>
                <w:color w:val="auto"/>
                <w:kern w:val="0"/>
                <w:sz w:val="24"/>
                <w:szCs w:val="24"/>
              </w:rPr>
              <w:t>2</w:t>
            </w:r>
            <w:r>
              <w:rPr>
                <w:rFonts w:hint="eastAsia" w:hAnsi="宋体"/>
                <w:color w:val="auto"/>
                <w:kern w:val="0"/>
                <w:sz w:val="24"/>
                <w:szCs w:val="24"/>
                <w:lang w:val="en-US" w:eastAsia="zh-CN"/>
              </w:rPr>
              <w:t>020</w:t>
            </w:r>
            <w:r>
              <w:rPr>
                <w:rFonts w:hint="eastAsia" w:hAnsi="宋体"/>
                <w:color w:val="auto"/>
                <w:kern w:val="0"/>
                <w:sz w:val="24"/>
                <w:szCs w:val="24"/>
              </w:rPr>
              <w:t>年</w:t>
            </w:r>
            <w:r>
              <w:rPr>
                <w:rFonts w:hint="eastAsia" w:hAnsi="宋体"/>
                <w:color w:val="auto"/>
                <w:kern w:val="0"/>
                <w:sz w:val="24"/>
                <w:szCs w:val="24"/>
                <w:lang w:val="en-US" w:eastAsia="zh-CN"/>
              </w:rPr>
              <w:t>8</w:t>
            </w:r>
            <w:r>
              <w:rPr>
                <w:rFonts w:hint="eastAsia" w:hAnsi="宋体"/>
                <w:color w:val="auto"/>
                <w:kern w:val="0"/>
                <w:sz w:val="24"/>
                <w:szCs w:val="24"/>
                <w:lang w:val="en-US"/>
              </w:rPr>
              <w:t>月</w:t>
            </w:r>
            <w:r>
              <w:rPr>
                <w:rFonts w:hint="eastAsia" w:hAnsi="宋体"/>
                <w:color w:val="auto"/>
                <w:kern w:val="0"/>
                <w:sz w:val="24"/>
                <w:szCs w:val="24"/>
              </w:rPr>
              <w:t>开始试生产</w:t>
            </w:r>
            <w:r>
              <w:rPr>
                <w:rFonts w:hint="eastAsia" w:hAnsi="宋体"/>
                <w:bCs/>
                <w:color w:val="auto"/>
                <w:kern w:val="0"/>
                <w:sz w:val="24"/>
                <w:szCs w:val="24"/>
                <w:lang w:val="en-US"/>
              </w:rPr>
              <w:t>。</w:t>
            </w:r>
          </w:p>
          <w:bookmarkEnd w:id="9"/>
          <w:bookmarkEnd w:id="10"/>
          <w:p>
            <w:pPr>
              <w:spacing w:line="360" w:lineRule="auto"/>
              <w:ind w:firstLine="482" w:firstLineChars="200"/>
              <w:rPr>
                <w:rFonts w:hAnsi="宋体"/>
                <w:b/>
                <w:kern w:val="0"/>
                <w:sz w:val="24"/>
                <w:szCs w:val="24"/>
              </w:rPr>
            </w:pPr>
            <w:r>
              <w:rPr>
                <w:rFonts w:hint="eastAsia"/>
                <w:b/>
                <w:kern w:val="0"/>
                <w:sz w:val="24"/>
                <w:szCs w:val="24"/>
              </w:rPr>
              <w:t>5</w:t>
            </w:r>
            <w:r>
              <w:rPr>
                <w:rFonts w:hint="eastAsia" w:hAnsi="宋体"/>
                <w:b/>
                <w:kern w:val="0"/>
                <w:sz w:val="24"/>
                <w:szCs w:val="24"/>
              </w:rPr>
              <w:t>、产</w:t>
            </w:r>
            <w:r>
              <w:rPr>
                <w:rFonts w:hAnsi="宋体"/>
                <w:b/>
                <w:kern w:val="0"/>
                <w:sz w:val="24"/>
                <w:szCs w:val="24"/>
              </w:rPr>
              <w:t>业政策相符性</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）产业政策符合性</w:t>
            </w:r>
          </w:p>
          <w:p>
            <w:pPr>
              <w:spacing w:line="360" w:lineRule="auto"/>
              <w:ind w:firstLine="480" w:firstLineChars="200"/>
              <w:rPr>
                <w:sz w:val="24"/>
                <w:szCs w:val="24"/>
              </w:rPr>
            </w:pPr>
            <w:r>
              <w:rPr>
                <w:rFonts w:hint="eastAsia"/>
                <w:sz w:val="24"/>
                <w:szCs w:val="24"/>
              </w:rPr>
              <w:t>本项目为新建项目，行业类别为</w:t>
            </w:r>
            <w:r>
              <w:rPr>
                <w:rFonts w:hint="eastAsia"/>
                <w:kern w:val="0"/>
                <w:sz w:val="24"/>
                <w:szCs w:val="24"/>
              </w:rPr>
              <w:t>C</w:t>
            </w:r>
            <w:r>
              <w:rPr>
                <w:kern w:val="0"/>
                <w:sz w:val="24"/>
                <w:szCs w:val="24"/>
                <w:lang w:val="en-US"/>
              </w:rPr>
              <w:t>30</w:t>
            </w:r>
            <w:r>
              <w:rPr>
                <w:rFonts w:hint="eastAsia"/>
                <w:kern w:val="0"/>
                <w:sz w:val="24"/>
                <w:szCs w:val="24"/>
                <w:lang w:val="en-US"/>
              </w:rPr>
              <w:t>72特种陶瓷制品制造</w:t>
            </w:r>
            <w:r>
              <w:rPr>
                <w:rFonts w:hint="eastAsia"/>
                <w:sz w:val="24"/>
                <w:szCs w:val="24"/>
                <w:lang w:val="en-US"/>
              </w:rPr>
              <w:t>。</w:t>
            </w:r>
            <w:r>
              <w:rPr>
                <w:rFonts w:hint="eastAsia"/>
                <w:sz w:val="24"/>
                <w:szCs w:val="24"/>
              </w:rPr>
              <w:t>经查实，本项目不属于</w:t>
            </w:r>
            <w:r>
              <w:rPr>
                <w:color w:val="000000"/>
                <w:sz w:val="24"/>
                <w:szCs w:val="24"/>
              </w:rPr>
              <w:t>《产业结构调整指导目录（</w:t>
            </w:r>
            <w:r>
              <w:rPr>
                <w:rFonts w:hint="eastAsia"/>
                <w:color w:val="000000"/>
                <w:sz w:val="24"/>
                <w:szCs w:val="24"/>
              </w:rPr>
              <w:t>2019年本）》</w:t>
            </w:r>
            <w:r>
              <w:rPr>
                <w:rFonts w:hint="eastAsia"/>
                <w:sz w:val="24"/>
                <w:szCs w:val="24"/>
              </w:rPr>
              <w:t>中规定的限制类或淘汰类项目，也不属于《江苏省工业和信息产业结构调整指导目录（</w:t>
            </w:r>
            <w:r>
              <w:rPr>
                <w:sz w:val="24"/>
                <w:szCs w:val="24"/>
              </w:rPr>
              <w:t>2012</w:t>
            </w:r>
            <w:r>
              <w:rPr>
                <w:rFonts w:hint="eastAsia"/>
                <w:sz w:val="24"/>
                <w:szCs w:val="24"/>
              </w:rPr>
              <w:t>年本）》及其部分修改条目（苏经信产业（</w:t>
            </w:r>
            <w:r>
              <w:rPr>
                <w:sz w:val="24"/>
                <w:szCs w:val="24"/>
              </w:rPr>
              <w:t>2013</w:t>
            </w:r>
            <w:r>
              <w:rPr>
                <w:rFonts w:hint="eastAsia"/>
                <w:sz w:val="24"/>
                <w:szCs w:val="24"/>
              </w:rPr>
              <w:t>）</w:t>
            </w:r>
            <w:r>
              <w:rPr>
                <w:sz w:val="24"/>
                <w:szCs w:val="24"/>
              </w:rPr>
              <w:t>183</w:t>
            </w:r>
            <w:r>
              <w:rPr>
                <w:rFonts w:hint="eastAsia"/>
                <w:sz w:val="24"/>
                <w:szCs w:val="24"/>
              </w:rPr>
              <w:t>号）中规定的限制类或淘汰类项目；同时本项目不属于</w:t>
            </w:r>
            <w:r>
              <w:rPr>
                <w:rFonts w:hint="eastAsia"/>
                <w:kern w:val="0"/>
                <w:sz w:val="24"/>
                <w:szCs w:val="24"/>
              </w:rPr>
              <w:t>《无锡市制造业转型发</w:t>
            </w:r>
            <w:r>
              <w:rPr>
                <w:rFonts w:hint="eastAsia"/>
                <w:kern w:val="0"/>
                <w:sz w:val="24"/>
                <w:szCs w:val="24"/>
                <w:lang w:val="en-US"/>
              </w:rPr>
              <w:t xml:space="preserve"> </w:t>
            </w:r>
            <w:r>
              <w:rPr>
                <w:rFonts w:hint="eastAsia"/>
                <w:kern w:val="0"/>
                <w:sz w:val="24"/>
                <w:szCs w:val="24"/>
              </w:rPr>
              <w:t>展指导目录（</w:t>
            </w:r>
            <w:r>
              <w:rPr>
                <w:kern w:val="0"/>
                <w:sz w:val="24"/>
                <w:szCs w:val="24"/>
              </w:rPr>
              <w:t>2012</w:t>
            </w:r>
            <w:r>
              <w:rPr>
                <w:rFonts w:hint="eastAsia"/>
                <w:kern w:val="0"/>
                <w:sz w:val="24"/>
                <w:szCs w:val="24"/>
              </w:rPr>
              <w:t>年本）》（锡政办发</w:t>
            </w:r>
            <w:r>
              <w:rPr>
                <w:kern w:val="0"/>
                <w:sz w:val="24"/>
                <w:szCs w:val="24"/>
              </w:rPr>
              <w:t>[2013]54</w:t>
            </w:r>
            <w:r>
              <w:rPr>
                <w:rFonts w:hint="eastAsia"/>
                <w:kern w:val="0"/>
                <w:sz w:val="24"/>
                <w:szCs w:val="24"/>
              </w:rPr>
              <w:t>号）</w:t>
            </w:r>
            <w:r>
              <w:rPr>
                <w:rFonts w:hint="eastAsia"/>
                <w:sz w:val="24"/>
                <w:szCs w:val="24"/>
              </w:rPr>
              <w:t>中的限制类或淘汰类项目，也不属于《宜兴市产业投资指导目录（</w:t>
            </w:r>
            <w:r>
              <w:rPr>
                <w:sz w:val="24"/>
                <w:szCs w:val="24"/>
              </w:rPr>
              <w:t>2018</w:t>
            </w:r>
            <w:r>
              <w:rPr>
                <w:rFonts w:hint="eastAsia"/>
                <w:sz w:val="24"/>
                <w:szCs w:val="24"/>
              </w:rPr>
              <w:t>年本）》中的限制类或淘汰类项目，属于允许类项目，符合国家及地方产业政策要求。</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）《太湖流域管理条例》符合性分析</w:t>
            </w:r>
          </w:p>
          <w:p>
            <w:pPr>
              <w:spacing w:line="360" w:lineRule="auto"/>
              <w:ind w:firstLine="480" w:firstLineChars="200"/>
              <w:rPr>
                <w:sz w:val="24"/>
                <w:szCs w:val="24"/>
              </w:rPr>
            </w:pPr>
            <w:r>
              <w:rPr>
                <w:rFonts w:hint="eastAsia"/>
                <w:sz w:val="24"/>
                <w:szCs w:val="24"/>
              </w:rPr>
              <w:t>根据《太湖流域管理条例》知，该条例“禁止在太湖流域设置不符合国家产业政策和水环境综合治理要求的造纸、制革、酒精、淀粉、冶金、酿造、印染、电镀等排放水污染物的生产项目，在太湖流域新设企业应当符合国家规定的清洁生产要求”，本项目为</w:t>
            </w:r>
            <w:r>
              <w:rPr>
                <w:rFonts w:hint="eastAsia"/>
                <w:sz w:val="24"/>
                <w:szCs w:val="24"/>
                <w:lang w:val="en-US"/>
              </w:rPr>
              <w:t>陶瓷制品、陶瓷模具的制造、加工</w:t>
            </w:r>
            <w:r>
              <w:rPr>
                <w:rFonts w:hint="eastAsia"/>
                <w:sz w:val="24"/>
                <w:szCs w:val="24"/>
              </w:rPr>
              <w:t>，没有工艺废水排放，符合清洁生产要求，本项目不属于《太湖流域管理条例》第二十九条、第三十条禁止的项目，因此本项目的建设符合《太湖流域管理条例》相关要求。</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）《江苏省太湖水污染防治条例》规定符合性</w:t>
            </w:r>
          </w:p>
          <w:p>
            <w:pPr>
              <w:widowControl/>
              <w:shd w:val="clear" w:color="auto" w:fill="FFFFFF"/>
              <w:spacing w:line="360" w:lineRule="auto"/>
              <w:ind w:firstLine="480" w:firstLineChars="200"/>
              <w:jc w:val="left"/>
              <w:rPr>
                <w:color w:val="222222"/>
                <w:sz w:val="24"/>
                <w:szCs w:val="24"/>
              </w:rPr>
            </w:pPr>
            <w:r>
              <w:rPr>
                <w:rFonts w:hint="eastAsia"/>
                <w:sz w:val="24"/>
                <w:szCs w:val="24"/>
              </w:rPr>
              <w:t>根据《江苏省太湖水污染防治条例》（</w:t>
            </w:r>
            <w:r>
              <w:rPr>
                <w:sz w:val="24"/>
                <w:szCs w:val="24"/>
              </w:rPr>
              <w:t>2018年5月1日实施）规定，在太湖流域一、二、三级保护区禁止下列行为：</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（一）新建、改建、扩建化学制浆造纸、制革、酿造、染料、印染、电镀以及其他排放含磷、氮等污染物的企业和项目，城镇污水集中处理等环境基础设施项目和第四十六条规定的情形除外； </w:t>
            </w:r>
          </w:p>
          <w:p>
            <w:pPr>
              <w:widowControl/>
              <w:shd w:val="clear" w:color="auto" w:fill="FFFFFF"/>
              <w:spacing w:line="360" w:lineRule="auto"/>
              <w:ind w:firstLine="480" w:firstLineChars="200"/>
              <w:jc w:val="left"/>
              <w:rPr>
                <w:sz w:val="24"/>
                <w:szCs w:val="24"/>
              </w:rPr>
            </w:pPr>
            <w:r>
              <w:rPr>
                <w:rFonts w:hint="eastAsia"/>
                <w:color w:val="222222"/>
                <w:sz w:val="24"/>
                <w:szCs w:val="24"/>
                <w:shd w:val="clear" w:color="auto" w:fill="FFFFFF"/>
              </w:rPr>
              <w:t>（二）销售、使用含磷洗涤用品；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（三）向水体排放或者倾倒油类、酸液、碱液、剧毒废渣废液、含放射性废渣废液、含病原体污水、工业废渣以及其他废弃物；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（四）在水体清洗装贮过油类或者有毒有害污染物的车辆、船舶和容器等；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（五）使用农药等有毒物毒杀水生生物；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（六）向水体直接排放人畜粪便、倾倒垃圾；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（七）围湖造地；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（八）违法开山采石，或者进行破坏林木、植被、水生生物的活动；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（九）法律、法规禁止的其他行为。 </w:t>
            </w:r>
          </w:p>
          <w:p>
            <w:pPr>
              <w:widowControl/>
              <w:shd w:val="clear" w:color="auto" w:fill="FFFFFF"/>
              <w:spacing w:line="360" w:lineRule="auto"/>
              <w:ind w:firstLine="480" w:firstLineChars="200"/>
              <w:jc w:val="left"/>
              <w:rPr>
                <w:sz w:val="24"/>
                <w:szCs w:val="24"/>
              </w:rPr>
            </w:pPr>
            <w:r>
              <w:rPr>
                <w:rFonts w:hint="eastAsia"/>
                <w:color w:val="222222"/>
                <w:sz w:val="24"/>
                <w:szCs w:val="24"/>
                <w:shd w:val="clear" w:color="auto" w:fill="FFFFFF"/>
              </w:rPr>
              <w:t>第四十四条  除二级保护区规定的禁止行为以外，太湖流域一级保护区还禁止下列行</w:t>
            </w:r>
            <w:r>
              <w:rPr>
                <w:rFonts w:hint="eastAsia"/>
                <w:sz w:val="24"/>
                <w:szCs w:val="24"/>
              </w:rPr>
              <w:t>为：</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（一）新建、扩建向水体排放污染物的建设项目；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（二）在国家和省规定的养殖范围外从事网围、网箱养殖，利用虾窝、地笼网、机械吸螺、底拖网进行捕捞作业； </w:t>
            </w:r>
          </w:p>
          <w:p>
            <w:pPr>
              <w:widowControl/>
              <w:shd w:val="clear" w:color="auto" w:fill="FFFFFF"/>
              <w:spacing w:line="360" w:lineRule="auto"/>
              <w:ind w:firstLine="480" w:firstLineChars="200"/>
              <w:jc w:val="left"/>
              <w:rPr>
                <w:sz w:val="24"/>
                <w:szCs w:val="24"/>
              </w:rPr>
            </w:pPr>
            <w:r>
              <w:rPr>
                <w:rFonts w:hint="eastAsia"/>
                <w:color w:val="222222"/>
                <w:sz w:val="24"/>
                <w:szCs w:val="24"/>
                <w:shd w:val="clear" w:color="auto" w:fill="FFFFFF"/>
              </w:rPr>
              <w:t>（三）新建、扩建畜禽养殖场； </w:t>
            </w:r>
          </w:p>
          <w:p>
            <w:pPr>
              <w:widowControl/>
              <w:shd w:val="clear" w:color="auto" w:fill="FFFFFF"/>
              <w:spacing w:line="360" w:lineRule="auto"/>
              <w:ind w:firstLine="480" w:firstLineChars="200"/>
              <w:jc w:val="left"/>
              <w:rPr>
                <w:color w:val="222222"/>
                <w:sz w:val="24"/>
                <w:szCs w:val="24"/>
              </w:rPr>
            </w:pPr>
            <w:r>
              <w:rPr>
                <w:rFonts w:hint="eastAsia" w:ascii="宋体" w:hAnsi="宋体" w:cs="宋体"/>
                <w:color w:val="222222"/>
                <w:sz w:val="24"/>
                <w:szCs w:val="24"/>
                <w:shd w:val="clear" w:color="auto" w:fill="FFFFFF"/>
              </w:rPr>
              <w:t>（四）新建、扩建高尔夫球场、水上游乐等开发项目；</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（五）设置水上餐饮经营设施；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（六）法律、法规禁止的其他可能污染水质的活动。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除城镇污水集中处理设施依法设置的排污口外，一级保护区内已经设置的排污口应当限期关闭。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第四十五条  太湖流域二级保护区禁止下列行为：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（一）新建、扩建化工、医药生产项目；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（二）新建、扩建污水集中处理设施排污口以外的排污口；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（三）扩大水产养殖规模； </w:t>
            </w:r>
          </w:p>
          <w:p>
            <w:pPr>
              <w:widowControl/>
              <w:shd w:val="clear" w:color="auto" w:fill="FFFFFF"/>
              <w:spacing w:line="360" w:lineRule="auto"/>
              <w:ind w:firstLine="480" w:firstLineChars="200"/>
              <w:jc w:val="left"/>
              <w:rPr>
                <w:color w:val="222222"/>
                <w:sz w:val="24"/>
                <w:szCs w:val="24"/>
              </w:rPr>
            </w:pPr>
            <w:r>
              <w:rPr>
                <w:rFonts w:hint="eastAsia"/>
                <w:color w:val="222222"/>
                <w:sz w:val="24"/>
                <w:szCs w:val="24"/>
                <w:shd w:val="clear" w:color="auto" w:fill="FFFFFF"/>
              </w:rPr>
              <w:t>（四）法律、法规禁止的其他行为。 </w:t>
            </w:r>
          </w:p>
          <w:p>
            <w:pPr>
              <w:spacing w:line="360" w:lineRule="auto"/>
              <w:ind w:firstLine="480" w:firstLineChars="200"/>
              <w:rPr>
                <w:sz w:val="24"/>
                <w:szCs w:val="24"/>
              </w:rPr>
            </w:pPr>
            <w:r>
              <w:rPr>
                <w:rFonts w:hint="eastAsia"/>
                <w:sz w:val="24"/>
                <w:szCs w:val="24"/>
              </w:rPr>
              <w:t>根据《江苏省太湖水污染治理工作方案》（苏政发</w:t>
            </w:r>
            <w:r>
              <w:rPr>
                <w:sz w:val="24"/>
                <w:szCs w:val="24"/>
              </w:rPr>
              <w:t>〔2007〕97号</w:t>
            </w:r>
            <w:r>
              <w:rPr>
                <w:rFonts w:hint="eastAsia"/>
                <w:sz w:val="24"/>
                <w:szCs w:val="24"/>
              </w:rPr>
              <w:t>）规定，禁止新上增加氮磷污染的项目。</w:t>
            </w:r>
          </w:p>
          <w:p>
            <w:pPr>
              <w:spacing w:line="360" w:lineRule="auto"/>
              <w:ind w:firstLine="480" w:firstLineChars="200"/>
              <w:rPr>
                <w:sz w:val="24"/>
                <w:szCs w:val="24"/>
              </w:rPr>
            </w:pPr>
            <w:r>
              <w:rPr>
                <w:rFonts w:hint="eastAsia"/>
                <w:sz w:val="24"/>
                <w:szCs w:val="24"/>
              </w:rPr>
              <w:t>本项目位于太湖流域一级保护区，无生产废水排放，生活污水</w:t>
            </w:r>
            <w:r>
              <w:rPr>
                <w:rFonts w:hint="eastAsia"/>
                <w:kern w:val="0"/>
                <w:sz w:val="24"/>
                <w:szCs w:val="24"/>
                <w:lang w:val="en-US"/>
              </w:rPr>
              <w:t>经化粪池预处理后</w:t>
            </w:r>
            <w:r>
              <w:rPr>
                <w:rFonts w:hint="eastAsia"/>
                <w:sz w:val="24"/>
                <w:szCs w:val="24"/>
              </w:rPr>
              <w:t>接入</w:t>
            </w:r>
            <w:r>
              <w:rPr>
                <w:rFonts w:hint="eastAsia"/>
                <w:sz w:val="24"/>
                <w:szCs w:val="24"/>
                <w:lang w:val="en-US"/>
              </w:rPr>
              <w:t>宜兴市华骐污水处理厂</w:t>
            </w:r>
            <w:r>
              <w:rPr>
                <w:rFonts w:hint="eastAsia"/>
                <w:sz w:val="24"/>
                <w:szCs w:val="24"/>
              </w:rPr>
              <w:t>集中处理，尾水达标后排入</w:t>
            </w:r>
            <w:r>
              <w:rPr>
                <w:rFonts w:hint="eastAsia"/>
                <w:sz w:val="24"/>
                <w:szCs w:val="24"/>
                <w:lang w:val="en-US"/>
              </w:rPr>
              <w:t>蠡河</w:t>
            </w:r>
            <w:r>
              <w:rPr>
                <w:rFonts w:hint="eastAsia"/>
                <w:sz w:val="24"/>
                <w:szCs w:val="24"/>
                <w:lang w:eastAsia="zh-CN"/>
              </w:rPr>
              <w:t>，</w:t>
            </w:r>
            <w:r>
              <w:rPr>
                <w:rFonts w:hint="eastAsia"/>
                <w:sz w:val="24"/>
                <w:szCs w:val="24"/>
              </w:rPr>
              <w:t>不违背太湖流域一级保护区限制规定，不违背《江苏省太湖水污染防治条例》和苏政发</w:t>
            </w:r>
            <w:r>
              <w:rPr>
                <w:sz w:val="24"/>
                <w:szCs w:val="24"/>
              </w:rPr>
              <w:t>〔2007〕97号文规定。</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《江苏省生态红线区域保护规划》符合性分析</w:t>
            </w:r>
          </w:p>
          <w:p>
            <w:pPr>
              <w:spacing w:line="360" w:lineRule="auto"/>
              <w:ind w:firstLine="480" w:firstLineChars="200"/>
              <w:rPr>
                <w:sz w:val="24"/>
                <w:szCs w:val="24"/>
              </w:rPr>
            </w:pPr>
            <w:r>
              <w:rPr>
                <w:rFonts w:hint="eastAsia" w:hAnsi="宋体"/>
                <w:color w:val="000000"/>
                <w:kern w:val="10"/>
                <w:sz w:val="24"/>
              </w:rPr>
              <w:t>根据《江苏省国家级生态保护红线规划》（苏政发〔2018〕74号）、《江苏省生态空间管控区域规划》（苏政发[2020]1号)和《宜兴市生态红线区域保护规划》（宜政办发〔2015〕39 号）中规定的宜兴市红线区域范围一、二级管控区包括：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本项目不在《江苏省国家级生态保护红线规划》（苏政发〔2018〕74号）、《江苏省生态空间管控区域规划》（苏政发[2020]1号)和《宜兴市生态红线区域保护规划》（宜政办发〔2015〕39 号）中规定的一、二级管控区内，项目距离</w:t>
            </w:r>
            <w:r>
              <w:rPr>
                <w:rFonts w:hint="eastAsia" w:hAnsi="宋体"/>
                <w:kern w:val="10"/>
                <w:sz w:val="24"/>
              </w:rPr>
              <w:t>东面最近的生态功能区太湖（宜兴市）重要保护区二级管控区</w:t>
            </w:r>
            <w:r>
              <w:rPr>
                <w:rFonts w:hAnsi="宋体"/>
                <w:kern w:val="10"/>
                <w:sz w:val="24"/>
                <w:lang w:val="en-US"/>
              </w:rPr>
              <w:t>4.6</w:t>
            </w:r>
            <w:r>
              <w:rPr>
                <w:rFonts w:hint="eastAsia" w:hAnsi="宋体"/>
                <w:kern w:val="10"/>
                <w:sz w:val="24"/>
                <w:lang w:val="en-US"/>
              </w:rPr>
              <w:t>公里</w:t>
            </w:r>
            <w:r>
              <w:rPr>
                <w:rFonts w:hint="eastAsia" w:hAnsi="宋体"/>
                <w:kern w:val="10"/>
                <w:sz w:val="24"/>
              </w:rPr>
              <w:t>，</w:t>
            </w:r>
            <w:r>
              <w:rPr>
                <w:rFonts w:hint="eastAsia" w:hAnsi="宋体"/>
                <w:color w:val="000000"/>
                <w:kern w:val="10"/>
                <w:sz w:val="24"/>
              </w:rPr>
              <w:t>符合规划要求。</w:t>
            </w:r>
            <w:r>
              <w:rPr>
                <w:rFonts w:hint="eastAsia"/>
                <w:sz w:val="24"/>
                <w:szCs w:val="24"/>
              </w:rPr>
              <w:t>本项目与宜兴市生态红线地理位置关系图见附图</w:t>
            </w:r>
            <w:r>
              <w:rPr>
                <w:sz w:val="24"/>
                <w:szCs w:val="24"/>
              </w:rPr>
              <w:t>6。</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《无锡市水环境保护条例》规定符合性分析</w:t>
            </w:r>
          </w:p>
          <w:p>
            <w:pPr>
              <w:spacing w:line="360" w:lineRule="auto"/>
              <w:ind w:firstLine="480" w:firstLineChars="200"/>
              <w:rPr>
                <w:sz w:val="24"/>
                <w:szCs w:val="24"/>
              </w:rPr>
            </w:pPr>
            <w:r>
              <w:rPr>
                <w:rFonts w:hint="eastAsia"/>
                <w:sz w:val="24"/>
                <w:szCs w:val="24"/>
              </w:rPr>
              <w:t>根据《无锡市水环境保护条例》知，该条例第十六条禁止：</w:t>
            </w:r>
          </w:p>
          <w:p>
            <w:pPr>
              <w:spacing w:line="360" w:lineRule="auto"/>
              <w:ind w:firstLine="480" w:firstLineChars="200"/>
              <w:rPr>
                <w:sz w:val="24"/>
                <w:szCs w:val="24"/>
              </w:rPr>
            </w:pPr>
            <w:r>
              <w:rPr>
                <w:rFonts w:hint="eastAsia"/>
                <w:sz w:val="24"/>
                <w:szCs w:val="24"/>
              </w:rPr>
              <w:t>①新建、改建、扩建化学制浆造纸、制革、酿造、染料、印染、电镀以及其他排放含磷、氮等污染物的企业和项目；</w:t>
            </w:r>
          </w:p>
          <w:p>
            <w:pPr>
              <w:spacing w:line="360" w:lineRule="auto"/>
              <w:ind w:firstLine="480" w:firstLineChars="200"/>
              <w:rPr>
                <w:sz w:val="24"/>
                <w:szCs w:val="24"/>
              </w:rPr>
            </w:pPr>
            <w:r>
              <w:rPr>
                <w:rFonts w:hint="eastAsia"/>
                <w:sz w:val="24"/>
                <w:szCs w:val="24"/>
              </w:rPr>
              <w:t>②新建、改建、扩建污水不能接入城镇污水集中处理设施的建设项目和经营项目；</w:t>
            </w:r>
          </w:p>
          <w:p>
            <w:pPr>
              <w:spacing w:line="360" w:lineRule="auto"/>
              <w:ind w:firstLine="480" w:firstLineChars="200"/>
              <w:rPr>
                <w:sz w:val="24"/>
                <w:szCs w:val="24"/>
              </w:rPr>
            </w:pPr>
            <w:r>
              <w:rPr>
                <w:rFonts w:hint="eastAsia"/>
                <w:sz w:val="24"/>
                <w:szCs w:val="24"/>
              </w:rPr>
              <w:t>③除污染治理项目外，在工业园区以外新建、扩建工业项目；</w:t>
            </w:r>
          </w:p>
          <w:p>
            <w:pPr>
              <w:spacing w:line="360" w:lineRule="auto"/>
              <w:ind w:firstLine="480" w:firstLineChars="200"/>
              <w:rPr>
                <w:sz w:val="24"/>
                <w:szCs w:val="24"/>
              </w:rPr>
            </w:pPr>
            <w:r>
              <w:rPr>
                <w:rFonts w:hint="eastAsia"/>
                <w:sz w:val="24"/>
                <w:szCs w:val="24"/>
              </w:rPr>
              <w:t>④法律、法规禁止的其他建设行为。</w:t>
            </w:r>
          </w:p>
          <w:p>
            <w:pPr>
              <w:spacing w:line="360" w:lineRule="auto"/>
              <w:ind w:firstLine="480" w:firstLineChars="200"/>
              <w:rPr>
                <w:sz w:val="24"/>
                <w:szCs w:val="24"/>
              </w:rPr>
            </w:pPr>
            <w:r>
              <w:rPr>
                <w:rFonts w:hint="eastAsia"/>
                <w:sz w:val="24"/>
                <w:szCs w:val="24"/>
              </w:rPr>
              <w:t>本项目不属于《无锡市水环境保护条例》第十六条禁止的项目，因此本项目的建设符合《无锡市水环境保护条例》的要求。</w:t>
            </w:r>
          </w:p>
          <w:p>
            <w:pPr>
              <w:spacing w:line="360" w:lineRule="auto"/>
              <w:ind w:firstLine="480" w:firstLineChars="200"/>
              <w:rPr>
                <w:b/>
                <w:sz w:val="24"/>
              </w:rPr>
            </w:pPr>
            <w:r>
              <w:rPr>
                <w:rFonts w:hint="eastAsia" w:eastAsiaTheme="minorEastAsia"/>
                <w:sz w:val="24"/>
              </w:rPr>
              <w:t>（6）</w:t>
            </w:r>
            <w:r>
              <w:rPr>
                <w:bCs/>
                <w:sz w:val="24"/>
              </w:rPr>
              <w:t>与</w:t>
            </w:r>
            <w:r>
              <w:rPr>
                <w:rFonts w:hint="eastAsia"/>
                <w:bCs/>
                <w:sz w:val="24"/>
                <w:lang w:val="en-US"/>
              </w:rPr>
              <w:t>宜兴市任墅工业集中区</w:t>
            </w:r>
            <w:r>
              <w:rPr>
                <w:bCs/>
                <w:sz w:val="24"/>
              </w:rPr>
              <w:t>规划相符性分析</w:t>
            </w:r>
          </w:p>
          <w:p>
            <w:pPr>
              <w:spacing w:line="360" w:lineRule="auto"/>
              <w:ind w:firstLine="480" w:firstLineChars="200"/>
              <w:rPr>
                <w:color w:val="FF0000"/>
              </w:rPr>
            </w:pPr>
            <w:r>
              <w:rPr>
                <w:rFonts w:hint="eastAsia"/>
                <w:sz w:val="24"/>
              </w:rPr>
              <w:t>根据</w:t>
            </w:r>
            <w:r>
              <w:rPr>
                <w:rFonts w:hint="eastAsia"/>
                <w:color w:val="000000"/>
                <w:sz w:val="24"/>
                <w:szCs w:val="24"/>
              </w:rPr>
              <w:t>《</w:t>
            </w:r>
            <w:r>
              <w:rPr>
                <w:rFonts w:hint="eastAsia"/>
                <w:bCs/>
                <w:sz w:val="24"/>
              </w:rPr>
              <w:t>宜兴市</w:t>
            </w:r>
            <w:r>
              <w:rPr>
                <w:rFonts w:hint="eastAsia"/>
                <w:bCs/>
                <w:sz w:val="24"/>
                <w:lang w:val="en-US"/>
              </w:rPr>
              <w:t>任墅工业集中区</w:t>
            </w:r>
            <w:r>
              <w:rPr>
                <w:rFonts w:hint="eastAsia"/>
                <w:sz w:val="24"/>
              </w:rPr>
              <w:t>环境影响报告书</w:t>
            </w:r>
            <w:r>
              <w:rPr>
                <w:rFonts w:hint="eastAsia"/>
                <w:color w:val="000000"/>
                <w:sz w:val="24"/>
                <w:szCs w:val="24"/>
              </w:rPr>
              <w:t>》</w:t>
            </w:r>
            <w:r>
              <w:rPr>
                <w:rFonts w:hint="eastAsia"/>
                <w:sz w:val="24"/>
              </w:rPr>
              <w:t>2018年环评批复（宜环发【2018】76号）：东至新长铁路（部分地块延伸至铁路东330米、泄洪河南240米），南至宕口开采区，西至新丁山监狱用地界线，北至丁张公路，规划用地面积145公顷。本园区产业定位以工业陶瓷、机械加工、环保设备等为主。本项目拟建地在</w:t>
            </w:r>
            <w:r>
              <w:rPr>
                <w:rFonts w:hint="eastAsia"/>
                <w:bCs/>
                <w:sz w:val="24"/>
                <w:szCs w:val="24"/>
              </w:rPr>
              <w:t>宜兴市</w:t>
            </w:r>
            <w:r>
              <w:rPr>
                <w:rFonts w:hint="eastAsia"/>
                <w:bCs/>
                <w:sz w:val="24"/>
                <w:szCs w:val="24"/>
                <w:lang w:val="en-US"/>
              </w:rPr>
              <w:t>任墅工业集中区</w:t>
            </w:r>
            <w:r>
              <w:rPr>
                <w:rFonts w:hint="eastAsia"/>
                <w:sz w:val="24"/>
              </w:rPr>
              <w:t>，项目行业类别为</w:t>
            </w:r>
            <w:r>
              <w:rPr>
                <w:rFonts w:hint="eastAsia"/>
                <w:kern w:val="0"/>
                <w:sz w:val="24"/>
                <w:szCs w:val="24"/>
              </w:rPr>
              <w:t>C</w:t>
            </w:r>
            <w:r>
              <w:rPr>
                <w:kern w:val="0"/>
                <w:sz w:val="24"/>
                <w:szCs w:val="24"/>
                <w:lang w:val="en-US"/>
              </w:rPr>
              <w:t>30</w:t>
            </w:r>
            <w:r>
              <w:rPr>
                <w:rFonts w:hint="eastAsia"/>
                <w:kern w:val="0"/>
                <w:sz w:val="24"/>
                <w:szCs w:val="24"/>
                <w:lang w:val="en-US"/>
              </w:rPr>
              <w:t>72特种陶瓷制品制造</w:t>
            </w:r>
            <w:r>
              <w:rPr>
                <w:rFonts w:hint="eastAsia"/>
                <w:sz w:val="24"/>
              </w:rPr>
              <w:t>，符合园区产业定位</w:t>
            </w:r>
            <w:r>
              <w:rPr>
                <w:sz w:val="24"/>
                <w:szCs w:val="24"/>
                <w:lang w:val="en-US"/>
              </w:rPr>
              <w:t>。</w:t>
            </w:r>
          </w:p>
          <w:p>
            <w:pPr>
              <w:numPr>
                <w:ilvl w:val="0"/>
                <w:numId w:val="13"/>
              </w:numPr>
              <w:spacing w:line="360" w:lineRule="auto"/>
              <w:ind w:firstLine="480" w:firstLineChars="200"/>
              <w:rPr>
                <w:rFonts w:hint="eastAsia"/>
                <w:color w:val="000000"/>
                <w:sz w:val="24"/>
                <w:szCs w:val="24"/>
                <w:lang w:val="en-US" w:eastAsia="zh-CN"/>
              </w:rPr>
            </w:pPr>
            <w:r>
              <w:rPr>
                <w:rFonts w:hint="eastAsia"/>
                <w:color w:val="000000"/>
                <w:sz w:val="24"/>
                <w:szCs w:val="24"/>
                <w:lang w:val="en-US" w:eastAsia="zh-CN"/>
              </w:rPr>
              <w:t>与区域“三线一单”相符性分析</w:t>
            </w:r>
          </w:p>
          <w:p>
            <w:pPr>
              <w:spacing w:line="360" w:lineRule="auto"/>
              <w:ind w:firstLine="480"/>
              <w:jc w:val="left"/>
              <w:rPr>
                <w:sz w:val="24"/>
              </w:rPr>
            </w:pPr>
            <w:r>
              <w:rPr>
                <w:rFonts w:hint="eastAsia"/>
                <w:sz w:val="24"/>
              </w:rPr>
              <w:t>①</w:t>
            </w:r>
            <w:r>
              <w:rPr>
                <w:sz w:val="24"/>
              </w:rPr>
              <w:t>生态保护红线</w:t>
            </w:r>
          </w:p>
          <w:p>
            <w:pPr>
              <w:spacing w:line="360" w:lineRule="auto"/>
              <w:ind w:firstLine="480"/>
              <w:jc w:val="left"/>
              <w:rPr>
                <w:sz w:val="24"/>
              </w:rPr>
            </w:pPr>
            <w:r>
              <w:rPr>
                <w:rFonts w:hint="eastAsia"/>
                <w:sz w:val="24"/>
              </w:rPr>
              <w:t>根据《江苏省国家级生态保护红线规划》（苏政发〔2018〕74号）、《江苏省生态空间管控区域规划》（苏政发[2020]1号)和《宜兴市生态红线区域保护规划》（宜政办发〔2015〕39 号）</w:t>
            </w:r>
            <w:r>
              <w:rPr>
                <w:sz w:val="24"/>
              </w:rPr>
              <w:t>，距离本项目最近的生态红线区域为</w:t>
            </w:r>
            <w:r>
              <w:rPr>
                <w:rFonts w:hint="eastAsia"/>
                <w:sz w:val="24"/>
                <w:lang w:eastAsia="zh-CN"/>
              </w:rPr>
              <w:t>太湖（宜兴市）重要保护区</w:t>
            </w:r>
            <w:r>
              <w:rPr>
                <w:rFonts w:hint="eastAsia"/>
                <w:sz w:val="24"/>
                <w:lang w:val="en-US" w:eastAsia="zh-CN"/>
              </w:rPr>
              <w:t>4.6km</w:t>
            </w:r>
            <w:r>
              <w:rPr>
                <w:rFonts w:hint="eastAsia"/>
                <w:sz w:val="24"/>
                <w:lang w:eastAsia="zh-CN"/>
              </w:rPr>
              <w:t>，</w:t>
            </w:r>
            <w:r>
              <w:rPr>
                <w:sz w:val="24"/>
              </w:rPr>
              <w:t>因此本项目的建设与江苏省生态红线区域保护规划的要求是相符的。</w:t>
            </w:r>
          </w:p>
          <w:p>
            <w:pPr>
              <w:spacing w:line="360" w:lineRule="auto"/>
              <w:ind w:firstLine="480"/>
              <w:jc w:val="left"/>
              <w:rPr>
                <w:sz w:val="24"/>
              </w:rPr>
            </w:pPr>
            <w:r>
              <w:rPr>
                <w:rFonts w:hint="eastAsia"/>
                <w:sz w:val="24"/>
              </w:rPr>
              <w:t>②</w:t>
            </w:r>
            <w:r>
              <w:rPr>
                <w:sz w:val="24"/>
              </w:rPr>
              <w:t>环境质量底线</w:t>
            </w:r>
          </w:p>
          <w:p>
            <w:pPr>
              <w:adjustRightInd w:val="0"/>
              <w:snapToGrid w:val="0"/>
              <w:spacing w:line="360" w:lineRule="auto"/>
              <w:ind w:firstLine="480" w:firstLineChars="200"/>
              <w:rPr>
                <w:sz w:val="24"/>
                <w:szCs w:val="24"/>
              </w:rPr>
            </w:pPr>
            <w:r>
              <w:rPr>
                <w:sz w:val="24"/>
                <w:szCs w:val="24"/>
                <w:lang w:val="en-US"/>
              </w:rPr>
              <w:t>根据</w:t>
            </w:r>
            <w:r>
              <w:rPr>
                <w:rFonts w:hint="eastAsia"/>
                <w:sz w:val="24"/>
                <w:szCs w:val="24"/>
              </w:rPr>
              <w:t>2018年宜兴市生态环境质量公报</w:t>
            </w:r>
            <w:r>
              <w:rPr>
                <w:sz w:val="24"/>
                <w:szCs w:val="24"/>
                <w:lang w:val="en-US"/>
              </w:rPr>
              <w:t>，</w:t>
            </w:r>
            <w:r>
              <w:rPr>
                <w:rFonts w:hint="eastAsia"/>
                <w:sz w:val="24"/>
                <w:szCs w:val="24"/>
              </w:rPr>
              <w:t>本项目所处地区PM</w:t>
            </w:r>
            <w:r>
              <w:rPr>
                <w:sz w:val="24"/>
                <w:szCs w:val="24"/>
                <w:vertAlign w:val="subscript"/>
              </w:rPr>
              <w:t>2.5</w:t>
            </w:r>
            <w:r>
              <w:rPr>
                <w:rFonts w:hint="eastAsia"/>
                <w:sz w:val="24"/>
                <w:szCs w:val="24"/>
              </w:rPr>
              <w:t xml:space="preserve"> 浓度年均值超过标准值（标准值 35 微克/立方米），项目所在区域环境空气为非达标区，目前宜兴市已结合《大气污染防治行动计划》、《重点区域大气污染防治“十二五”规划》等相关要求，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项目所在地声环境质量符合《声环境质量标准》（GB3096-2008）中3类标准要求；建设项目周边环境较好。本项目无生产废水产生，生活污水经化粪池预处理后纳入华骐污水处理厂处理；本项目废气主要为粉尘废气，</w:t>
            </w:r>
            <w:r>
              <w:rPr>
                <w:rFonts w:hint="eastAsia"/>
                <w:sz w:val="24"/>
                <w:szCs w:val="24"/>
                <w:lang w:eastAsia="zh-CN"/>
              </w:rPr>
              <w:t>可</w:t>
            </w:r>
            <w:r>
              <w:rPr>
                <w:rFonts w:hint="eastAsia"/>
                <w:sz w:val="24"/>
                <w:szCs w:val="24"/>
              </w:rPr>
              <w:t>达标排放；本项目昼间厂界噪声达标排放；本项目一般固废与生活垃圾综合处理，不外排。因此，本项目的建设符合环境质量底线的要求。</w:t>
            </w:r>
          </w:p>
          <w:p>
            <w:pPr>
              <w:spacing w:line="360" w:lineRule="auto"/>
              <w:ind w:firstLine="480"/>
              <w:jc w:val="left"/>
              <w:rPr>
                <w:sz w:val="24"/>
              </w:rPr>
            </w:pPr>
            <w:r>
              <w:rPr>
                <w:rFonts w:hint="eastAsia"/>
                <w:sz w:val="24"/>
              </w:rPr>
              <w:t>③</w:t>
            </w:r>
            <w:r>
              <w:rPr>
                <w:sz w:val="24"/>
              </w:rPr>
              <w:t>资源利用</w:t>
            </w:r>
          </w:p>
          <w:p>
            <w:pPr>
              <w:spacing w:line="360" w:lineRule="auto"/>
              <w:ind w:firstLine="480"/>
              <w:rPr>
                <w:rFonts w:hint="eastAsia"/>
                <w:bCs/>
                <w:snapToGrid w:val="0"/>
              </w:rPr>
            </w:pPr>
            <w:r>
              <w:rPr>
                <w:rFonts w:hint="eastAsia"/>
                <w:sz w:val="24"/>
              </w:rPr>
              <w:t>本项目运营过程中所使用的能源主要为电能和水资源</w:t>
            </w:r>
            <w:r>
              <w:rPr>
                <w:sz w:val="24"/>
              </w:rPr>
              <w:t>，能耗水平均较低；本项目选用了高效、先进的设备，提高了生产效率，减少了产品的损耗率，节省了能源。综上，本项目的建设符合资源利用上线要求。</w:t>
            </w:r>
          </w:p>
          <w:p>
            <w:pPr>
              <w:spacing w:line="360" w:lineRule="auto"/>
              <w:ind w:firstLine="480"/>
              <w:jc w:val="left"/>
              <w:rPr>
                <w:sz w:val="24"/>
              </w:rPr>
            </w:pPr>
            <w:r>
              <w:rPr>
                <w:rFonts w:hint="eastAsia" w:hAnsi="宋体"/>
                <w:sz w:val="24"/>
              </w:rPr>
              <w:t>④</w:t>
            </w:r>
            <w:r>
              <w:rPr>
                <w:sz w:val="24"/>
              </w:rPr>
              <w:t>环境准入负面清单</w:t>
            </w:r>
          </w:p>
          <w:p>
            <w:pPr>
              <w:spacing w:line="360" w:lineRule="auto"/>
              <w:ind w:firstLine="480" w:firstLineChars="200"/>
              <w:rPr>
                <w:rFonts w:hint="eastAsia" w:ascii="宋体" w:hAnsi="宋体" w:eastAsia="宋体" w:cs="宋体"/>
                <w:bCs/>
                <w:sz w:val="24"/>
                <w:szCs w:val="24"/>
                <w:lang w:eastAsia="zh-CN"/>
              </w:rPr>
            </w:pPr>
            <w:r>
              <w:rPr>
                <w:sz w:val="24"/>
                <w:szCs w:val="24"/>
              </w:rPr>
              <w:t>本项目为</w:t>
            </w:r>
            <w:r>
              <w:rPr>
                <w:rFonts w:hint="eastAsia"/>
                <w:kern w:val="0"/>
                <w:sz w:val="24"/>
                <w:szCs w:val="24"/>
              </w:rPr>
              <w:t>C</w:t>
            </w:r>
            <w:r>
              <w:rPr>
                <w:kern w:val="0"/>
                <w:sz w:val="24"/>
                <w:szCs w:val="24"/>
                <w:lang w:val="en-US"/>
              </w:rPr>
              <w:t>30</w:t>
            </w:r>
            <w:r>
              <w:rPr>
                <w:rFonts w:hint="eastAsia"/>
                <w:kern w:val="0"/>
                <w:sz w:val="24"/>
                <w:szCs w:val="24"/>
                <w:lang w:val="en-US"/>
              </w:rPr>
              <w:t>72特种陶瓷制品制造</w:t>
            </w:r>
            <w:r>
              <w:rPr>
                <w:sz w:val="24"/>
                <w:szCs w:val="24"/>
              </w:rPr>
              <w:t>，经查</w:t>
            </w:r>
            <w:r>
              <w:rPr>
                <w:rFonts w:hint="eastAsia"/>
                <w:sz w:val="24"/>
                <w:szCs w:val="24"/>
                <w:lang w:val="en-US"/>
              </w:rPr>
              <w:t>本项目不属于江苏省环境准入负面清单内禁止引入的项目</w:t>
            </w:r>
            <w:r>
              <w:rPr>
                <w:sz w:val="24"/>
                <w:szCs w:val="24"/>
              </w:rPr>
              <w:t>。因此，本项目符合环境准入条</w:t>
            </w:r>
            <w:r>
              <w:rPr>
                <w:rFonts w:hint="eastAsia"/>
                <w:sz w:val="24"/>
                <w:szCs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8580" w:type="dxa"/>
            <w:gridSpan w:val="13"/>
          </w:tcPr>
          <w:p>
            <w:pPr>
              <w:spacing w:line="360" w:lineRule="auto"/>
              <w:rPr>
                <w:b/>
                <w:bCs/>
                <w:sz w:val="24"/>
                <w:szCs w:val="24"/>
              </w:rPr>
            </w:pPr>
            <w:r>
              <w:rPr>
                <w:rFonts w:hint="eastAsia"/>
                <w:b/>
                <w:bCs/>
                <w:sz w:val="24"/>
                <w:szCs w:val="24"/>
              </w:rPr>
              <w:t>与本项目有关的原有污染情况及主要环境问题</w:t>
            </w:r>
          </w:p>
          <w:p>
            <w:pPr>
              <w:spacing w:line="360" w:lineRule="auto"/>
              <w:ind w:firstLine="480" w:firstLineChars="200"/>
              <w:rPr>
                <w:rFonts w:hint="eastAsia"/>
                <w:sz w:val="24"/>
                <w:szCs w:val="24"/>
                <w:lang w:val="en-US" w:eastAsia="zh-CN"/>
              </w:rPr>
            </w:pPr>
            <w:r>
              <w:rPr>
                <w:rFonts w:hint="eastAsia"/>
                <w:sz w:val="24"/>
                <w:szCs w:val="24"/>
              </w:rPr>
              <w:t>本项目为新建项目，</w:t>
            </w:r>
            <w:r>
              <w:rPr>
                <w:rFonts w:hint="eastAsia"/>
                <w:sz w:val="24"/>
                <w:szCs w:val="24"/>
                <w:lang w:eastAsia="zh-CN"/>
              </w:rPr>
              <w:t>租用宜兴市丁蜀镇宏伟陶瓷釉料加工厂位于宜兴市丁蜀镇任墅村现有厂房</w:t>
            </w:r>
            <w:r>
              <w:rPr>
                <w:rFonts w:hint="eastAsia"/>
                <w:sz w:val="24"/>
                <w:szCs w:val="24"/>
                <w:lang w:val="en-US" w:eastAsia="zh-CN"/>
              </w:rPr>
              <w:t>460m</w:t>
            </w:r>
            <w:r>
              <w:rPr>
                <w:rFonts w:hint="eastAsia"/>
                <w:sz w:val="24"/>
                <w:szCs w:val="24"/>
                <w:vertAlign w:val="superscript"/>
                <w:lang w:val="en-US" w:eastAsia="zh-CN"/>
              </w:rPr>
              <w:t>2</w:t>
            </w:r>
            <w:r>
              <w:rPr>
                <w:rFonts w:hint="eastAsia"/>
                <w:sz w:val="24"/>
                <w:szCs w:val="24"/>
                <w:lang w:val="en-US" w:eastAsia="zh-CN"/>
              </w:rPr>
              <w:t>进行生产</w:t>
            </w:r>
            <w:r>
              <w:rPr>
                <w:rFonts w:hint="eastAsia"/>
                <w:sz w:val="24"/>
                <w:szCs w:val="24"/>
                <w:lang w:eastAsia="zh-CN"/>
              </w:rPr>
              <w:t>，</w:t>
            </w:r>
            <w:r>
              <w:rPr>
                <w:rFonts w:hint="eastAsia"/>
                <w:sz w:val="24"/>
                <w:szCs w:val="24"/>
              </w:rPr>
              <w:t>项目规划用地为工业用地。</w:t>
            </w:r>
            <w:r>
              <w:rPr>
                <w:rFonts w:hint="eastAsia"/>
                <w:sz w:val="24"/>
                <w:szCs w:val="24"/>
                <w:lang w:eastAsia="zh-CN"/>
              </w:rPr>
              <w:t>宜兴市丁蜀镇宏伟陶瓷釉料加工厂建设项目环境保护自查评估报告于</w:t>
            </w:r>
            <w:r>
              <w:rPr>
                <w:rFonts w:hint="eastAsia"/>
                <w:sz w:val="24"/>
                <w:szCs w:val="24"/>
                <w:lang w:val="en-US" w:eastAsia="zh-CN"/>
              </w:rPr>
              <w:t>2016年11月25日经宜兴市环保违法违规建设项目清理领导小组办公室审核同意，可登记录入“一企一档”环境管理数据库，纳入日常环境管理，其生产能力为年产陶瓷色釉料300t/a、釉水1000t/a，本项目所在地厂房原为闲置。</w:t>
            </w:r>
          </w:p>
          <w:p>
            <w:pPr>
              <w:spacing w:line="360" w:lineRule="auto"/>
              <w:ind w:firstLine="480" w:firstLineChars="200"/>
              <w:rPr>
                <w:sz w:val="24"/>
                <w:szCs w:val="24"/>
              </w:rPr>
            </w:pPr>
            <w:r>
              <w:rPr>
                <w:rFonts w:hint="eastAsia"/>
                <w:sz w:val="24"/>
                <w:szCs w:val="24"/>
              </w:rPr>
              <w:t>因此，本项目不存在原有污染。</w:t>
            </w:r>
          </w:p>
          <w:p>
            <w:pPr>
              <w:spacing w:line="360" w:lineRule="auto"/>
              <w:ind w:firstLine="420" w:firstLineChars="200"/>
              <w:rPr>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p>
            <w:pPr>
              <w:pStyle w:val="2"/>
              <w:rPr>
                <w:rFonts w:eastAsiaTheme="minorEastAsia"/>
                <w:color w:val="FF0000"/>
                <w:sz w:val="24"/>
                <w:szCs w:val="24"/>
                <w:lang w:val="en-US"/>
              </w:rPr>
            </w:pPr>
          </w:p>
        </w:tc>
      </w:tr>
    </w:tbl>
    <w:p>
      <w:p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289449139"/>
      <w:bookmarkStart w:id="12" w:name="_Toc279911129"/>
      <w:bookmarkStart w:id="13" w:name="_Toc279473127"/>
      <w:bookmarkStart w:id="14" w:name="_Toc279277646"/>
    </w:p>
    <w:p>
      <w:pPr>
        <w:pStyle w:val="4"/>
        <w:tabs>
          <w:tab w:val="left" w:pos="4140"/>
        </w:tabs>
        <w:jc w:val="both"/>
        <w:rPr>
          <w:bCs w:val="0"/>
          <w:spacing w:val="0"/>
          <w:kern w:val="0"/>
          <w:sz w:val="32"/>
          <w:szCs w:val="32"/>
        </w:rPr>
      </w:pPr>
      <w:bookmarkStart w:id="15" w:name="_Toc367970631"/>
      <w:bookmarkStart w:id="16" w:name="_Toc367970386"/>
      <w:bookmarkStart w:id="17" w:name="_Toc12276"/>
      <w:bookmarkStart w:id="18" w:name="_Toc367970825"/>
      <w:r>
        <w:rPr>
          <w:bCs w:val="0"/>
          <w:spacing w:val="0"/>
          <w:kern w:val="0"/>
          <w:sz w:val="32"/>
          <w:szCs w:val="32"/>
        </w:rPr>
        <w:t>2</w:t>
      </w:r>
      <w:r>
        <w:rPr>
          <w:rFonts w:hAnsi="宋体"/>
          <w:bCs w:val="0"/>
          <w:spacing w:val="0"/>
          <w:kern w:val="0"/>
          <w:sz w:val="32"/>
          <w:szCs w:val="32"/>
        </w:rPr>
        <w:t>、项目所在地自然环境社会环境简况</w:t>
      </w:r>
      <w:bookmarkEnd w:id="11"/>
      <w:bookmarkEnd w:id="12"/>
      <w:bookmarkEnd w:id="13"/>
      <w:bookmarkEnd w:id="14"/>
      <w:bookmarkEnd w:id="15"/>
      <w:bookmarkEnd w:id="16"/>
      <w:bookmarkEnd w:id="17"/>
      <w:bookmarkEnd w:id="18"/>
    </w:p>
    <w:tbl>
      <w:tblPr>
        <w:tblStyle w:val="75"/>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8" w:hRule="atLeast"/>
          <w:jc w:val="center"/>
        </w:trPr>
        <w:tc>
          <w:tcPr>
            <w:tcW w:w="8551" w:type="dxa"/>
            <w:vAlign w:val="center"/>
          </w:tcPr>
          <w:p>
            <w:pPr>
              <w:spacing w:before="120" w:beforeLines="50" w:line="360" w:lineRule="auto"/>
              <w:rPr>
                <w:b/>
                <w:kern w:val="0"/>
                <w:sz w:val="28"/>
                <w:szCs w:val="28"/>
              </w:rPr>
            </w:pPr>
            <w:r>
              <w:rPr>
                <w:b/>
                <w:kern w:val="0"/>
                <w:sz w:val="28"/>
                <w:szCs w:val="28"/>
              </w:rPr>
              <w:t xml:space="preserve">2.1 </w:t>
            </w:r>
            <w:r>
              <w:rPr>
                <w:rFonts w:hAnsi="宋体"/>
                <w:b/>
                <w:kern w:val="0"/>
                <w:sz w:val="28"/>
                <w:szCs w:val="28"/>
              </w:rPr>
              <w:t>自然环境简况</w:t>
            </w:r>
          </w:p>
          <w:p>
            <w:pPr>
              <w:spacing w:line="360" w:lineRule="auto"/>
              <w:rPr>
                <w:b/>
                <w:kern w:val="0"/>
                <w:sz w:val="24"/>
                <w:szCs w:val="24"/>
              </w:rPr>
            </w:pPr>
            <w:r>
              <w:rPr>
                <w:b/>
                <w:kern w:val="0"/>
                <w:sz w:val="24"/>
                <w:szCs w:val="24"/>
              </w:rPr>
              <w:t xml:space="preserve">2.1.1 </w:t>
            </w:r>
            <w:r>
              <w:rPr>
                <w:rFonts w:hAnsi="宋体"/>
                <w:b/>
                <w:kern w:val="0"/>
                <w:sz w:val="24"/>
                <w:szCs w:val="24"/>
              </w:rPr>
              <w:t>地理位置</w:t>
            </w:r>
          </w:p>
          <w:p>
            <w:pPr>
              <w:widowControl/>
              <w:spacing w:line="360" w:lineRule="auto"/>
              <w:ind w:firstLine="480" w:firstLineChars="200"/>
              <w:rPr>
                <w:rFonts w:hAnsi="宋体"/>
                <w:kern w:val="0"/>
                <w:sz w:val="24"/>
                <w:szCs w:val="24"/>
                <w:lang w:val="en-US"/>
              </w:rPr>
            </w:pPr>
            <w:r>
              <w:rPr>
                <w:rFonts w:hAnsi="宋体"/>
                <w:kern w:val="0"/>
                <w:sz w:val="24"/>
                <w:szCs w:val="24"/>
                <w:lang w:val="en-US"/>
              </w:rPr>
              <w:t>宜兴市位于北纬</w:t>
            </w:r>
            <w:r>
              <w:rPr>
                <w:kern w:val="0"/>
                <w:sz w:val="24"/>
                <w:szCs w:val="24"/>
                <w:lang w:val="en-US"/>
              </w:rPr>
              <w:t>31°07'</w:t>
            </w:r>
            <w:r>
              <w:rPr>
                <w:rFonts w:hAnsi="宋体"/>
                <w:kern w:val="0"/>
                <w:sz w:val="24"/>
                <w:szCs w:val="24"/>
                <w:lang w:val="en-US"/>
              </w:rPr>
              <w:t>～</w:t>
            </w:r>
            <w:r>
              <w:rPr>
                <w:kern w:val="0"/>
                <w:sz w:val="24"/>
                <w:szCs w:val="24"/>
                <w:lang w:val="en-US"/>
              </w:rPr>
              <w:t>31°37'</w:t>
            </w:r>
            <w:r>
              <w:rPr>
                <w:rFonts w:hAnsi="宋体"/>
                <w:kern w:val="0"/>
                <w:sz w:val="24"/>
                <w:szCs w:val="24"/>
                <w:lang w:val="en-US"/>
              </w:rPr>
              <w:t>，东经</w:t>
            </w:r>
            <w:r>
              <w:rPr>
                <w:kern w:val="0"/>
                <w:sz w:val="24"/>
                <w:szCs w:val="24"/>
                <w:lang w:val="en-US"/>
              </w:rPr>
              <w:t>119°31'</w:t>
            </w:r>
            <w:r>
              <w:rPr>
                <w:rFonts w:hAnsi="宋体"/>
                <w:kern w:val="0"/>
                <w:sz w:val="24"/>
                <w:szCs w:val="24"/>
                <w:lang w:val="en-US"/>
              </w:rPr>
              <w:t>～</w:t>
            </w:r>
            <w:r>
              <w:rPr>
                <w:kern w:val="0"/>
                <w:sz w:val="24"/>
                <w:szCs w:val="24"/>
                <w:lang w:val="en-US"/>
              </w:rPr>
              <w:t>120°03'</w:t>
            </w:r>
            <w:r>
              <w:rPr>
                <w:rFonts w:hAnsi="宋体"/>
                <w:kern w:val="0"/>
                <w:sz w:val="24"/>
                <w:szCs w:val="24"/>
                <w:lang w:val="en-US"/>
              </w:rPr>
              <w:t>。地处江苏省南端、沪宁杭三角中心，东面太湖水面与苏州太湖水面相连，东南临浙江长兴，西南界安徽广德，西接溧阳，西北毗连金坛，北与武进相傍。滆湖镶嵌其间，三氿（西氿、团氿、东氿）相伴市区东西两侧。全市总面积</w:t>
            </w:r>
            <w:r>
              <w:rPr>
                <w:kern w:val="0"/>
                <w:sz w:val="24"/>
                <w:szCs w:val="24"/>
                <w:lang w:val="en-US"/>
              </w:rPr>
              <w:t>2038.7</w:t>
            </w:r>
            <w:r>
              <w:rPr>
                <w:rFonts w:hAnsi="宋体"/>
                <w:kern w:val="0"/>
                <w:sz w:val="24"/>
                <w:szCs w:val="24"/>
                <w:lang w:val="en-US"/>
              </w:rPr>
              <w:t>平方千米（其中太湖水面</w:t>
            </w:r>
            <w:r>
              <w:rPr>
                <w:kern w:val="0"/>
                <w:sz w:val="24"/>
                <w:szCs w:val="24"/>
                <w:lang w:val="en-US"/>
              </w:rPr>
              <w:t>280.7</w:t>
            </w:r>
            <w:r>
              <w:rPr>
                <w:rFonts w:hAnsi="宋体"/>
                <w:kern w:val="0"/>
                <w:sz w:val="24"/>
                <w:szCs w:val="24"/>
                <w:lang w:val="en-US"/>
              </w:rPr>
              <w:t>平方千米）；市区建成区面积</w:t>
            </w:r>
            <w:r>
              <w:rPr>
                <w:kern w:val="0"/>
                <w:sz w:val="24"/>
                <w:szCs w:val="24"/>
                <w:lang w:val="en-US"/>
              </w:rPr>
              <w:t>66.1</w:t>
            </w:r>
            <w:r>
              <w:rPr>
                <w:rFonts w:hAnsi="宋体"/>
                <w:kern w:val="0"/>
                <w:sz w:val="24"/>
                <w:szCs w:val="24"/>
                <w:lang w:val="en-US"/>
              </w:rPr>
              <w:t>平方千米，城市化率</w:t>
            </w:r>
            <w:r>
              <w:rPr>
                <w:kern w:val="0"/>
                <w:sz w:val="24"/>
                <w:szCs w:val="24"/>
                <w:lang w:val="en-US"/>
              </w:rPr>
              <w:t>55.88%</w:t>
            </w:r>
            <w:r>
              <w:rPr>
                <w:rFonts w:hAnsi="宋体"/>
                <w:kern w:val="0"/>
                <w:sz w:val="24"/>
                <w:szCs w:val="24"/>
                <w:lang w:val="en-US"/>
              </w:rPr>
              <w:t>。</w:t>
            </w:r>
          </w:p>
          <w:p>
            <w:pPr>
              <w:widowControl/>
              <w:spacing w:line="360" w:lineRule="auto"/>
              <w:ind w:firstLine="480" w:firstLineChars="200"/>
              <w:rPr>
                <w:kern w:val="0"/>
                <w:sz w:val="24"/>
                <w:szCs w:val="24"/>
                <w:lang w:val="en-US"/>
              </w:rPr>
            </w:pPr>
            <w:r>
              <w:rPr>
                <w:rFonts w:hint="eastAsia"/>
                <w:kern w:val="0"/>
                <w:sz w:val="24"/>
                <w:szCs w:val="24"/>
                <w:lang w:val="en-US"/>
              </w:rPr>
              <w:t>丁蜀镇位于宜兴市的南部，属于长江三角洲经济开发区，东临太湖，西部为天目山的余脉，面积127.50km</w:t>
            </w:r>
            <w:r>
              <w:rPr>
                <w:kern w:val="0"/>
                <w:sz w:val="24"/>
                <w:szCs w:val="24"/>
                <w:vertAlign w:val="superscript"/>
                <w:lang w:val="en-US"/>
              </w:rPr>
              <w:t>2</w:t>
            </w:r>
            <w:r>
              <w:rPr>
                <w:rFonts w:hint="eastAsia"/>
                <w:kern w:val="0"/>
                <w:sz w:val="24"/>
                <w:szCs w:val="24"/>
                <w:lang w:val="en-US"/>
              </w:rPr>
              <w:t>，拥有耕地 2568.27公顷。</w:t>
            </w:r>
          </w:p>
          <w:p>
            <w:pPr>
              <w:widowControl/>
              <w:spacing w:line="360" w:lineRule="auto"/>
              <w:ind w:firstLine="480" w:firstLineChars="200"/>
              <w:rPr>
                <w:kern w:val="0"/>
                <w:sz w:val="24"/>
                <w:szCs w:val="24"/>
                <w:lang w:val="en-US"/>
              </w:rPr>
            </w:pPr>
            <w:r>
              <w:rPr>
                <w:rFonts w:hint="eastAsia"/>
                <w:kern w:val="0"/>
                <w:sz w:val="24"/>
                <w:szCs w:val="24"/>
                <w:lang w:val="en-US"/>
              </w:rPr>
              <w:t>本项目位于</w:t>
            </w:r>
            <w:r>
              <w:rPr>
                <w:rFonts w:hint="eastAsia" w:hAnsi="宋体"/>
                <w:sz w:val="24"/>
                <w:szCs w:val="24"/>
              </w:rPr>
              <w:t>宜兴市丁蜀镇任墅工业集中区</w:t>
            </w:r>
            <w:r>
              <w:rPr>
                <w:rFonts w:hint="eastAsia"/>
                <w:kern w:val="0"/>
                <w:sz w:val="24"/>
                <w:szCs w:val="24"/>
                <w:lang w:val="en-US"/>
              </w:rPr>
              <w:t>，东侧为宜兴志得科技有限公司，南面为景宏陶瓷，西面为空地，北面为空置厂房。项目地理位置见</w:t>
            </w:r>
            <w:r>
              <w:rPr>
                <w:rFonts w:hint="eastAsia"/>
                <w:b/>
                <w:bCs/>
                <w:kern w:val="0"/>
                <w:sz w:val="24"/>
                <w:szCs w:val="24"/>
                <w:u w:val="single"/>
                <w:lang w:val="en-US"/>
              </w:rPr>
              <w:t>附图1</w:t>
            </w:r>
            <w:r>
              <w:rPr>
                <w:rFonts w:hint="eastAsia"/>
                <w:kern w:val="0"/>
                <w:sz w:val="24"/>
                <w:szCs w:val="24"/>
                <w:lang w:val="en-US"/>
              </w:rPr>
              <w:t>，项目周边环境概况见</w:t>
            </w:r>
            <w:r>
              <w:rPr>
                <w:rFonts w:hint="eastAsia"/>
                <w:b/>
                <w:bCs/>
                <w:kern w:val="0"/>
                <w:sz w:val="24"/>
                <w:szCs w:val="24"/>
                <w:u w:val="single"/>
                <w:lang w:val="en-US"/>
              </w:rPr>
              <w:t>附图2</w:t>
            </w:r>
            <w:r>
              <w:rPr>
                <w:rFonts w:hint="eastAsia"/>
                <w:kern w:val="0"/>
                <w:sz w:val="24"/>
                <w:szCs w:val="24"/>
                <w:lang w:val="en-US"/>
              </w:rPr>
              <w:t>。</w:t>
            </w:r>
          </w:p>
          <w:p>
            <w:pPr>
              <w:spacing w:line="360" w:lineRule="auto"/>
              <w:rPr>
                <w:b/>
                <w:kern w:val="0"/>
                <w:sz w:val="24"/>
                <w:szCs w:val="24"/>
              </w:rPr>
            </w:pPr>
            <w:r>
              <w:rPr>
                <w:b/>
                <w:kern w:val="0"/>
                <w:sz w:val="24"/>
                <w:szCs w:val="24"/>
              </w:rPr>
              <w:t>2.1.2</w:t>
            </w:r>
            <w:r>
              <w:rPr>
                <w:rFonts w:hAnsi="宋体"/>
                <w:b/>
                <w:kern w:val="0"/>
                <w:sz w:val="24"/>
                <w:szCs w:val="24"/>
              </w:rPr>
              <w:t>地形、地质、地貌</w:t>
            </w:r>
          </w:p>
          <w:p>
            <w:pPr>
              <w:spacing w:line="360" w:lineRule="auto"/>
              <w:ind w:firstLine="480" w:firstLineChars="200"/>
              <w:textAlignment w:val="baseline"/>
              <w:rPr>
                <w:rFonts w:hAnsi="宋体"/>
                <w:kern w:val="0"/>
                <w:sz w:val="24"/>
                <w:szCs w:val="24"/>
                <w:lang w:val="en-US"/>
              </w:rPr>
            </w:pPr>
            <w:r>
              <w:rPr>
                <w:rFonts w:hint="eastAsia" w:hAnsi="宋体"/>
                <w:kern w:val="0"/>
                <w:sz w:val="24"/>
                <w:szCs w:val="24"/>
                <w:lang w:val="en-US"/>
              </w:rPr>
              <w:t>丁蜀镇地形大部分为平原，在蠡河以东，主要为湖沼平原，地面高程2~3m（黄海高程），由全新统湖积、湖沼而成，岩性为砂质粘土和粘质砂土，夹有淤泥及泥炭层，东南部为丘陵（与浙江接壤部分），为剥露断褶低山，由泥盆系石英砂岩组成，岩性坚硬，故山势雄伟，叠嶂如云。本镇地处扬子板块东南部，地壳厚度32km。宜兴地区地震烈度为7度。</w:t>
            </w:r>
          </w:p>
          <w:p>
            <w:pPr>
              <w:spacing w:line="360" w:lineRule="auto"/>
              <w:rPr>
                <w:b/>
                <w:kern w:val="0"/>
                <w:sz w:val="24"/>
                <w:szCs w:val="24"/>
              </w:rPr>
            </w:pPr>
            <w:r>
              <w:rPr>
                <w:b/>
                <w:kern w:val="0"/>
                <w:sz w:val="24"/>
                <w:szCs w:val="24"/>
              </w:rPr>
              <w:t>2.1.3</w:t>
            </w:r>
            <w:r>
              <w:rPr>
                <w:rFonts w:hAnsi="宋体"/>
                <w:b/>
                <w:kern w:val="0"/>
                <w:sz w:val="24"/>
                <w:szCs w:val="24"/>
              </w:rPr>
              <w:t>生态</w:t>
            </w:r>
          </w:p>
          <w:p>
            <w:pPr>
              <w:spacing w:line="360" w:lineRule="auto"/>
              <w:ind w:firstLine="480" w:firstLineChars="200"/>
              <w:textAlignment w:val="baseline"/>
              <w:rPr>
                <w:rFonts w:hAnsi="宋体"/>
                <w:kern w:val="0"/>
                <w:sz w:val="24"/>
                <w:szCs w:val="24"/>
                <w:lang w:val="en-US"/>
              </w:rPr>
            </w:pPr>
            <w:r>
              <w:rPr>
                <w:rFonts w:hint="eastAsia" w:hAnsi="宋体"/>
                <w:kern w:val="0"/>
                <w:sz w:val="24"/>
                <w:szCs w:val="24"/>
                <w:lang w:val="en-US"/>
              </w:rPr>
              <w:t>丁蜀镇沿太湖地区称为渎区，主要作物为蔬菜，盛产百合、萝卜等经济作物，其平原地区为稻、麦、油菜等粮油产区，林地主要以乔木、灌木、水杉为主，山林经济以茶叶和花卉种植为主。畜牧业以猪、羊、家禽为主。水产品以鱼类、虾蟹类为主。</w:t>
            </w:r>
          </w:p>
          <w:p>
            <w:pPr>
              <w:spacing w:line="360" w:lineRule="auto"/>
              <w:textAlignment w:val="baseline"/>
              <w:rPr>
                <w:b/>
                <w:sz w:val="24"/>
              </w:rPr>
            </w:pPr>
            <w:r>
              <w:rPr>
                <w:b/>
                <w:sz w:val="24"/>
              </w:rPr>
              <w:t>2.1.4</w:t>
            </w:r>
            <w:r>
              <w:rPr>
                <w:rFonts w:hAnsi="宋体"/>
                <w:b/>
                <w:sz w:val="24"/>
              </w:rPr>
              <w:t>气候气象特征</w:t>
            </w:r>
          </w:p>
          <w:p>
            <w:pPr>
              <w:spacing w:line="360" w:lineRule="auto"/>
              <w:ind w:firstLine="480" w:firstLineChars="200"/>
              <w:textAlignment w:val="baseline"/>
              <w:rPr>
                <w:kern w:val="0"/>
                <w:sz w:val="24"/>
                <w:szCs w:val="24"/>
                <w:lang w:val="en-US"/>
              </w:rPr>
            </w:pPr>
            <w:r>
              <w:rPr>
                <w:rFonts w:hint="eastAsia" w:hAnsi="宋体"/>
                <w:sz w:val="24"/>
              </w:rPr>
              <w:t>丁蜀镇的主导风向为东南风，春季多东南风，秋冬多西北风。年平均风速 3.1m/s。年平均气温 15.6℃，最高气温为39.7℃，最低气温为-10℃，年平均气压1016.1hPa，年平均降雨量1160mm，年平均相对湿度82%，年平均无霜期239 天，日照时数2092.6小时。历史最高降雨量1817mm，最少降雨量669.9mm。</w:t>
            </w:r>
          </w:p>
          <w:p>
            <w:pPr>
              <w:spacing w:line="360" w:lineRule="auto"/>
              <w:textAlignment w:val="baseline"/>
              <w:rPr>
                <w:rFonts w:hAnsi="宋体"/>
                <w:sz w:val="24"/>
              </w:rPr>
            </w:pPr>
            <w:r>
              <w:rPr>
                <w:b/>
                <w:sz w:val="24"/>
              </w:rPr>
              <w:t>2.1.5</w:t>
            </w:r>
            <w:r>
              <w:rPr>
                <w:rFonts w:hAnsi="宋体"/>
                <w:b/>
                <w:sz w:val="24"/>
              </w:rPr>
              <w:t>水文特征</w:t>
            </w:r>
          </w:p>
          <w:p>
            <w:pPr>
              <w:spacing w:line="360" w:lineRule="auto"/>
              <w:ind w:firstLine="480" w:firstLineChars="200"/>
              <w:textAlignment w:val="baseline"/>
              <w:rPr>
                <w:rFonts w:hAnsi="宋体"/>
                <w:sz w:val="24"/>
              </w:rPr>
            </w:pPr>
            <w:r>
              <w:rPr>
                <w:rFonts w:hint="eastAsia" w:hAnsi="宋体"/>
                <w:sz w:val="24"/>
              </w:rPr>
              <w:t>丁蜀镇属苏南水乡，地势坦荡，河网密布，纵横交汇，形成一大水乡特色。丁蜀镇境内河流纵横交叉，东临太湖，东西向的河流有黄渎港、乌溪港，是入太湖的最主要的两个入湖口；南北向的河流主要有蠡河、施荡河，为蠡河水系（本镇大部分属蠡河水系）。</w:t>
            </w:r>
          </w:p>
          <w:p>
            <w:pPr>
              <w:spacing w:before="120" w:beforeLines="50" w:line="360" w:lineRule="auto"/>
              <w:rPr>
                <w:b/>
                <w:kern w:val="0"/>
                <w:sz w:val="28"/>
                <w:szCs w:val="28"/>
              </w:rPr>
            </w:pPr>
            <w:r>
              <w:rPr>
                <w:b/>
                <w:kern w:val="0"/>
                <w:sz w:val="28"/>
                <w:szCs w:val="28"/>
              </w:rPr>
              <w:t>2.2</w:t>
            </w:r>
            <w:r>
              <w:rPr>
                <w:rFonts w:hAnsi="宋体"/>
                <w:b/>
                <w:kern w:val="0"/>
                <w:sz w:val="28"/>
                <w:szCs w:val="28"/>
              </w:rPr>
              <w:t>社会环境简况</w:t>
            </w:r>
          </w:p>
          <w:p>
            <w:pPr>
              <w:spacing w:line="360" w:lineRule="auto"/>
              <w:textAlignment w:val="baseline"/>
              <w:rPr>
                <w:b/>
                <w:sz w:val="24"/>
              </w:rPr>
            </w:pPr>
            <w:r>
              <w:rPr>
                <w:b/>
                <w:sz w:val="24"/>
              </w:rPr>
              <w:t>2.2.1</w:t>
            </w:r>
            <w:r>
              <w:rPr>
                <w:rFonts w:hAnsi="宋体"/>
                <w:b/>
                <w:sz w:val="24"/>
              </w:rPr>
              <w:t>宜兴市概况</w:t>
            </w:r>
          </w:p>
          <w:p>
            <w:pPr>
              <w:spacing w:line="348" w:lineRule="auto"/>
              <w:ind w:firstLine="480" w:firstLineChars="200"/>
              <w:textAlignment w:val="baseline"/>
              <w:rPr>
                <w:sz w:val="24"/>
                <w:szCs w:val="24"/>
              </w:rPr>
            </w:pPr>
            <w:r>
              <w:rPr>
                <w:rFonts w:hAnsi="宋体"/>
                <w:sz w:val="24"/>
                <w:szCs w:val="24"/>
              </w:rPr>
              <w:t>宜兴地处苏浙皖三省交界、沪宁杭三角中心，是江苏四个重点发展的三级</w:t>
            </w:r>
            <w:r>
              <w:rPr>
                <w:rFonts w:ascii="宋体" w:hAnsi="宋体"/>
                <w:sz w:val="24"/>
                <w:szCs w:val="24"/>
              </w:rPr>
              <w:t>Ⅰ</w:t>
            </w:r>
            <w:r>
              <w:rPr>
                <w:rFonts w:hAnsi="宋体"/>
                <w:sz w:val="24"/>
                <w:szCs w:val="24"/>
              </w:rPr>
              <w:t>类中心城市之一。全市总面积</w:t>
            </w:r>
            <w:r>
              <w:rPr>
                <w:sz w:val="24"/>
                <w:szCs w:val="24"/>
              </w:rPr>
              <w:t>2038</w:t>
            </w:r>
            <w:r>
              <w:rPr>
                <w:rFonts w:hAnsi="宋体"/>
                <w:sz w:val="24"/>
                <w:szCs w:val="24"/>
              </w:rPr>
              <w:t>平方公里，户籍人口</w:t>
            </w:r>
            <w:r>
              <w:rPr>
                <w:sz w:val="24"/>
                <w:szCs w:val="24"/>
              </w:rPr>
              <w:t>107</w:t>
            </w:r>
            <w:r>
              <w:rPr>
                <w:rFonts w:hAnsi="宋体"/>
                <w:sz w:val="24"/>
                <w:szCs w:val="24"/>
              </w:rPr>
              <w:t>万，下辖</w:t>
            </w:r>
            <w:r>
              <w:rPr>
                <w:sz w:val="24"/>
                <w:szCs w:val="24"/>
              </w:rPr>
              <w:t>14</w:t>
            </w:r>
            <w:r>
              <w:rPr>
                <w:rFonts w:hAnsi="宋体"/>
                <w:sz w:val="24"/>
                <w:szCs w:val="24"/>
              </w:rPr>
              <w:t>个镇、</w:t>
            </w:r>
            <w:r>
              <w:rPr>
                <w:sz w:val="24"/>
                <w:szCs w:val="24"/>
              </w:rPr>
              <w:t>4</w:t>
            </w:r>
            <w:r>
              <w:rPr>
                <w:rFonts w:hAnsi="宋体"/>
                <w:sz w:val="24"/>
                <w:szCs w:val="24"/>
              </w:rPr>
              <w:t>个街道、</w:t>
            </w:r>
            <w:r>
              <w:rPr>
                <w:sz w:val="24"/>
                <w:szCs w:val="24"/>
              </w:rPr>
              <w:t>2</w:t>
            </w:r>
            <w:r>
              <w:rPr>
                <w:rFonts w:hAnsi="宋体"/>
                <w:sz w:val="24"/>
                <w:szCs w:val="24"/>
              </w:rPr>
              <w:t>个国家级开发区（环保科技工业园、宜兴经济开发区）和</w:t>
            </w:r>
            <w:r>
              <w:rPr>
                <w:sz w:val="24"/>
                <w:szCs w:val="24"/>
              </w:rPr>
              <w:t>1</w:t>
            </w:r>
            <w:r>
              <w:rPr>
                <w:rFonts w:hAnsi="宋体"/>
                <w:sz w:val="24"/>
                <w:szCs w:val="24"/>
              </w:rPr>
              <w:t>个省级经济开发区（江苏陶瓷产业园），先后获得国家园林城市、国家科技进步先进县（市）、国家生态市、国家可持续发展实验区、中国最具幸福感城市金奖等</w:t>
            </w:r>
            <w:r>
              <w:rPr>
                <w:sz w:val="24"/>
                <w:szCs w:val="24"/>
              </w:rPr>
              <w:t>50</w:t>
            </w:r>
            <w:r>
              <w:rPr>
                <w:rFonts w:hAnsi="宋体"/>
                <w:sz w:val="24"/>
                <w:szCs w:val="24"/>
              </w:rPr>
              <w:t>多项全国性荣誉。</w:t>
            </w:r>
            <w:r>
              <w:rPr>
                <w:sz w:val="24"/>
                <w:szCs w:val="24"/>
              </w:rPr>
              <w:t>2011</w:t>
            </w:r>
            <w:r>
              <w:rPr>
                <w:rFonts w:hAnsi="宋体"/>
                <w:sz w:val="24"/>
                <w:szCs w:val="24"/>
              </w:rPr>
              <w:t>年</w:t>
            </w:r>
            <w:r>
              <w:rPr>
                <w:sz w:val="24"/>
                <w:szCs w:val="24"/>
              </w:rPr>
              <w:t>1</w:t>
            </w:r>
            <w:r>
              <w:rPr>
                <w:rFonts w:hAnsi="宋体"/>
                <w:sz w:val="24"/>
                <w:szCs w:val="24"/>
              </w:rPr>
              <w:t>月，经国务院批准，宜兴正式被列为国家历史文化名城。</w:t>
            </w:r>
          </w:p>
          <w:p>
            <w:pPr>
              <w:spacing w:line="348" w:lineRule="auto"/>
              <w:ind w:firstLine="480" w:firstLineChars="200"/>
              <w:textAlignment w:val="baseline"/>
              <w:rPr>
                <w:sz w:val="24"/>
                <w:szCs w:val="24"/>
              </w:rPr>
            </w:pPr>
            <w:r>
              <w:rPr>
                <w:rFonts w:hAnsi="宋体"/>
                <w:sz w:val="24"/>
                <w:szCs w:val="24"/>
              </w:rPr>
              <w:t>宜兴是山清水秀的生态宜居城市。境内</w:t>
            </w:r>
            <w:r>
              <w:rPr>
                <w:sz w:val="24"/>
                <w:szCs w:val="24"/>
              </w:rPr>
              <w:t>“</w:t>
            </w:r>
            <w:r>
              <w:rPr>
                <w:rFonts w:hAnsi="宋体"/>
                <w:sz w:val="24"/>
                <w:szCs w:val="24"/>
              </w:rPr>
              <w:t>三山两水五分田</w:t>
            </w:r>
            <w:r>
              <w:rPr>
                <w:sz w:val="24"/>
                <w:szCs w:val="24"/>
              </w:rPr>
              <w:t>”</w:t>
            </w:r>
            <w:r>
              <w:rPr>
                <w:rFonts w:hAnsi="宋体"/>
                <w:sz w:val="24"/>
                <w:szCs w:val="24"/>
              </w:rPr>
              <w:t>，生态禀赋得天独厚，拥有国家</w:t>
            </w:r>
            <w:r>
              <w:rPr>
                <w:sz w:val="24"/>
                <w:szCs w:val="24"/>
              </w:rPr>
              <w:t>4A</w:t>
            </w:r>
            <w:r>
              <w:rPr>
                <w:rFonts w:hAnsi="宋体"/>
                <w:sz w:val="24"/>
                <w:szCs w:val="24"/>
              </w:rPr>
              <w:t>级景区</w:t>
            </w:r>
            <w:r>
              <w:rPr>
                <w:sz w:val="24"/>
                <w:szCs w:val="24"/>
              </w:rPr>
              <w:t>5</w:t>
            </w:r>
            <w:r>
              <w:rPr>
                <w:rFonts w:hAnsi="宋体"/>
                <w:sz w:val="24"/>
                <w:szCs w:val="24"/>
              </w:rPr>
              <w:t>家，山在城中、城在水中的特色非常鲜明，自古就有</w:t>
            </w:r>
            <w:r>
              <w:rPr>
                <w:sz w:val="24"/>
                <w:szCs w:val="24"/>
              </w:rPr>
              <w:t>“</w:t>
            </w:r>
            <w:r>
              <w:rPr>
                <w:rFonts w:hAnsi="宋体"/>
                <w:sz w:val="24"/>
                <w:szCs w:val="24"/>
              </w:rPr>
              <w:t>阳羡山水甲江南</w:t>
            </w:r>
            <w:r>
              <w:rPr>
                <w:sz w:val="24"/>
                <w:szCs w:val="24"/>
              </w:rPr>
              <w:t>”</w:t>
            </w:r>
            <w:r>
              <w:rPr>
                <w:rFonts w:hAnsi="宋体"/>
                <w:sz w:val="24"/>
                <w:szCs w:val="24"/>
              </w:rPr>
              <w:t>的美誉。宜兴是文脉厚重的历史文化名城。</w:t>
            </w:r>
            <w:r>
              <w:rPr>
                <w:sz w:val="24"/>
                <w:szCs w:val="24"/>
              </w:rPr>
              <w:t>7000</w:t>
            </w:r>
            <w:r>
              <w:rPr>
                <w:rFonts w:hAnsi="宋体"/>
                <w:sz w:val="24"/>
                <w:szCs w:val="24"/>
              </w:rPr>
              <w:t>多年的制陶史、</w:t>
            </w:r>
            <w:r>
              <w:rPr>
                <w:sz w:val="24"/>
                <w:szCs w:val="24"/>
              </w:rPr>
              <w:t>2200</w:t>
            </w:r>
            <w:r>
              <w:rPr>
                <w:rFonts w:hAnsi="宋体"/>
                <w:sz w:val="24"/>
                <w:szCs w:val="24"/>
              </w:rPr>
              <w:t>多年的建县史，孕育了宜兴特殊的地域文化现象。陶瓷文化源远流长、紫砂工艺独步天下、名流大家代不绝书，涌现了徐悲鸿、吴冠中、钱松喦等一大批画坛巨匠，是久负盛名的</w:t>
            </w:r>
            <w:r>
              <w:rPr>
                <w:sz w:val="24"/>
                <w:szCs w:val="24"/>
              </w:rPr>
              <w:t>“</w:t>
            </w:r>
            <w:r>
              <w:rPr>
                <w:rFonts w:hAnsi="宋体"/>
                <w:sz w:val="24"/>
                <w:szCs w:val="24"/>
              </w:rPr>
              <w:t>中国陶都</w:t>
            </w:r>
            <w:r>
              <w:rPr>
                <w:sz w:val="24"/>
                <w:szCs w:val="24"/>
              </w:rPr>
              <w:t>”</w:t>
            </w:r>
            <w:r>
              <w:rPr>
                <w:rFonts w:hAnsi="宋体"/>
                <w:sz w:val="24"/>
                <w:szCs w:val="24"/>
              </w:rPr>
              <w:t>、</w:t>
            </w:r>
            <w:r>
              <w:rPr>
                <w:sz w:val="24"/>
                <w:szCs w:val="24"/>
              </w:rPr>
              <w:t>“</w:t>
            </w:r>
            <w:r>
              <w:rPr>
                <w:rFonts w:hAnsi="宋体"/>
                <w:sz w:val="24"/>
                <w:szCs w:val="24"/>
              </w:rPr>
              <w:t>教授之乡</w:t>
            </w:r>
            <w:r>
              <w:rPr>
                <w:sz w:val="24"/>
                <w:szCs w:val="24"/>
              </w:rPr>
              <w:t>”</w:t>
            </w:r>
            <w:r>
              <w:rPr>
                <w:rFonts w:hAnsi="宋体"/>
                <w:sz w:val="24"/>
                <w:szCs w:val="24"/>
              </w:rPr>
              <w:t>、</w:t>
            </w:r>
            <w:r>
              <w:rPr>
                <w:sz w:val="24"/>
                <w:szCs w:val="24"/>
              </w:rPr>
              <w:t>“</w:t>
            </w:r>
            <w:r>
              <w:rPr>
                <w:rFonts w:hAnsi="宋体"/>
                <w:sz w:val="24"/>
                <w:szCs w:val="24"/>
              </w:rPr>
              <w:t>书画之乡</w:t>
            </w:r>
            <w:r>
              <w:rPr>
                <w:sz w:val="24"/>
                <w:szCs w:val="24"/>
              </w:rPr>
              <w:t>”</w:t>
            </w:r>
            <w:r>
              <w:rPr>
                <w:rFonts w:hAnsi="宋体"/>
                <w:sz w:val="24"/>
                <w:szCs w:val="24"/>
              </w:rPr>
              <w:t>。建国以来，在高等院校、科研单位工作的宜兴籍专家学者超过</w:t>
            </w:r>
            <w:r>
              <w:rPr>
                <w:sz w:val="24"/>
                <w:szCs w:val="24"/>
              </w:rPr>
              <w:t>2</w:t>
            </w:r>
            <w:r>
              <w:rPr>
                <w:rFonts w:hAnsi="宋体"/>
                <w:sz w:val="24"/>
                <w:szCs w:val="24"/>
              </w:rPr>
              <w:t>万人，其中教授</w:t>
            </w:r>
            <w:r>
              <w:rPr>
                <w:sz w:val="24"/>
                <w:szCs w:val="24"/>
              </w:rPr>
              <w:t>8000</w:t>
            </w:r>
            <w:r>
              <w:rPr>
                <w:rFonts w:hAnsi="宋体"/>
                <w:sz w:val="24"/>
                <w:szCs w:val="24"/>
              </w:rPr>
              <w:t>多人、</w:t>
            </w:r>
            <w:r>
              <w:rPr>
                <w:sz w:val="24"/>
                <w:szCs w:val="24"/>
              </w:rPr>
              <w:t>“</w:t>
            </w:r>
            <w:r>
              <w:rPr>
                <w:rFonts w:hAnsi="宋体"/>
                <w:sz w:val="24"/>
                <w:szCs w:val="24"/>
              </w:rPr>
              <w:t>两院</w:t>
            </w:r>
            <w:r>
              <w:rPr>
                <w:sz w:val="24"/>
                <w:szCs w:val="24"/>
              </w:rPr>
              <w:t>”</w:t>
            </w:r>
            <w:r>
              <w:rPr>
                <w:rFonts w:hAnsi="宋体"/>
                <w:sz w:val="24"/>
                <w:szCs w:val="24"/>
              </w:rPr>
              <w:t>院士</w:t>
            </w:r>
            <w:r>
              <w:rPr>
                <w:sz w:val="24"/>
                <w:szCs w:val="24"/>
              </w:rPr>
              <w:t>25</w:t>
            </w:r>
            <w:r>
              <w:rPr>
                <w:rFonts w:hAnsi="宋体"/>
                <w:sz w:val="24"/>
                <w:szCs w:val="24"/>
              </w:rPr>
              <w:t>人，原北京大学校长周培源、清华大学校长蒋南翔、台湾大学校长虞兆中等都是宜兴人。宜兴是经济发达的新兴中心城市。产业、城市、生态、文化</w:t>
            </w:r>
            <w:r>
              <w:rPr>
                <w:sz w:val="24"/>
                <w:szCs w:val="24"/>
              </w:rPr>
              <w:t>“</w:t>
            </w:r>
            <w:r>
              <w:rPr>
                <w:rFonts w:hAnsi="宋体"/>
                <w:sz w:val="24"/>
                <w:szCs w:val="24"/>
              </w:rPr>
              <w:t>四位一体</w:t>
            </w:r>
            <w:r>
              <w:rPr>
                <w:sz w:val="24"/>
                <w:szCs w:val="24"/>
              </w:rPr>
              <w:t>”</w:t>
            </w:r>
            <w:r>
              <w:rPr>
                <w:rFonts w:hAnsi="宋体"/>
                <w:sz w:val="24"/>
                <w:szCs w:val="24"/>
              </w:rPr>
              <w:t>建设加速推进，</w:t>
            </w:r>
            <w:r>
              <w:rPr>
                <w:sz w:val="24"/>
                <w:szCs w:val="24"/>
              </w:rPr>
              <w:t>“</w:t>
            </w:r>
            <w:r>
              <w:rPr>
                <w:rFonts w:hAnsi="宋体"/>
                <w:sz w:val="24"/>
                <w:szCs w:val="24"/>
              </w:rPr>
              <w:t>十</w:t>
            </w:r>
            <w:r>
              <w:rPr>
                <w:rFonts w:hint="eastAsia" w:hAnsi="宋体"/>
                <w:sz w:val="24"/>
                <w:szCs w:val="24"/>
                <w:lang w:val="en-US"/>
              </w:rPr>
              <w:t>三</w:t>
            </w:r>
            <w:r>
              <w:rPr>
                <w:rFonts w:hAnsi="宋体"/>
                <w:sz w:val="24"/>
                <w:szCs w:val="24"/>
              </w:rPr>
              <w:t>五</w:t>
            </w:r>
            <w:r>
              <w:rPr>
                <w:sz w:val="24"/>
                <w:szCs w:val="24"/>
              </w:rPr>
              <w:t>”</w:t>
            </w:r>
            <w:r>
              <w:rPr>
                <w:rFonts w:hAnsi="宋体"/>
                <w:sz w:val="24"/>
                <w:szCs w:val="24"/>
              </w:rPr>
              <w:t>实现良好开局。</w:t>
            </w:r>
          </w:p>
          <w:p>
            <w:pPr>
              <w:spacing w:line="348" w:lineRule="auto"/>
              <w:rPr>
                <w:b/>
                <w:sz w:val="24"/>
              </w:rPr>
            </w:pPr>
            <w:r>
              <w:rPr>
                <w:b/>
                <w:sz w:val="24"/>
              </w:rPr>
              <w:t>2.2.2</w:t>
            </w:r>
            <w:r>
              <w:rPr>
                <w:rFonts w:hint="eastAsia"/>
                <w:b/>
                <w:sz w:val="24"/>
              </w:rPr>
              <w:t>丁蜀镇概况</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丁蜀镇是全市主要经济模块之一，其发展质态直接影响到全市。丁蜀镇经济总量近80亿元，产业发展以机电、纺织和陶瓷为主，机电、纺织等优势产业经济总量占到全镇的70%。其中在新加坡上市的亨鑫科技有限公司生产的高科技同轴电缆销售业绩全国第一，占据了全国三分之一的市场。林龙电磁线、远航合金材料、电工厂、非金属化工机械厂、中讯数码电子、维多利亚家具等一批非陶瓷规模企业已成为了园区经济的支柱力量。</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丁蜀镇早在1995年就被江苏省列为对外开放工业卫星镇，目前已形成了陶瓷、纺织、机电、化工、轻工、建材、工艺品等富有地方特色、门类齐全的工业体系。流通服务业十分发达，是苏浙皖三省交界处重要的人流、物流交汇中心。 境内蕴藏着丰富的陶瓷原料、石灰石等资源，物产丰富，是典型江南鱼米之乡。</w:t>
            </w:r>
          </w:p>
          <w:p>
            <w:pPr>
              <w:autoSpaceDE w:val="0"/>
              <w:autoSpaceDN w:val="0"/>
              <w:adjustRightInd w:val="0"/>
              <w:spacing w:line="360" w:lineRule="auto"/>
              <w:ind w:firstLine="480" w:firstLineChars="200"/>
              <w:rPr>
                <w:rFonts w:hAnsi="宋体"/>
                <w:sz w:val="24"/>
                <w:lang w:val="zh-CN"/>
              </w:rPr>
            </w:pPr>
            <w:r>
              <w:rPr>
                <w:rFonts w:hint="eastAsia" w:hAnsi="宋体"/>
                <w:sz w:val="24"/>
                <w:lang w:val="zh-CN"/>
              </w:rPr>
              <w:t>本镇以盛产陶瓷而闻名中外，陶文化源远流长，制陶历史可追溯到五千多年前。目前是我国乃至世界最重要的陶瓷生产基地和陶瓷产品销售集散地，被誉为“中国陶都”。丁蜀镇先后被命名为“中国历史文化名镇”、“中国陶瓷艺术之乡”和“中国民间艺术之乡”。2012年1月，丁蜀镇黄龙山紫砂泥矿井入选第七批省文物保护单位，成为全国唯一被列入文物保护单位的紫砂泥矿井。</w:t>
            </w:r>
          </w:p>
          <w:p>
            <w:pPr>
              <w:autoSpaceDE w:val="0"/>
              <w:autoSpaceDN w:val="0"/>
              <w:adjustRightInd w:val="0"/>
              <w:spacing w:line="360" w:lineRule="auto"/>
              <w:ind w:firstLine="480" w:firstLineChars="200"/>
              <w:rPr>
                <w:rFonts w:hAnsi="宋体"/>
                <w:sz w:val="24"/>
                <w:lang w:val="zh-CN"/>
              </w:rPr>
            </w:pPr>
            <w:r>
              <w:rPr>
                <w:rFonts w:hint="eastAsia" w:hAnsi="宋体"/>
                <w:sz w:val="24"/>
                <w:lang w:val="en-US"/>
              </w:rPr>
              <w:t>2018年年底，丁蜀镇区域205平方千米，辖行政村28个、社区17个，总人口148201人。全年财政总收入14.23亿元，财政可支配收入5.17亿元，比上年增长10.47%。应税销售收入287.61亿元，比上年增长24.8%。其中:工业189.45亿元，比上年增长4.64%;流通44.19亿元，比上年增长7%。工业利税总额12.03亿元，比上年增长2.73%;工业利润总额8.93亿元，比上年增长14.63%。全社会固定资产投资54.68亿元，其中工业32.15亿元、 服务业22.53亿元。全年粮食总产量2.21万吨，农业总产值26.09亿元，农民年人均可支配收入30525元。</w:t>
            </w:r>
          </w:p>
          <w:p>
            <w:pPr>
              <w:spacing w:line="348" w:lineRule="auto"/>
              <w:rPr>
                <w:b/>
                <w:sz w:val="24"/>
                <w:szCs w:val="24"/>
              </w:rPr>
            </w:pPr>
            <w:r>
              <w:rPr>
                <w:b/>
                <w:sz w:val="24"/>
              </w:rPr>
              <w:t>2.2.3</w:t>
            </w:r>
            <w:r>
              <w:rPr>
                <w:rFonts w:hint="eastAsia" w:hAnsi="宋体"/>
                <w:b/>
                <w:sz w:val="24"/>
                <w:szCs w:val="24"/>
              </w:rPr>
              <w:t>宜兴市华骐污水处理厂</w:t>
            </w:r>
            <w:r>
              <w:rPr>
                <w:rFonts w:hAnsi="宋体"/>
                <w:b/>
                <w:sz w:val="24"/>
                <w:szCs w:val="24"/>
              </w:rPr>
              <w:t>概况</w:t>
            </w:r>
          </w:p>
          <w:p>
            <w:pPr>
              <w:spacing w:line="348" w:lineRule="auto"/>
              <w:ind w:firstLine="480" w:firstLineChars="200"/>
              <w:textAlignment w:val="baseline"/>
              <w:rPr>
                <w:rFonts w:hAnsi="宋体"/>
                <w:sz w:val="24"/>
                <w:lang w:val="zh-CN"/>
              </w:rPr>
            </w:pPr>
            <w:r>
              <w:rPr>
                <w:rFonts w:hint="eastAsia" w:hAnsi="宋体"/>
                <w:sz w:val="24"/>
                <w:lang w:val="zh-CN"/>
              </w:rPr>
              <w:t>宜兴市华骐污水处理厂位于丁蜀镇蠡河路、青云河交叉口东北侧，规划用地43亩。一期建设规模为2.5万吨/日，项目总投资概算6000万元。项目分两部建设，先行建设1万吨/日，于2008年2月竣工，于2009年10月通过宜兴市环境保护局“三同时”验收，并于2012年2月通过了二阶段（1.5万吨/日）项目的“三同时”验收。2016年8月开工建设改扩建项目，建设规模为日处理污水3万t/d，于2018年4月27日通过竣工环保验收（〔2018〕009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GB18918-2002）一级B标准基础上，调整设计执行一级A标准，尾水实现达标排放。</w:t>
            </w:r>
          </w:p>
          <w:p>
            <w:pPr>
              <w:spacing w:line="348" w:lineRule="auto"/>
              <w:ind w:firstLine="480" w:firstLineChars="200"/>
              <w:textAlignment w:val="baseline"/>
              <w:rPr>
                <w:rFonts w:hAnsi="宋体"/>
                <w:sz w:val="24"/>
                <w:lang w:val="zh-CN"/>
              </w:rPr>
            </w:pPr>
            <w:r>
              <w:rPr>
                <w:rFonts w:hint="eastAsia" w:hAnsi="宋体"/>
                <w:sz w:val="24"/>
                <w:lang w:val="zh-CN"/>
              </w:rPr>
              <w:t>配套污水收集管网由丁蜀镇政府负责建设。 一期总投资6200万元，工程包括主管网、支管网和提升泵站建设，目前一期管网工程已全部完工，覆盖丁蜀镇城区29个小区和产业园区近百家企业完成了纳管工作。</w:t>
            </w:r>
          </w:p>
          <w:p>
            <w:pPr>
              <w:spacing w:line="348" w:lineRule="auto"/>
              <w:ind w:firstLine="480" w:firstLineChars="200"/>
              <w:textAlignment w:val="baseline"/>
              <w:rPr>
                <w:rFonts w:hAnsi="宋体"/>
                <w:sz w:val="24"/>
                <w:lang w:val="zh-CN"/>
              </w:rPr>
            </w:pPr>
            <w:r>
              <w:rPr>
                <w:rFonts w:hint="eastAsia" w:hAnsi="宋体"/>
                <w:sz w:val="24"/>
                <w:lang w:val="zh-CN"/>
              </w:rPr>
              <w:t>宜兴市华骐污水处理厂工艺流程框图如下：</w:t>
            </w:r>
          </w:p>
          <w:p>
            <w:pPr>
              <w:spacing w:line="348" w:lineRule="auto"/>
              <w:jc w:val="center"/>
              <w:textAlignment w:val="baseline"/>
              <w:rPr>
                <w:lang w:val="en-US"/>
              </w:rPr>
            </w:pPr>
            <w:r>
              <w:rPr>
                <w:lang w:val="en-US"/>
              </w:rPr>
              <w:drawing>
                <wp:inline distT="0" distB="0" distL="0" distR="0">
                  <wp:extent cx="5029200" cy="3695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5029200" cy="3695700"/>
                          </a:xfrm>
                          <a:prstGeom prst="rect">
                            <a:avLst/>
                          </a:prstGeom>
                          <a:noFill/>
                          <a:ln w="9525">
                            <a:noFill/>
                            <a:miter lim="800000"/>
                            <a:headEnd/>
                            <a:tailEnd/>
                          </a:ln>
                        </pic:spPr>
                      </pic:pic>
                    </a:graphicData>
                  </a:graphic>
                </wp:inline>
              </w:drawing>
            </w:r>
          </w:p>
          <w:p>
            <w:pPr>
              <w:spacing w:line="348" w:lineRule="auto"/>
              <w:jc w:val="center"/>
              <w:textAlignment w:val="baseline"/>
              <w:rPr>
                <w:rFonts w:hAnsi="宋体"/>
                <w:b/>
                <w:szCs w:val="21"/>
                <w:lang w:val="zh-CN"/>
              </w:rPr>
            </w:pPr>
            <w:r>
              <w:rPr>
                <w:rFonts w:hint="eastAsia" w:hAnsi="宋体"/>
                <w:b/>
                <w:szCs w:val="21"/>
                <w:lang w:val="zh-CN"/>
              </w:rPr>
              <w:t>图2-1宜兴市华骐污水处理厂工艺流程框图</w:t>
            </w: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both"/>
              <w:textAlignment w:val="baseline"/>
              <w:rPr>
                <w:rFonts w:hAnsi="宋体"/>
                <w:b/>
                <w:szCs w:val="21"/>
                <w:lang w:val="zh-CN"/>
              </w:rPr>
            </w:pPr>
          </w:p>
          <w:p>
            <w:pPr>
              <w:pStyle w:val="2"/>
              <w:rPr>
                <w:rFonts w:hAnsi="宋体"/>
                <w:b/>
                <w:szCs w:val="21"/>
                <w:lang w:val="zh-CN"/>
              </w:rPr>
            </w:pPr>
          </w:p>
          <w:p>
            <w:pPr>
              <w:pStyle w:val="2"/>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jc w:val="center"/>
              <w:textAlignment w:val="baseline"/>
              <w:rPr>
                <w:rFonts w:hAnsi="宋体"/>
                <w:b/>
                <w:szCs w:val="21"/>
                <w:lang w:val="zh-CN"/>
              </w:rPr>
            </w:pPr>
          </w:p>
          <w:p>
            <w:pPr>
              <w:spacing w:line="348" w:lineRule="auto"/>
              <w:textAlignment w:val="baseline"/>
              <w:rPr>
                <w:rFonts w:hAnsi="宋体"/>
                <w:b/>
                <w:szCs w:val="21"/>
                <w:lang w:val="zh-CN"/>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19" w:name="_Toc367970826"/>
      <w:bookmarkStart w:id="20" w:name="_Toc367970387"/>
      <w:bookmarkStart w:id="21" w:name="_Toc303260175"/>
      <w:bookmarkStart w:id="22" w:name="_Toc367970632"/>
      <w:bookmarkStart w:id="23" w:name="_Toc294082154"/>
    </w:p>
    <w:p>
      <w:pPr>
        <w:pStyle w:val="4"/>
        <w:jc w:val="both"/>
        <w:rPr>
          <w:bCs w:val="0"/>
          <w:spacing w:val="0"/>
          <w:kern w:val="0"/>
          <w:sz w:val="32"/>
          <w:szCs w:val="32"/>
        </w:rPr>
      </w:pPr>
      <w:bookmarkStart w:id="24" w:name="_Toc12498"/>
      <w:r>
        <w:rPr>
          <w:bCs w:val="0"/>
          <w:spacing w:val="0"/>
          <w:kern w:val="0"/>
          <w:sz w:val="32"/>
          <w:szCs w:val="32"/>
        </w:rPr>
        <w:t>3</w:t>
      </w:r>
      <w:r>
        <w:rPr>
          <w:rFonts w:hAnsi="宋体"/>
          <w:bCs w:val="0"/>
          <w:spacing w:val="0"/>
          <w:kern w:val="0"/>
          <w:sz w:val="32"/>
          <w:szCs w:val="32"/>
        </w:rPr>
        <w:t>、环境质量状况</w:t>
      </w:r>
      <w:bookmarkEnd w:id="19"/>
      <w:bookmarkEnd w:id="20"/>
      <w:bookmarkEnd w:id="21"/>
      <w:bookmarkEnd w:id="22"/>
      <w:bookmarkEnd w:id="23"/>
      <w:bookmarkEnd w:id="24"/>
    </w:p>
    <w:tbl>
      <w:tblPr>
        <w:tblStyle w:val="75"/>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541" w:type="dxa"/>
          </w:tcPr>
          <w:p>
            <w:pPr>
              <w:spacing w:before="120" w:beforeLines="50" w:line="360" w:lineRule="auto"/>
              <w:rPr>
                <w:b/>
                <w:kern w:val="0"/>
                <w:sz w:val="24"/>
                <w:szCs w:val="24"/>
              </w:rPr>
            </w:pPr>
            <w:r>
              <w:rPr>
                <w:rFonts w:hAnsi="宋体"/>
                <w:b/>
                <w:kern w:val="0"/>
                <w:sz w:val="24"/>
                <w:szCs w:val="24"/>
              </w:rPr>
              <w:t>建设项目所在地区域环境质量现状及主要环境问题（环境空气、地面水、地下水、声环境、生态环境等）：</w:t>
            </w:r>
          </w:p>
          <w:p>
            <w:pPr>
              <w:numPr>
                <w:ilvl w:val="0"/>
                <w:numId w:val="14"/>
              </w:numPr>
              <w:spacing w:line="360" w:lineRule="auto"/>
              <w:ind w:firstLine="482" w:firstLineChars="200"/>
              <w:rPr>
                <w:rFonts w:hAnsi="宋体"/>
                <w:b/>
                <w:sz w:val="24"/>
              </w:rPr>
            </w:pPr>
            <w:r>
              <w:rPr>
                <w:rFonts w:hint="eastAsia" w:hAnsi="宋体"/>
                <w:b/>
                <w:sz w:val="24"/>
              </w:rPr>
              <w:t>大气</w:t>
            </w:r>
            <w:r>
              <w:rPr>
                <w:rFonts w:hAnsi="宋体"/>
                <w:b/>
                <w:sz w:val="24"/>
              </w:rPr>
              <w:t>环境</w:t>
            </w:r>
          </w:p>
          <w:p>
            <w:pPr>
              <w:spacing w:line="360" w:lineRule="auto"/>
              <w:ind w:firstLine="470" w:firstLineChars="196"/>
              <w:rPr>
                <w:rFonts w:eastAsiaTheme="minorEastAsia"/>
                <w:sz w:val="24"/>
                <w:szCs w:val="22"/>
                <w:lang w:val="en-US"/>
              </w:rPr>
            </w:pPr>
            <w:r>
              <w:rPr>
                <w:rFonts w:eastAsiaTheme="minorEastAsia"/>
                <w:sz w:val="24"/>
                <w:szCs w:val="22"/>
                <w:lang w:val="en-US"/>
              </w:rPr>
              <w:t>根据宜兴市人民政府2019年3月12日公布的《2018年度宜兴市环境状况公报》，2018 年宜兴市按五局大院和宜园2个空气自动站进行统计，宜兴城区二氧化硫浓度年均值为15微克/立方米；二氧化氮浓度年均值为37微克/立方米；可吸入颗粒物（PM</w:t>
            </w:r>
            <w:r>
              <w:rPr>
                <w:rFonts w:eastAsiaTheme="minorEastAsia"/>
                <w:sz w:val="24"/>
                <w:szCs w:val="22"/>
                <w:vertAlign w:val="subscript"/>
                <w:lang w:val="en-US"/>
              </w:rPr>
              <w:t>10</w:t>
            </w:r>
            <w:r>
              <w:rPr>
                <w:rFonts w:eastAsiaTheme="minorEastAsia"/>
                <w:sz w:val="24"/>
                <w:szCs w:val="22"/>
                <w:lang w:val="en-US"/>
              </w:rPr>
              <w:t>）浓度年均值为65微克/立方米，细颗粒物（PM</w:t>
            </w:r>
            <w:r>
              <w:rPr>
                <w:rFonts w:eastAsiaTheme="minorEastAsia"/>
                <w:sz w:val="24"/>
                <w:szCs w:val="22"/>
                <w:vertAlign w:val="subscript"/>
                <w:lang w:val="en-US"/>
              </w:rPr>
              <w:t>2.5</w:t>
            </w:r>
            <w:r>
              <w:rPr>
                <w:rFonts w:eastAsiaTheme="minorEastAsia"/>
                <w:sz w:val="24"/>
                <w:szCs w:val="22"/>
                <w:lang w:val="en-US"/>
              </w:rPr>
              <w:t>）浓度年均值为43.5微克/立方米，一氧化碳（CO）浓度年均值为1.077毫克/立方米，臭氧（O</w:t>
            </w:r>
            <w:r>
              <w:rPr>
                <w:rFonts w:eastAsiaTheme="minorEastAsia"/>
                <w:sz w:val="24"/>
                <w:szCs w:val="22"/>
                <w:vertAlign w:val="subscript"/>
                <w:lang w:val="en-US"/>
              </w:rPr>
              <w:t>3</w:t>
            </w:r>
            <w:r>
              <w:rPr>
                <w:rFonts w:eastAsiaTheme="minorEastAsia"/>
                <w:sz w:val="24"/>
                <w:szCs w:val="22"/>
                <w:lang w:val="en-US"/>
              </w:rPr>
              <w:t>）8小时浓度年均值为114微克/立方米。</w:t>
            </w:r>
          </w:p>
          <w:p>
            <w:pPr>
              <w:spacing w:line="360" w:lineRule="auto"/>
              <w:ind w:firstLine="470" w:firstLineChars="196"/>
              <w:rPr>
                <w:rFonts w:asciiTheme="minorEastAsia" w:hAnsiTheme="minorEastAsia" w:eastAsiaTheme="minorEastAsia"/>
                <w:sz w:val="24"/>
                <w:szCs w:val="22"/>
                <w:lang w:val="en-US"/>
              </w:rPr>
            </w:pPr>
            <w:r>
              <w:rPr>
                <w:rFonts w:eastAsiaTheme="minorEastAsia"/>
                <w:sz w:val="24"/>
                <w:szCs w:val="22"/>
                <w:lang w:val="en-US"/>
              </w:rPr>
              <w:t>2018年两站有效监测天数为364天，其中优良天数为234天，空气质量指数（AQI）达标率为64.3%</w:t>
            </w:r>
            <w:r>
              <w:rPr>
                <w:rFonts w:hint="eastAsia" w:eastAsiaTheme="minorEastAsia"/>
                <w:sz w:val="24"/>
                <w:szCs w:val="22"/>
                <w:lang w:val="en-US"/>
              </w:rPr>
              <w:t>。</w:t>
            </w:r>
          </w:p>
          <w:p>
            <w:pPr>
              <w:spacing w:line="360" w:lineRule="auto"/>
              <w:ind w:firstLine="470" w:firstLineChars="196"/>
              <w:rPr>
                <w:rFonts w:asciiTheme="minorEastAsia" w:hAnsiTheme="minorEastAsia" w:eastAsiaTheme="minorEastAsia"/>
                <w:sz w:val="24"/>
                <w:szCs w:val="22"/>
                <w:lang w:val="en-US"/>
              </w:rPr>
            </w:pPr>
            <w:r>
              <w:rPr>
                <w:rFonts w:hint="eastAsia" w:asciiTheme="minorEastAsia" w:hAnsiTheme="minorEastAsia" w:eastAsiaTheme="minorEastAsia"/>
                <w:sz w:val="24"/>
                <w:szCs w:val="22"/>
                <w:lang w:val="en-US"/>
              </w:rPr>
              <w:t>综上，可以看出</w:t>
            </w:r>
            <w:r>
              <w:rPr>
                <w:rFonts w:eastAsiaTheme="minorEastAsia"/>
                <w:sz w:val="24"/>
                <w:szCs w:val="22"/>
                <w:lang w:val="en-US"/>
              </w:rPr>
              <w:t>PM</w:t>
            </w:r>
            <w:r>
              <w:rPr>
                <w:rFonts w:eastAsiaTheme="minorEastAsia"/>
                <w:sz w:val="24"/>
                <w:szCs w:val="22"/>
                <w:vertAlign w:val="subscript"/>
                <w:lang w:val="en-US"/>
              </w:rPr>
              <w:t>2.5</w:t>
            </w:r>
            <w:r>
              <w:rPr>
                <w:rFonts w:hint="eastAsia" w:asciiTheme="minorEastAsia" w:hAnsiTheme="minorEastAsia" w:eastAsiaTheme="minorEastAsia"/>
                <w:sz w:val="24"/>
                <w:szCs w:val="22"/>
                <w:lang w:val="en-US"/>
              </w:rPr>
              <w:t>浓度年均值超过标准值（标准值</w:t>
            </w:r>
            <w:r>
              <w:rPr>
                <w:rFonts w:eastAsiaTheme="minorEastAsia"/>
                <w:sz w:val="24"/>
                <w:szCs w:val="22"/>
                <w:lang w:val="en-US"/>
              </w:rPr>
              <w:t>35</w:t>
            </w:r>
            <w:r>
              <w:rPr>
                <w:rFonts w:hint="eastAsia" w:asciiTheme="minorEastAsia" w:hAnsiTheme="minorEastAsia" w:eastAsiaTheme="minorEastAsia"/>
                <w:sz w:val="24"/>
                <w:szCs w:val="22"/>
                <w:lang w:val="en-US"/>
              </w:rPr>
              <w:t>微克</w:t>
            </w:r>
            <w:r>
              <w:rPr>
                <w:rFonts w:asciiTheme="minorEastAsia" w:hAnsiTheme="minorEastAsia" w:eastAsiaTheme="minorEastAsia"/>
                <w:sz w:val="24"/>
                <w:szCs w:val="22"/>
                <w:lang w:val="en-US"/>
              </w:rPr>
              <w:t>/立方米），超标率为</w:t>
            </w:r>
            <w:r>
              <w:rPr>
                <w:rFonts w:eastAsiaTheme="minorEastAsia"/>
                <w:sz w:val="24"/>
                <w:szCs w:val="22"/>
                <w:lang w:val="en-US"/>
              </w:rPr>
              <w:t>25.7%</w:t>
            </w:r>
            <w:r>
              <w:rPr>
                <w:rFonts w:hint="eastAsia" w:asciiTheme="minorEastAsia" w:hAnsiTheme="minorEastAsia" w:eastAsiaTheme="minorEastAsia"/>
                <w:sz w:val="24"/>
                <w:szCs w:val="22"/>
                <w:lang w:val="en-US"/>
              </w:rPr>
              <w:t>，超标倍数为</w:t>
            </w:r>
            <w:r>
              <w:rPr>
                <w:rFonts w:eastAsiaTheme="minorEastAsia"/>
                <w:sz w:val="24"/>
                <w:szCs w:val="22"/>
                <w:lang w:val="en-US"/>
              </w:rPr>
              <w:t>1.26</w:t>
            </w:r>
            <w:r>
              <w:rPr>
                <w:rFonts w:hint="eastAsia" w:asciiTheme="minorEastAsia" w:hAnsiTheme="minorEastAsia" w:eastAsiaTheme="minorEastAsia"/>
                <w:sz w:val="24"/>
                <w:szCs w:val="22"/>
                <w:lang w:val="en-US"/>
              </w:rPr>
              <w:t>倍，可以判定项目所在区域属于不达标区域。</w:t>
            </w:r>
            <w:r>
              <w:rPr>
                <w:rFonts w:asciiTheme="minorEastAsia" w:hAnsiTheme="minorEastAsia" w:eastAsiaTheme="minorEastAsia"/>
                <w:sz w:val="24"/>
                <w:szCs w:val="22"/>
                <w:lang w:val="en-US"/>
              </w:rPr>
              <w:t xml:space="preserve"> </w:t>
            </w:r>
          </w:p>
          <w:p>
            <w:pPr>
              <w:spacing w:line="360" w:lineRule="auto"/>
              <w:ind w:firstLine="480" w:firstLineChars="200"/>
            </w:pPr>
            <w:r>
              <w:rPr>
                <w:rFonts w:hint="eastAsia" w:asciiTheme="minorEastAsia" w:hAnsiTheme="minorEastAsia" w:eastAsiaTheme="minorEastAsia"/>
                <w:sz w:val="24"/>
                <w:szCs w:val="22"/>
                <w:lang w:val="en-US"/>
              </w:rPr>
              <w:t>区域达标规划正在编制中，目前宜兴市已结合《大气污染防治行动计划》、《重点区域大气污染防治“十二五”规划》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正常情况下，项目对评价区环境敏感目标影响较小。</w:t>
            </w:r>
          </w:p>
          <w:p>
            <w:pPr>
              <w:spacing w:line="360" w:lineRule="auto"/>
              <w:ind w:firstLine="472" w:firstLineChars="196"/>
              <w:rPr>
                <w:b/>
                <w:sz w:val="24"/>
              </w:rPr>
            </w:pPr>
            <w:r>
              <w:rPr>
                <w:b/>
                <w:sz w:val="24"/>
              </w:rPr>
              <w:t>2</w:t>
            </w:r>
            <w:r>
              <w:rPr>
                <w:rFonts w:hAnsi="宋体"/>
                <w:b/>
                <w:sz w:val="24"/>
              </w:rPr>
              <w:t>、地表</w:t>
            </w:r>
            <w:r>
              <w:rPr>
                <w:rFonts w:hAnsi="宋体"/>
                <w:b/>
                <w:bCs/>
                <w:sz w:val="24"/>
              </w:rPr>
              <w:t>水环境</w:t>
            </w:r>
          </w:p>
          <w:p>
            <w:pPr>
              <w:spacing w:line="360" w:lineRule="auto"/>
              <w:ind w:firstLine="470" w:firstLineChars="196"/>
              <w:rPr>
                <w:rFonts w:hAnsi="宋体"/>
                <w:sz w:val="24"/>
                <w:lang w:val="en-US"/>
              </w:rPr>
            </w:pPr>
            <w:r>
              <w:rPr>
                <w:rFonts w:hAnsi="宋体"/>
                <w:sz w:val="24"/>
                <w:lang w:val="en-US"/>
              </w:rPr>
              <w:t>参照宜兴市环境监测站201</w:t>
            </w:r>
            <w:r>
              <w:rPr>
                <w:rFonts w:hint="eastAsia" w:hAnsi="宋体"/>
                <w:sz w:val="24"/>
                <w:lang w:val="en-US" w:eastAsia="zh-CN"/>
              </w:rPr>
              <w:t>8</w:t>
            </w:r>
            <w:r>
              <w:rPr>
                <w:rFonts w:hAnsi="宋体"/>
                <w:sz w:val="24"/>
                <w:lang w:val="en-US"/>
              </w:rPr>
              <w:t>年</w:t>
            </w:r>
            <w:r>
              <w:rPr>
                <w:rFonts w:hint="eastAsia" w:hAnsi="宋体"/>
                <w:sz w:val="24"/>
                <w:lang w:val="en-US" w:eastAsia="zh-CN"/>
              </w:rPr>
              <w:t>9</w:t>
            </w:r>
            <w:r>
              <w:rPr>
                <w:rFonts w:hAnsi="宋体"/>
                <w:sz w:val="24"/>
                <w:lang w:val="en-US"/>
              </w:rPr>
              <w:t>月份监测报告：项目所在地区水质指标</w:t>
            </w:r>
            <w:r>
              <w:rPr>
                <w:rFonts w:hint="eastAsia" w:hAnsi="宋体"/>
                <w:sz w:val="24"/>
                <w:lang w:val="en-US"/>
              </w:rPr>
              <w:t>中除</w:t>
            </w:r>
            <w:r>
              <w:rPr>
                <w:rFonts w:hAnsi="宋体"/>
                <w:sz w:val="24"/>
                <w:lang w:val="en-US"/>
              </w:rPr>
              <w:t>NH</w:t>
            </w:r>
            <w:r>
              <w:rPr>
                <w:rFonts w:hAnsi="宋体"/>
                <w:sz w:val="24"/>
                <w:vertAlign w:val="subscript"/>
                <w:lang w:val="en-US"/>
              </w:rPr>
              <w:t>3</w:t>
            </w:r>
            <w:r>
              <w:rPr>
                <w:rFonts w:hAnsi="宋体"/>
                <w:sz w:val="24"/>
                <w:lang w:val="en-US"/>
              </w:rPr>
              <w:t>-N</w:t>
            </w:r>
            <w:r>
              <w:rPr>
                <w:rFonts w:hint="eastAsia" w:hAnsi="宋体"/>
                <w:sz w:val="24"/>
                <w:lang w:val="en-US"/>
              </w:rPr>
              <w:t>、石油类超标外，其余水质</w:t>
            </w:r>
            <w:r>
              <w:rPr>
                <w:rFonts w:hAnsi="宋体"/>
                <w:sz w:val="24"/>
                <w:lang w:val="en-US"/>
              </w:rPr>
              <w:t>均满足《地表水环境质量标准》(GB3838－2002) Ⅲ类水质标准。超标原因为农业面源污染、部分农村生活污水不接管</w:t>
            </w:r>
            <w:r>
              <w:rPr>
                <w:rFonts w:hint="eastAsia" w:hAnsi="宋体"/>
                <w:sz w:val="24"/>
                <w:lang w:val="en-US"/>
              </w:rPr>
              <w:t>及航行船只柴油泄漏所致。</w:t>
            </w:r>
          </w:p>
          <w:p>
            <w:pPr>
              <w:pStyle w:val="114"/>
              <w:widowControl w:val="0"/>
              <w:numPr>
                <w:ilvl w:val="0"/>
                <w:numId w:val="0"/>
              </w:numPr>
              <w:rPr>
                <w:sz w:val="24"/>
                <w:szCs w:val="24"/>
              </w:rPr>
            </w:pPr>
            <w:r>
              <w:rPr>
                <w:rFonts w:hint="eastAsia" w:hAnsi="宋体"/>
                <w:sz w:val="24"/>
                <w:szCs w:val="24"/>
              </w:rPr>
              <w:t>表3-</w:t>
            </w:r>
            <w:r>
              <w:rPr>
                <w:rFonts w:hint="eastAsia" w:hAnsi="宋体"/>
                <w:sz w:val="24"/>
                <w:szCs w:val="24"/>
                <w:lang w:val="en-US" w:eastAsia="zh-CN"/>
              </w:rPr>
              <w:t>1</w:t>
            </w:r>
            <w:r>
              <w:rPr>
                <w:rFonts w:hint="eastAsia" w:hAnsi="宋体"/>
                <w:sz w:val="24"/>
                <w:szCs w:val="24"/>
              </w:rPr>
              <w:t xml:space="preserve"> </w:t>
            </w:r>
            <w:r>
              <w:rPr>
                <w:rFonts w:hint="eastAsia" w:hAnsi="宋体"/>
                <w:sz w:val="24"/>
                <w:szCs w:val="24"/>
                <w:lang w:val="en-US"/>
              </w:rPr>
              <w:t xml:space="preserve"> </w:t>
            </w:r>
            <w:r>
              <w:rPr>
                <w:rFonts w:hAnsi="宋体"/>
                <w:sz w:val="24"/>
                <w:szCs w:val="24"/>
              </w:rPr>
              <w:t>水质监测结果</w:t>
            </w:r>
            <w:r>
              <w:rPr>
                <w:rFonts w:hint="eastAsia"/>
                <w:sz w:val="24"/>
                <w:szCs w:val="24"/>
              </w:rPr>
              <w:t xml:space="preserve">  </w:t>
            </w:r>
            <w:r>
              <w:rPr>
                <w:rFonts w:hAnsi="宋体"/>
                <w:sz w:val="24"/>
                <w:szCs w:val="24"/>
              </w:rPr>
              <w:t>单位：</w:t>
            </w:r>
            <w:r>
              <w:rPr>
                <w:sz w:val="24"/>
                <w:szCs w:val="24"/>
              </w:rPr>
              <w:t>mg/L （pH</w:t>
            </w:r>
            <w:r>
              <w:rPr>
                <w:rFonts w:hAnsi="宋体"/>
                <w:sz w:val="24"/>
                <w:szCs w:val="24"/>
              </w:rPr>
              <w:t>除外</w:t>
            </w:r>
            <w:r>
              <w:rPr>
                <w:sz w:val="24"/>
                <w:szCs w:val="24"/>
              </w:rPr>
              <w:t>）</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59"/>
              <w:gridCol w:w="730"/>
              <w:gridCol w:w="656"/>
              <w:gridCol w:w="670"/>
              <w:gridCol w:w="863"/>
              <w:gridCol w:w="686"/>
              <w:gridCol w:w="746"/>
              <w:gridCol w:w="827"/>
              <w:gridCol w:w="690"/>
              <w:gridCol w:w="663"/>
              <w:gridCol w:w="87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9" w:type="dxa"/>
                  <w:vAlign w:val="center"/>
                </w:tcPr>
                <w:p>
                  <w:pPr>
                    <w:jc w:val="center"/>
                    <w:rPr>
                      <w:b/>
                    </w:rPr>
                  </w:pPr>
                  <w:r>
                    <w:rPr>
                      <w:rFonts w:hAnsi="宋体"/>
                      <w:b/>
                    </w:rPr>
                    <w:t>点位</w:t>
                  </w:r>
                </w:p>
              </w:tc>
              <w:tc>
                <w:tcPr>
                  <w:tcW w:w="730" w:type="dxa"/>
                  <w:vAlign w:val="center"/>
                </w:tcPr>
                <w:p>
                  <w:pPr>
                    <w:jc w:val="center"/>
                    <w:rPr>
                      <w:b/>
                    </w:rPr>
                  </w:pPr>
                  <w:r>
                    <w:rPr>
                      <w:rFonts w:hAnsi="宋体"/>
                      <w:b/>
                    </w:rPr>
                    <w:t>采样</w:t>
                  </w:r>
                </w:p>
                <w:p>
                  <w:pPr>
                    <w:jc w:val="center"/>
                    <w:rPr>
                      <w:b/>
                    </w:rPr>
                  </w:pPr>
                  <w:r>
                    <w:rPr>
                      <w:rFonts w:hAnsi="宋体"/>
                      <w:b/>
                    </w:rPr>
                    <w:t>时间</w:t>
                  </w:r>
                </w:p>
              </w:tc>
              <w:tc>
                <w:tcPr>
                  <w:tcW w:w="656" w:type="dxa"/>
                  <w:vAlign w:val="center"/>
                </w:tcPr>
                <w:p>
                  <w:pPr>
                    <w:jc w:val="center"/>
                    <w:rPr>
                      <w:b/>
                    </w:rPr>
                  </w:pPr>
                  <w:r>
                    <w:rPr>
                      <w:b/>
                    </w:rPr>
                    <w:t>pH</w:t>
                  </w:r>
                </w:p>
              </w:tc>
              <w:tc>
                <w:tcPr>
                  <w:tcW w:w="670" w:type="dxa"/>
                  <w:vAlign w:val="center"/>
                </w:tcPr>
                <w:p>
                  <w:pPr>
                    <w:jc w:val="center"/>
                    <w:rPr>
                      <w:b/>
                    </w:rPr>
                  </w:pPr>
                  <w:r>
                    <w:rPr>
                      <w:rFonts w:hint="eastAsia" w:hAnsi="宋体"/>
                      <w:b/>
                    </w:rPr>
                    <w:t>DO</w:t>
                  </w:r>
                </w:p>
              </w:tc>
              <w:tc>
                <w:tcPr>
                  <w:tcW w:w="863" w:type="dxa"/>
                  <w:vAlign w:val="center"/>
                </w:tcPr>
                <w:p>
                  <w:pPr>
                    <w:jc w:val="center"/>
                    <w:rPr>
                      <w:b/>
                    </w:rPr>
                  </w:pPr>
                  <w:r>
                    <w:rPr>
                      <w:rFonts w:hAnsi="宋体"/>
                      <w:b/>
                    </w:rPr>
                    <w:t>高锰酸</w:t>
                  </w:r>
                </w:p>
                <w:p>
                  <w:pPr>
                    <w:jc w:val="center"/>
                    <w:rPr>
                      <w:b/>
                    </w:rPr>
                  </w:pPr>
                  <w:r>
                    <w:rPr>
                      <w:rFonts w:hAnsi="宋体"/>
                      <w:b/>
                    </w:rPr>
                    <w:t>盐指数</w:t>
                  </w:r>
                </w:p>
              </w:tc>
              <w:tc>
                <w:tcPr>
                  <w:tcW w:w="686" w:type="dxa"/>
                  <w:vAlign w:val="center"/>
                </w:tcPr>
                <w:p>
                  <w:pPr>
                    <w:jc w:val="center"/>
                    <w:rPr>
                      <w:b/>
                    </w:rPr>
                  </w:pPr>
                  <w:r>
                    <w:rPr>
                      <w:b/>
                    </w:rPr>
                    <w:t>BOD</w:t>
                  </w:r>
                  <w:r>
                    <w:rPr>
                      <w:b/>
                      <w:vertAlign w:val="subscript"/>
                    </w:rPr>
                    <w:t>5</w:t>
                  </w:r>
                </w:p>
              </w:tc>
              <w:tc>
                <w:tcPr>
                  <w:tcW w:w="746" w:type="dxa"/>
                  <w:vAlign w:val="center"/>
                </w:tcPr>
                <w:p>
                  <w:pPr>
                    <w:jc w:val="center"/>
                    <w:rPr>
                      <w:b/>
                      <w:color w:val="000000"/>
                      <w:szCs w:val="21"/>
                    </w:rPr>
                  </w:pPr>
                  <w:r>
                    <w:rPr>
                      <w:b/>
                      <w:color w:val="000000"/>
                      <w:szCs w:val="21"/>
                    </w:rPr>
                    <w:t>NH</w:t>
                  </w:r>
                  <w:r>
                    <w:rPr>
                      <w:b/>
                      <w:color w:val="000000"/>
                      <w:szCs w:val="21"/>
                      <w:vertAlign w:val="subscript"/>
                    </w:rPr>
                    <w:t>3</w:t>
                  </w:r>
                  <w:r>
                    <w:rPr>
                      <w:b/>
                      <w:color w:val="000000"/>
                      <w:szCs w:val="21"/>
                    </w:rPr>
                    <w:t>-N</w:t>
                  </w:r>
                </w:p>
              </w:tc>
              <w:tc>
                <w:tcPr>
                  <w:tcW w:w="827" w:type="dxa"/>
                  <w:vAlign w:val="center"/>
                </w:tcPr>
                <w:p>
                  <w:pPr>
                    <w:jc w:val="center"/>
                    <w:rPr>
                      <w:b/>
                      <w:color w:val="000000"/>
                      <w:szCs w:val="21"/>
                    </w:rPr>
                  </w:pPr>
                  <w:r>
                    <w:rPr>
                      <w:b/>
                      <w:color w:val="000000"/>
                      <w:szCs w:val="21"/>
                    </w:rPr>
                    <w:t>TP</w:t>
                  </w:r>
                </w:p>
              </w:tc>
              <w:tc>
                <w:tcPr>
                  <w:tcW w:w="690" w:type="dxa"/>
                  <w:vAlign w:val="center"/>
                </w:tcPr>
                <w:p>
                  <w:pPr>
                    <w:jc w:val="center"/>
                    <w:rPr>
                      <w:b/>
                      <w:color w:val="000000"/>
                      <w:szCs w:val="21"/>
                    </w:rPr>
                  </w:pPr>
                  <w:r>
                    <w:rPr>
                      <w:rFonts w:hAnsi="宋体"/>
                      <w:b/>
                      <w:color w:val="000000"/>
                      <w:szCs w:val="21"/>
                    </w:rPr>
                    <w:t>石油类</w:t>
                  </w:r>
                </w:p>
              </w:tc>
              <w:tc>
                <w:tcPr>
                  <w:tcW w:w="663" w:type="dxa"/>
                  <w:vAlign w:val="center"/>
                </w:tcPr>
                <w:p>
                  <w:pPr>
                    <w:jc w:val="center"/>
                    <w:rPr>
                      <w:b/>
                      <w:color w:val="000000"/>
                      <w:szCs w:val="21"/>
                    </w:rPr>
                  </w:pPr>
                  <w:r>
                    <w:rPr>
                      <w:rFonts w:hAnsi="宋体"/>
                      <w:b/>
                      <w:color w:val="000000"/>
                      <w:szCs w:val="21"/>
                    </w:rPr>
                    <w:t>挥发酚</w:t>
                  </w:r>
                </w:p>
              </w:tc>
              <w:tc>
                <w:tcPr>
                  <w:tcW w:w="872" w:type="dxa"/>
                  <w:vAlign w:val="center"/>
                </w:tcPr>
                <w:p>
                  <w:pPr>
                    <w:jc w:val="center"/>
                    <w:rPr>
                      <w:b/>
                      <w:szCs w:val="21"/>
                    </w:rPr>
                  </w:pPr>
                  <w:r>
                    <w:rPr>
                      <w:b/>
                      <w:color w:val="000000"/>
                      <w:szCs w:val="21"/>
                    </w:rPr>
                    <w:t>COD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9" w:type="dxa"/>
                  <w:vAlign w:val="center"/>
                </w:tcPr>
                <w:p>
                  <w:pPr>
                    <w:jc w:val="center"/>
                    <w:rPr>
                      <w:szCs w:val="21"/>
                    </w:rPr>
                  </w:pPr>
                  <w:r>
                    <w:rPr>
                      <w:rFonts w:hint="eastAsia" w:hAnsi="宋体"/>
                      <w:szCs w:val="21"/>
                    </w:rPr>
                    <w:t>宜兴市华骐污水处理有限公司上游500m</w:t>
                  </w:r>
                </w:p>
              </w:tc>
              <w:tc>
                <w:tcPr>
                  <w:tcW w:w="730" w:type="dxa"/>
                  <w:vAlign w:val="center"/>
                </w:tcPr>
                <w:p>
                  <w:pPr>
                    <w:jc w:val="center"/>
                  </w:pPr>
                  <w:r>
                    <w:t>201</w:t>
                  </w:r>
                  <w:r>
                    <w:rPr>
                      <w:rFonts w:hint="eastAsia"/>
                    </w:rPr>
                    <w:t>8年9月</w:t>
                  </w:r>
                </w:p>
              </w:tc>
              <w:tc>
                <w:tcPr>
                  <w:tcW w:w="656" w:type="dxa"/>
                  <w:vAlign w:val="center"/>
                </w:tcPr>
                <w:p>
                  <w:pPr>
                    <w:jc w:val="center"/>
                  </w:pPr>
                  <w:r>
                    <w:t>7.</w:t>
                  </w:r>
                  <w:r>
                    <w:rPr>
                      <w:rFonts w:hint="eastAsia"/>
                    </w:rPr>
                    <w:t>25</w:t>
                  </w:r>
                </w:p>
              </w:tc>
              <w:tc>
                <w:tcPr>
                  <w:tcW w:w="670" w:type="dxa"/>
                  <w:vAlign w:val="center"/>
                </w:tcPr>
                <w:p>
                  <w:pPr>
                    <w:jc w:val="center"/>
                  </w:pPr>
                  <w:r>
                    <w:rPr>
                      <w:rFonts w:hint="eastAsia"/>
                    </w:rPr>
                    <w:t>5.13</w:t>
                  </w:r>
                </w:p>
              </w:tc>
              <w:tc>
                <w:tcPr>
                  <w:tcW w:w="863" w:type="dxa"/>
                  <w:vAlign w:val="center"/>
                </w:tcPr>
                <w:p>
                  <w:pPr>
                    <w:jc w:val="center"/>
                  </w:pPr>
                  <w:r>
                    <w:rPr>
                      <w:rFonts w:hint="eastAsia"/>
                    </w:rPr>
                    <w:t>5.4</w:t>
                  </w:r>
                </w:p>
              </w:tc>
              <w:tc>
                <w:tcPr>
                  <w:tcW w:w="686" w:type="dxa"/>
                  <w:vAlign w:val="center"/>
                </w:tcPr>
                <w:p>
                  <w:pPr>
                    <w:jc w:val="center"/>
                  </w:pPr>
                  <w:r>
                    <w:rPr>
                      <w:rFonts w:hint="eastAsia"/>
                    </w:rPr>
                    <w:t>3.1</w:t>
                  </w:r>
                </w:p>
              </w:tc>
              <w:tc>
                <w:tcPr>
                  <w:tcW w:w="746" w:type="dxa"/>
                  <w:vAlign w:val="center"/>
                </w:tcPr>
                <w:p>
                  <w:pPr>
                    <w:jc w:val="center"/>
                  </w:pPr>
                  <w:r>
                    <w:rPr>
                      <w:rFonts w:hint="eastAsia"/>
                    </w:rPr>
                    <w:t>1.33</w:t>
                  </w:r>
                </w:p>
              </w:tc>
              <w:tc>
                <w:tcPr>
                  <w:tcW w:w="827" w:type="dxa"/>
                  <w:vAlign w:val="center"/>
                </w:tcPr>
                <w:p>
                  <w:pPr>
                    <w:jc w:val="center"/>
                  </w:pPr>
                  <w:r>
                    <w:rPr>
                      <w:rFonts w:hint="eastAsia"/>
                    </w:rPr>
                    <w:t>0.15</w:t>
                  </w:r>
                </w:p>
              </w:tc>
              <w:tc>
                <w:tcPr>
                  <w:tcW w:w="690" w:type="dxa"/>
                  <w:vAlign w:val="center"/>
                </w:tcPr>
                <w:p>
                  <w:pPr>
                    <w:jc w:val="center"/>
                  </w:pPr>
                  <w:r>
                    <w:t>0.</w:t>
                  </w:r>
                  <w:r>
                    <w:rPr>
                      <w:rFonts w:hint="eastAsia"/>
                    </w:rPr>
                    <w:t>04</w:t>
                  </w:r>
                </w:p>
              </w:tc>
              <w:tc>
                <w:tcPr>
                  <w:tcW w:w="663" w:type="dxa"/>
                  <w:vAlign w:val="center"/>
                </w:tcPr>
                <w:p>
                  <w:pPr>
                    <w:jc w:val="center"/>
                  </w:pPr>
                  <w:r>
                    <w:rPr>
                      <w:rFonts w:hint="eastAsia"/>
                    </w:rPr>
                    <w:t>0.0017L</w:t>
                  </w:r>
                </w:p>
              </w:tc>
              <w:tc>
                <w:tcPr>
                  <w:tcW w:w="872" w:type="dxa"/>
                  <w:vAlign w:val="center"/>
                </w:tcPr>
                <w:p>
                  <w:pPr>
                    <w:jc w:val="center"/>
                  </w:pPr>
                  <w:r>
                    <w:rPr>
                      <w:rFonts w:hint="eastAsia"/>
                    </w:rPr>
                    <w:t>18.4</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9" w:type="dxa"/>
                  <w:vAlign w:val="center"/>
                </w:tcPr>
                <w:p>
                  <w:pPr>
                    <w:jc w:val="center"/>
                    <w:rPr>
                      <w:rFonts w:hAnsi="宋体"/>
                      <w:szCs w:val="21"/>
                    </w:rPr>
                  </w:pPr>
                  <w:r>
                    <w:rPr>
                      <w:rFonts w:hint="eastAsia" w:hAnsi="宋体"/>
                      <w:szCs w:val="21"/>
                    </w:rPr>
                    <w:t>宜兴市华骐污水处理有限公司下游500m</w:t>
                  </w:r>
                </w:p>
              </w:tc>
              <w:tc>
                <w:tcPr>
                  <w:tcW w:w="730" w:type="dxa"/>
                  <w:vAlign w:val="center"/>
                </w:tcPr>
                <w:p>
                  <w:pPr>
                    <w:jc w:val="center"/>
                  </w:pPr>
                  <w:r>
                    <w:t>201</w:t>
                  </w:r>
                  <w:r>
                    <w:rPr>
                      <w:rFonts w:hint="eastAsia"/>
                    </w:rPr>
                    <w:t>8年9月</w:t>
                  </w:r>
                </w:p>
              </w:tc>
              <w:tc>
                <w:tcPr>
                  <w:tcW w:w="656" w:type="dxa"/>
                  <w:vAlign w:val="center"/>
                </w:tcPr>
                <w:p>
                  <w:pPr>
                    <w:jc w:val="center"/>
                  </w:pPr>
                  <w:r>
                    <w:rPr>
                      <w:rFonts w:hint="eastAsia"/>
                    </w:rPr>
                    <w:t>7.33</w:t>
                  </w:r>
                </w:p>
              </w:tc>
              <w:tc>
                <w:tcPr>
                  <w:tcW w:w="670" w:type="dxa"/>
                  <w:vAlign w:val="center"/>
                </w:tcPr>
                <w:p>
                  <w:pPr>
                    <w:jc w:val="center"/>
                  </w:pPr>
                  <w:r>
                    <w:rPr>
                      <w:rFonts w:hint="eastAsia"/>
                    </w:rPr>
                    <w:t>4.51</w:t>
                  </w:r>
                </w:p>
              </w:tc>
              <w:tc>
                <w:tcPr>
                  <w:tcW w:w="863" w:type="dxa"/>
                  <w:vAlign w:val="center"/>
                </w:tcPr>
                <w:p>
                  <w:pPr>
                    <w:jc w:val="center"/>
                  </w:pPr>
                  <w:r>
                    <w:rPr>
                      <w:rFonts w:hint="eastAsia"/>
                    </w:rPr>
                    <w:t>6.5</w:t>
                  </w:r>
                </w:p>
              </w:tc>
              <w:tc>
                <w:tcPr>
                  <w:tcW w:w="686" w:type="dxa"/>
                  <w:vAlign w:val="center"/>
                </w:tcPr>
                <w:p>
                  <w:pPr>
                    <w:jc w:val="center"/>
                  </w:pPr>
                  <w:r>
                    <w:rPr>
                      <w:rFonts w:hint="eastAsia"/>
                    </w:rPr>
                    <w:t>3.2</w:t>
                  </w:r>
                </w:p>
              </w:tc>
              <w:tc>
                <w:tcPr>
                  <w:tcW w:w="746" w:type="dxa"/>
                  <w:vAlign w:val="center"/>
                </w:tcPr>
                <w:p>
                  <w:pPr>
                    <w:jc w:val="center"/>
                  </w:pPr>
                  <w:r>
                    <w:rPr>
                      <w:rFonts w:hint="eastAsia"/>
                    </w:rPr>
                    <w:t>0.89</w:t>
                  </w:r>
                </w:p>
              </w:tc>
              <w:tc>
                <w:tcPr>
                  <w:tcW w:w="827" w:type="dxa"/>
                  <w:vAlign w:val="center"/>
                </w:tcPr>
                <w:p>
                  <w:pPr>
                    <w:jc w:val="center"/>
                  </w:pPr>
                  <w:r>
                    <w:rPr>
                      <w:rFonts w:hint="eastAsia"/>
                    </w:rPr>
                    <w:t>0.12</w:t>
                  </w:r>
                </w:p>
              </w:tc>
              <w:tc>
                <w:tcPr>
                  <w:tcW w:w="690" w:type="dxa"/>
                  <w:vAlign w:val="center"/>
                </w:tcPr>
                <w:p>
                  <w:pPr>
                    <w:jc w:val="center"/>
                  </w:pPr>
                  <w:r>
                    <w:rPr>
                      <w:rFonts w:hint="eastAsia"/>
                    </w:rPr>
                    <w:t>0.04</w:t>
                  </w:r>
                </w:p>
              </w:tc>
              <w:tc>
                <w:tcPr>
                  <w:tcW w:w="663" w:type="dxa"/>
                  <w:vAlign w:val="center"/>
                </w:tcPr>
                <w:p>
                  <w:pPr>
                    <w:jc w:val="center"/>
                  </w:pPr>
                  <w:r>
                    <w:rPr>
                      <w:rFonts w:hint="eastAsia"/>
                    </w:rPr>
                    <w:t>0.0015L</w:t>
                  </w:r>
                </w:p>
              </w:tc>
              <w:tc>
                <w:tcPr>
                  <w:tcW w:w="872" w:type="dxa"/>
                  <w:vAlign w:val="center"/>
                </w:tcPr>
                <w:p>
                  <w:pPr>
                    <w:jc w:val="center"/>
                  </w:pPr>
                  <w:r>
                    <w:rPr>
                      <w:rFonts w:hint="eastAsia"/>
                    </w:rPr>
                    <w:t>17.3</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59" w:type="dxa"/>
                  <w:vAlign w:val="center"/>
                </w:tcPr>
                <w:p>
                  <w:pPr>
                    <w:jc w:val="center"/>
                    <w:rPr>
                      <w:rFonts w:hAnsi="宋体"/>
                      <w:szCs w:val="21"/>
                    </w:rPr>
                  </w:pPr>
                  <w:r>
                    <w:rPr>
                      <w:rFonts w:hint="eastAsia" w:hAnsi="宋体"/>
                      <w:szCs w:val="21"/>
                    </w:rPr>
                    <w:t>达标情况</w:t>
                  </w:r>
                </w:p>
              </w:tc>
              <w:tc>
                <w:tcPr>
                  <w:tcW w:w="730" w:type="dxa"/>
                  <w:vAlign w:val="center"/>
                </w:tcPr>
                <w:p>
                  <w:pPr>
                    <w:jc w:val="center"/>
                  </w:pPr>
                </w:p>
              </w:tc>
              <w:tc>
                <w:tcPr>
                  <w:tcW w:w="656" w:type="dxa"/>
                  <w:vAlign w:val="center"/>
                </w:tcPr>
                <w:p>
                  <w:pPr>
                    <w:jc w:val="center"/>
                  </w:pPr>
                  <w:r>
                    <w:rPr>
                      <w:rFonts w:hint="eastAsia"/>
                    </w:rPr>
                    <w:t>达标</w:t>
                  </w:r>
                </w:p>
              </w:tc>
              <w:tc>
                <w:tcPr>
                  <w:tcW w:w="670" w:type="dxa"/>
                  <w:vAlign w:val="center"/>
                </w:tcPr>
                <w:p>
                  <w:pPr>
                    <w:jc w:val="center"/>
                  </w:pPr>
                  <w:r>
                    <w:rPr>
                      <w:rFonts w:hint="eastAsia"/>
                    </w:rPr>
                    <w:t>达标</w:t>
                  </w:r>
                </w:p>
              </w:tc>
              <w:tc>
                <w:tcPr>
                  <w:tcW w:w="863" w:type="dxa"/>
                  <w:vAlign w:val="center"/>
                </w:tcPr>
                <w:p>
                  <w:pPr>
                    <w:jc w:val="center"/>
                  </w:pPr>
                  <w:r>
                    <w:rPr>
                      <w:rFonts w:hint="eastAsia"/>
                    </w:rPr>
                    <w:t>不达标</w:t>
                  </w:r>
                </w:p>
              </w:tc>
              <w:tc>
                <w:tcPr>
                  <w:tcW w:w="686" w:type="dxa"/>
                  <w:vAlign w:val="center"/>
                </w:tcPr>
                <w:p>
                  <w:pPr>
                    <w:jc w:val="center"/>
                  </w:pPr>
                  <w:r>
                    <w:rPr>
                      <w:rFonts w:hint="eastAsia"/>
                    </w:rPr>
                    <w:t>达标</w:t>
                  </w:r>
                </w:p>
              </w:tc>
              <w:tc>
                <w:tcPr>
                  <w:tcW w:w="746" w:type="dxa"/>
                  <w:vAlign w:val="center"/>
                </w:tcPr>
                <w:p>
                  <w:pPr>
                    <w:jc w:val="center"/>
                  </w:pPr>
                  <w:r>
                    <w:rPr>
                      <w:rFonts w:hint="eastAsia"/>
                    </w:rPr>
                    <w:t>不达标</w:t>
                  </w:r>
                </w:p>
              </w:tc>
              <w:tc>
                <w:tcPr>
                  <w:tcW w:w="827" w:type="dxa"/>
                  <w:vAlign w:val="center"/>
                </w:tcPr>
                <w:p>
                  <w:pPr>
                    <w:jc w:val="center"/>
                  </w:pPr>
                  <w:r>
                    <w:rPr>
                      <w:rFonts w:hint="eastAsia"/>
                    </w:rPr>
                    <w:t>达标</w:t>
                  </w:r>
                </w:p>
              </w:tc>
              <w:tc>
                <w:tcPr>
                  <w:tcW w:w="690" w:type="dxa"/>
                  <w:vAlign w:val="center"/>
                </w:tcPr>
                <w:p>
                  <w:pPr>
                    <w:jc w:val="center"/>
                  </w:pPr>
                  <w:r>
                    <w:rPr>
                      <w:rFonts w:hint="eastAsia"/>
                    </w:rPr>
                    <w:t>达标</w:t>
                  </w:r>
                </w:p>
              </w:tc>
              <w:tc>
                <w:tcPr>
                  <w:tcW w:w="663" w:type="dxa"/>
                  <w:vAlign w:val="center"/>
                </w:tcPr>
                <w:p>
                  <w:pPr>
                    <w:jc w:val="center"/>
                  </w:pPr>
                  <w:r>
                    <w:rPr>
                      <w:rFonts w:hint="eastAsia"/>
                    </w:rPr>
                    <w:t>达标</w:t>
                  </w:r>
                </w:p>
              </w:tc>
              <w:tc>
                <w:tcPr>
                  <w:tcW w:w="872" w:type="dxa"/>
                  <w:vAlign w:val="center"/>
                </w:tcPr>
                <w:p>
                  <w:pPr>
                    <w:jc w:val="center"/>
                  </w:pPr>
                  <w:r>
                    <w:rPr>
                      <w:rFonts w:hint="eastAsia"/>
                    </w:rPr>
                    <w:t>达标</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689" w:type="dxa"/>
                  <w:gridSpan w:val="2"/>
                  <w:vAlign w:val="center"/>
                </w:tcPr>
                <w:p>
                  <w:pPr>
                    <w:jc w:val="center"/>
                  </w:pPr>
                  <w:r>
                    <w:rPr>
                      <w:rFonts w:ascii="宋体" w:hAnsi="宋体"/>
                    </w:rPr>
                    <w:t>Ⅲ</w:t>
                  </w:r>
                  <w:r>
                    <w:rPr>
                      <w:rFonts w:hAnsi="宋体"/>
                    </w:rPr>
                    <w:t>类标准值</w:t>
                  </w:r>
                </w:p>
              </w:tc>
              <w:tc>
                <w:tcPr>
                  <w:tcW w:w="656" w:type="dxa"/>
                  <w:vAlign w:val="center"/>
                </w:tcPr>
                <w:p>
                  <w:pPr>
                    <w:jc w:val="center"/>
                  </w:pPr>
                  <w:r>
                    <w:t>6-9</w:t>
                  </w:r>
                </w:p>
              </w:tc>
              <w:tc>
                <w:tcPr>
                  <w:tcW w:w="670" w:type="dxa"/>
                  <w:vAlign w:val="center"/>
                </w:tcPr>
                <w:p>
                  <w:pPr>
                    <w:jc w:val="center"/>
                  </w:pPr>
                  <w:r>
                    <w:t>≥5</w:t>
                  </w:r>
                </w:p>
              </w:tc>
              <w:tc>
                <w:tcPr>
                  <w:tcW w:w="863" w:type="dxa"/>
                  <w:vAlign w:val="center"/>
                </w:tcPr>
                <w:p>
                  <w:pPr>
                    <w:jc w:val="center"/>
                  </w:pPr>
                  <w:r>
                    <w:t>≤6</w:t>
                  </w:r>
                </w:p>
              </w:tc>
              <w:tc>
                <w:tcPr>
                  <w:tcW w:w="686" w:type="dxa"/>
                  <w:vAlign w:val="center"/>
                </w:tcPr>
                <w:p>
                  <w:pPr>
                    <w:jc w:val="center"/>
                  </w:pPr>
                  <w:r>
                    <w:t>≤4</w:t>
                  </w:r>
                </w:p>
              </w:tc>
              <w:tc>
                <w:tcPr>
                  <w:tcW w:w="746" w:type="dxa"/>
                  <w:vAlign w:val="center"/>
                </w:tcPr>
                <w:p>
                  <w:pPr>
                    <w:jc w:val="center"/>
                  </w:pPr>
                  <w:r>
                    <w:t>≤1.0</w:t>
                  </w:r>
                </w:p>
              </w:tc>
              <w:tc>
                <w:tcPr>
                  <w:tcW w:w="827" w:type="dxa"/>
                  <w:vAlign w:val="center"/>
                </w:tcPr>
                <w:p>
                  <w:pPr>
                    <w:jc w:val="center"/>
                  </w:pPr>
                  <w:r>
                    <w:t>≤0.2</w:t>
                  </w:r>
                </w:p>
              </w:tc>
              <w:tc>
                <w:tcPr>
                  <w:tcW w:w="690" w:type="dxa"/>
                  <w:vAlign w:val="center"/>
                </w:tcPr>
                <w:p>
                  <w:pPr>
                    <w:jc w:val="center"/>
                  </w:pPr>
                  <w:r>
                    <w:t>≤0.05</w:t>
                  </w:r>
                </w:p>
              </w:tc>
              <w:tc>
                <w:tcPr>
                  <w:tcW w:w="663" w:type="dxa"/>
                  <w:vAlign w:val="center"/>
                </w:tcPr>
                <w:p>
                  <w:pPr>
                    <w:jc w:val="center"/>
                  </w:pPr>
                  <w:r>
                    <w:t>≤0.005</w:t>
                  </w:r>
                </w:p>
              </w:tc>
              <w:tc>
                <w:tcPr>
                  <w:tcW w:w="872" w:type="dxa"/>
                  <w:vAlign w:val="center"/>
                </w:tcPr>
                <w:p>
                  <w:pPr>
                    <w:jc w:val="center"/>
                  </w:pPr>
                  <w:r>
                    <w:t>≤20</w:t>
                  </w:r>
                </w:p>
              </w:tc>
            </w:tr>
          </w:tbl>
          <w:p>
            <w:pPr>
              <w:spacing w:line="360" w:lineRule="auto"/>
              <w:ind w:firstLine="480" w:firstLineChars="200"/>
              <w:rPr>
                <w:rFonts w:hAnsi="宋体"/>
                <w:sz w:val="24"/>
                <w:lang w:val="en-US"/>
              </w:rPr>
            </w:pPr>
            <w:r>
              <w:rPr>
                <w:rFonts w:hint="eastAsia" w:hAnsi="宋体"/>
                <w:sz w:val="24"/>
                <w:lang w:val="en-US"/>
              </w:rPr>
              <w:t>鉴于监测河流水质监测不达标，为改善区域内河流水质，必须通过对河流上、下游进行综合整治，为改善区域内河流的水质，为抓好新一轮河道综合整体工作，确保丁蜀镇河道水质达到市考核要求。主要措施如下： </w:t>
            </w:r>
          </w:p>
          <w:p>
            <w:pPr>
              <w:spacing w:line="360" w:lineRule="auto"/>
              <w:ind w:firstLine="480" w:firstLineChars="200"/>
              <w:rPr>
                <w:rFonts w:hAnsi="宋体"/>
                <w:sz w:val="24"/>
                <w:lang w:val="en-US"/>
              </w:rPr>
            </w:pPr>
            <w:r>
              <w:rPr>
                <w:rFonts w:hint="eastAsia" w:hAnsi="宋体"/>
                <w:sz w:val="24"/>
                <w:lang w:val="en-US"/>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2018年，丁蜀镇完成河道的综合整治工程（对丁蜀镇镜内的林庄港等26条河道进行生态清淤，共计清淤长度约30.06km，清淤土方量约51.2万方）。</w:t>
            </w:r>
          </w:p>
          <w:p>
            <w:pPr>
              <w:spacing w:line="360" w:lineRule="auto"/>
              <w:ind w:firstLine="480" w:firstLineChars="200"/>
              <w:rPr>
                <w:rFonts w:hAnsi="宋体"/>
                <w:sz w:val="24"/>
                <w:lang w:val="en-US"/>
              </w:rPr>
            </w:pPr>
            <w:r>
              <w:rPr>
                <w:rFonts w:hint="eastAsia" w:hAnsi="宋体"/>
                <w:sz w:val="24"/>
                <w:lang w:val="en-US"/>
              </w:rPr>
              <w:t>（2）大力推进城镇雨污分流管网建设。加强城镇排水与污水收集管网的日常养护工作，提高养护技术装备水平，强化城镇污水排入污水管网许可管理，规范排水行为。</w:t>
            </w:r>
          </w:p>
          <w:p>
            <w:pPr>
              <w:spacing w:line="360" w:lineRule="auto"/>
              <w:ind w:firstLine="480" w:firstLineChars="200"/>
              <w:rPr>
                <w:rFonts w:hAnsi="宋体"/>
                <w:sz w:val="24"/>
                <w:lang w:val="en-US"/>
              </w:rPr>
            </w:pPr>
            <w:r>
              <w:rPr>
                <w:rFonts w:hint="eastAsia" w:hAnsi="宋体"/>
                <w:sz w:val="24"/>
                <w:lang w:val="en-US"/>
              </w:rPr>
              <w:t>（3）提高村庄生活污水处理设施覆盖率，同时，建立行之有效的运行维护机制，村庄生活污水处理设施第三方运行管理或专业化管理实现全覆盖。近阶段，丁蜀镇需会同公用事业局完成2018年农村污水治理工程年度目标任务（对全镇农村采取有动力生态池及污水管网纳管相结合的方式，来达到污水全部处理，杜绝生活污水的直排）。 </w:t>
            </w:r>
          </w:p>
          <w:p>
            <w:pPr>
              <w:spacing w:line="360" w:lineRule="auto"/>
              <w:ind w:firstLine="480" w:firstLineChars="200"/>
              <w:rPr>
                <w:rFonts w:hAnsi="宋体"/>
                <w:sz w:val="24"/>
              </w:rPr>
            </w:pPr>
            <w:r>
              <w:rPr>
                <w:rFonts w:hint="eastAsia" w:hAnsi="宋体"/>
                <w:sz w:val="24"/>
                <w:lang w:val="en-US"/>
              </w:rPr>
              <w:t>（4）强化农业面源污染控制。强化规模化畜禽养殖场粪污综合利用和污染治理，规模化畜禽养殖场全部建成粪污收集、处理利用设施。落实“种养结合、以地定畜”的要求，加强粪污还田，推进化肥施用减量化。</w:t>
            </w:r>
          </w:p>
          <w:p>
            <w:pPr>
              <w:spacing w:line="360" w:lineRule="auto"/>
              <w:ind w:firstLine="482" w:firstLineChars="200"/>
              <w:rPr>
                <w:b/>
                <w:sz w:val="24"/>
              </w:rPr>
            </w:pPr>
            <w:r>
              <w:rPr>
                <w:b/>
                <w:sz w:val="24"/>
              </w:rPr>
              <w:t>3</w:t>
            </w:r>
            <w:r>
              <w:rPr>
                <w:rFonts w:hAnsi="宋体"/>
                <w:b/>
                <w:sz w:val="24"/>
              </w:rPr>
              <w:t>、声环境</w:t>
            </w:r>
          </w:p>
          <w:p>
            <w:pPr>
              <w:spacing w:line="360" w:lineRule="auto"/>
              <w:ind w:firstLine="480" w:firstLineChars="200"/>
              <w:rPr>
                <w:rFonts w:hAnsi="宋体"/>
                <w:color w:val="000000"/>
                <w:sz w:val="24"/>
                <w:szCs w:val="24"/>
                <w:lang w:val="en-US"/>
              </w:rPr>
            </w:pPr>
            <w:r>
              <w:rPr>
                <w:rFonts w:hint="eastAsia" w:hAnsi="宋体"/>
                <w:sz w:val="24"/>
                <w:szCs w:val="24"/>
              </w:rPr>
              <w:t>本次采用</w:t>
            </w:r>
            <w:r>
              <w:rPr>
                <w:rFonts w:hint="eastAsia" w:hAnsi="宋体"/>
                <w:sz w:val="24"/>
                <w:szCs w:val="24"/>
                <w:lang w:val="en-US"/>
              </w:rPr>
              <w:t>AR824型数显程式噪音计，于2018年12月23日对项目厂界四周共设置4个监测点（监测点位分布见</w:t>
            </w:r>
            <w:r>
              <w:rPr>
                <w:rFonts w:hint="eastAsia" w:hAnsi="宋体"/>
                <w:b/>
                <w:bCs/>
                <w:sz w:val="24"/>
                <w:szCs w:val="24"/>
                <w:u w:val="single"/>
                <w:lang w:val="en-US"/>
              </w:rPr>
              <w:t>附图5</w:t>
            </w:r>
            <w:r>
              <w:rPr>
                <w:rFonts w:hint="eastAsia" w:hAnsi="宋体"/>
                <w:sz w:val="24"/>
                <w:szCs w:val="24"/>
                <w:lang w:val="en-US"/>
              </w:rPr>
              <w:t>）昼间监测2次，企业夜间不生产，故未监测。噪</w:t>
            </w:r>
            <w:r>
              <w:rPr>
                <w:rFonts w:hint="eastAsia" w:hAnsi="宋体"/>
                <w:color w:val="000000"/>
                <w:sz w:val="24"/>
                <w:szCs w:val="24"/>
                <w:lang w:val="en-US"/>
              </w:rPr>
              <w:t>声监测结果见表3-</w:t>
            </w:r>
            <w:r>
              <w:rPr>
                <w:rFonts w:hint="eastAsia" w:hAnsi="宋体"/>
                <w:color w:val="000000"/>
                <w:sz w:val="24"/>
                <w:szCs w:val="24"/>
                <w:lang w:val="en-US" w:eastAsia="zh-CN"/>
              </w:rPr>
              <w:t>2</w:t>
            </w:r>
            <w:r>
              <w:rPr>
                <w:rFonts w:hint="eastAsia" w:hAnsi="宋体"/>
                <w:color w:val="000000"/>
                <w:sz w:val="24"/>
                <w:szCs w:val="24"/>
                <w:lang w:val="en-US"/>
              </w:rPr>
              <w:t>；</w:t>
            </w:r>
          </w:p>
          <w:p>
            <w:pPr>
              <w:ind w:firstLine="482" w:firstLineChars="200"/>
              <w:jc w:val="center"/>
              <w:rPr>
                <w:rFonts w:hAnsi="宋体"/>
                <w:b/>
                <w:bCs/>
                <w:color w:val="000000"/>
                <w:sz w:val="24"/>
                <w:szCs w:val="24"/>
              </w:rPr>
            </w:pPr>
            <w:r>
              <w:rPr>
                <w:rFonts w:hAnsi="宋体"/>
                <w:b/>
                <w:bCs/>
                <w:color w:val="000000"/>
                <w:sz w:val="24"/>
                <w:szCs w:val="24"/>
              </w:rPr>
              <w:t>表3-</w:t>
            </w:r>
            <w:r>
              <w:rPr>
                <w:rFonts w:hint="eastAsia" w:hAnsi="宋体"/>
                <w:b/>
                <w:bCs/>
                <w:color w:val="000000"/>
                <w:sz w:val="24"/>
                <w:szCs w:val="24"/>
                <w:lang w:val="en-US" w:eastAsia="zh-CN"/>
              </w:rPr>
              <w:t>2</w:t>
            </w:r>
            <w:r>
              <w:rPr>
                <w:rFonts w:hAnsi="宋体"/>
                <w:b/>
                <w:bCs/>
                <w:color w:val="000000"/>
                <w:sz w:val="24"/>
                <w:szCs w:val="24"/>
              </w:rPr>
              <w:t xml:space="preserve"> </w:t>
            </w:r>
            <w:r>
              <w:rPr>
                <w:rFonts w:hint="eastAsia" w:hAnsi="宋体"/>
                <w:b/>
                <w:bCs/>
                <w:color w:val="000000"/>
                <w:sz w:val="24"/>
                <w:szCs w:val="24"/>
                <w:lang w:val="en-US"/>
              </w:rPr>
              <w:t xml:space="preserve"> </w:t>
            </w:r>
            <w:r>
              <w:rPr>
                <w:rFonts w:hAnsi="宋体"/>
                <w:b/>
                <w:bCs/>
                <w:color w:val="000000"/>
                <w:sz w:val="24"/>
                <w:szCs w:val="24"/>
              </w:rPr>
              <w:t>声环境监测结果表</w:t>
            </w:r>
            <w:r>
              <w:rPr>
                <w:rFonts w:hint="eastAsia" w:hAnsi="宋体"/>
                <w:b/>
                <w:bCs/>
                <w:color w:val="000000"/>
                <w:sz w:val="24"/>
                <w:szCs w:val="24"/>
              </w:rPr>
              <w:t xml:space="preserve">  </w:t>
            </w:r>
            <w:r>
              <w:rPr>
                <w:rFonts w:hAnsi="宋体"/>
                <w:b/>
                <w:bCs/>
                <w:color w:val="000000"/>
                <w:sz w:val="24"/>
                <w:szCs w:val="24"/>
              </w:rPr>
              <w:t>单位：dB（A）</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143"/>
              <w:gridCol w:w="1095"/>
              <w:gridCol w:w="1020"/>
              <w:gridCol w:w="1185"/>
              <w:gridCol w:w="171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pPr>
                  <w:r>
                    <w:rPr>
                      <w:rFonts w:hint="eastAsia"/>
                    </w:rPr>
                    <w:t>序号</w:t>
                  </w:r>
                </w:p>
              </w:tc>
              <w:tc>
                <w:tcPr>
                  <w:tcW w:w="2143" w:type="dxa"/>
                  <w:vAlign w:val="center"/>
                </w:tcPr>
                <w:p>
                  <w:pPr>
                    <w:pStyle w:val="114"/>
                    <w:widowControl w:val="0"/>
                    <w:numPr>
                      <w:ilvl w:val="0"/>
                      <w:numId w:val="0"/>
                    </w:numPr>
                  </w:pPr>
                  <w:r>
                    <w:rPr>
                      <w:rFonts w:hint="eastAsia"/>
                    </w:rPr>
                    <w:t>点位</w:t>
                  </w:r>
                </w:p>
              </w:tc>
              <w:tc>
                <w:tcPr>
                  <w:tcW w:w="2115" w:type="dxa"/>
                  <w:gridSpan w:val="2"/>
                  <w:vAlign w:val="center"/>
                </w:tcPr>
                <w:p>
                  <w:pPr>
                    <w:pStyle w:val="114"/>
                    <w:widowControl w:val="0"/>
                    <w:numPr>
                      <w:ilvl w:val="0"/>
                      <w:numId w:val="0"/>
                    </w:numPr>
                  </w:pPr>
                  <w:r>
                    <w:rPr>
                      <w:rFonts w:hint="eastAsia"/>
                    </w:rPr>
                    <w:t>昼间</w:t>
                  </w:r>
                </w:p>
              </w:tc>
              <w:tc>
                <w:tcPr>
                  <w:tcW w:w="1185" w:type="dxa"/>
                  <w:vAlign w:val="center"/>
                </w:tcPr>
                <w:p>
                  <w:pPr>
                    <w:pStyle w:val="114"/>
                    <w:widowControl w:val="0"/>
                    <w:numPr>
                      <w:ilvl w:val="0"/>
                      <w:numId w:val="0"/>
                    </w:numPr>
                  </w:pPr>
                  <w:r>
                    <w:rPr>
                      <w:rFonts w:hint="eastAsia"/>
                    </w:rPr>
                    <w:t>标准值</w:t>
                  </w:r>
                </w:p>
              </w:tc>
              <w:tc>
                <w:tcPr>
                  <w:tcW w:w="1713" w:type="dxa"/>
                  <w:vAlign w:val="center"/>
                </w:tcPr>
                <w:p>
                  <w:pPr>
                    <w:pStyle w:val="114"/>
                    <w:widowControl w:val="0"/>
                    <w:numPr>
                      <w:ilvl w:val="0"/>
                      <w:numId w:val="0"/>
                    </w:numPr>
                  </w:pPr>
                  <w:r>
                    <w:rPr>
                      <w:rFonts w:hint="eastAsia"/>
                    </w:rPr>
                    <w:t>达标情况</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b w:val="0"/>
                    </w:rPr>
                  </w:pPr>
                  <w:r>
                    <w:rPr>
                      <w:rFonts w:hint="eastAsia"/>
                      <w:b w:val="0"/>
                    </w:rPr>
                    <w:t>1</w:t>
                  </w:r>
                </w:p>
              </w:tc>
              <w:tc>
                <w:tcPr>
                  <w:tcW w:w="2143" w:type="dxa"/>
                  <w:vAlign w:val="center"/>
                </w:tcPr>
                <w:p>
                  <w:pPr>
                    <w:jc w:val="center"/>
                    <w:rPr>
                      <w:highlight w:val="red"/>
                      <w:lang w:val="en-US"/>
                    </w:rPr>
                  </w:pPr>
                  <w:r>
                    <w:rPr>
                      <w:rFonts w:hint="eastAsia"/>
                      <w:lang w:val="en-US"/>
                    </w:rPr>
                    <w:t>N1</w:t>
                  </w:r>
                </w:p>
              </w:tc>
              <w:tc>
                <w:tcPr>
                  <w:tcW w:w="1095" w:type="dxa"/>
                  <w:vAlign w:val="center"/>
                </w:tcPr>
                <w:p>
                  <w:pPr>
                    <w:pStyle w:val="114"/>
                    <w:widowControl w:val="0"/>
                    <w:numPr>
                      <w:ilvl w:val="0"/>
                      <w:numId w:val="0"/>
                    </w:numPr>
                    <w:rPr>
                      <w:b w:val="0"/>
                    </w:rPr>
                  </w:pPr>
                  <w:r>
                    <w:rPr>
                      <w:rFonts w:hint="eastAsia"/>
                      <w:b w:val="0"/>
                      <w:lang w:val="en-US"/>
                    </w:rPr>
                    <w:t>53.2</w:t>
                  </w:r>
                </w:p>
              </w:tc>
              <w:tc>
                <w:tcPr>
                  <w:tcW w:w="1020" w:type="dxa"/>
                  <w:vAlign w:val="center"/>
                </w:tcPr>
                <w:p>
                  <w:pPr>
                    <w:pStyle w:val="114"/>
                    <w:widowControl w:val="0"/>
                    <w:numPr>
                      <w:ilvl w:val="0"/>
                      <w:numId w:val="0"/>
                    </w:numPr>
                    <w:rPr>
                      <w:rFonts w:ascii="Arial" w:hAnsi="Arial" w:eastAsia="黑体"/>
                      <w:b w:val="0"/>
                      <w:bCs/>
                    </w:rPr>
                  </w:pPr>
                  <w:r>
                    <w:rPr>
                      <w:rFonts w:hint="eastAsia"/>
                      <w:b w:val="0"/>
                      <w:lang w:val="en-US"/>
                    </w:rPr>
                    <w:t>58.6</w:t>
                  </w:r>
                </w:p>
              </w:tc>
              <w:tc>
                <w:tcPr>
                  <w:tcW w:w="1185" w:type="dxa"/>
                </w:tcPr>
                <w:p>
                  <w:pPr>
                    <w:pStyle w:val="114"/>
                    <w:widowControl w:val="0"/>
                    <w:numPr>
                      <w:ilvl w:val="0"/>
                      <w:numId w:val="0"/>
                    </w:numPr>
                    <w:rPr>
                      <w:b w:val="0"/>
                      <w:color w:val="000000"/>
                      <w:lang w:val="en-US"/>
                    </w:rPr>
                  </w:pPr>
                  <w:r>
                    <w:rPr>
                      <w:rFonts w:hint="eastAsia"/>
                      <w:b w:val="0"/>
                      <w:color w:val="000000"/>
                      <w:lang w:val="en-US"/>
                    </w:rPr>
                    <w:t>65</w:t>
                  </w:r>
                </w:p>
              </w:tc>
              <w:tc>
                <w:tcPr>
                  <w:tcW w:w="1713" w:type="dxa"/>
                  <w:vAlign w:val="center"/>
                </w:tcPr>
                <w:p>
                  <w:pPr>
                    <w:pStyle w:val="114"/>
                    <w:widowControl w:val="0"/>
                    <w:numPr>
                      <w:ilvl w:val="0"/>
                      <w:numId w:val="0"/>
                    </w:numPr>
                    <w:rPr>
                      <w:b w:val="0"/>
                    </w:rPr>
                  </w:pPr>
                  <w:r>
                    <w:rPr>
                      <w:rFonts w:hint="eastAsia"/>
                      <w:b w:val="0"/>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b w:val="0"/>
                    </w:rPr>
                  </w:pPr>
                  <w:r>
                    <w:rPr>
                      <w:rFonts w:hint="eastAsia"/>
                      <w:b w:val="0"/>
                    </w:rPr>
                    <w:t>2</w:t>
                  </w:r>
                </w:p>
              </w:tc>
              <w:tc>
                <w:tcPr>
                  <w:tcW w:w="2143" w:type="dxa"/>
                  <w:vAlign w:val="center"/>
                </w:tcPr>
                <w:p>
                  <w:pPr>
                    <w:jc w:val="center"/>
                    <w:rPr>
                      <w:highlight w:val="red"/>
                      <w:lang w:val="en-US"/>
                    </w:rPr>
                  </w:pPr>
                  <w:r>
                    <w:rPr>
                      <w:rFonts w:hint="eastAsia"/>
                      <w:lang w:val="en-US"/>
                    </w:rPr>
                    <w:t>N2</w:t>
                  </w:r>
                </w:p>
              </w:tc>
              <w:tc>
                <w:tcPr>
                  <w:tcW w:w="1095" w:type="dxa"/>
                  <w:vAlign w:val="center"/>
                </w:tcPr>
                <w:p>
                  <w:pPr>
                    <w:pStyle w:val="114"/>
                    <w:widowControl w:val="0"/>
                    <w:numPr>
                      <w:ilvl w:val="0"/>
                      <w:numId w:val="0"/>
                    </w:numPr>
                    <w:rPr>
                      <w:b w:val="0"/>
                      <w:lang w:val="en-US"/>
                    </w:rPr>
                  </w:pPr>
                  <w:r>
                    <w:rPr>
                      <w:rFonts w:hint="eastAsia"/>
                      <w:b w:val="0"/>
                      <w:lang w:val="en-US"/>
                    </w:rPr>
                    <w:t>54.1</w:t>
                  </w:r>
                </w:p>
              </w:tc>
              <w:tc>
                <w:tcPr>
                  <w:tcW w:w="1020" w:type="dxa"/>
                  <w:vAlign w:val="center"/>
                </w:tcPr>
                <w:p>
                  <w:pPr>
                    <w:pStyle w:val="114"/>
                    <w:widowControl w:val="0"/>
                    <w:numPr>
                      <w:ilvl w:val="0"/>
                      <w:numId w:val="0"/>
                    </w:numPr>
                    <w:rPr>
                      <w:b w:val="0"/>
                      <w:lang w:val="en-US"/>
                    </w:rPr>
                  </w:pPr>
                  <w:r>
                    <w:rPr>
                      <w:rFonts w:hint="eastAsia"/>
                      <w:b w:val="0"/>
                      <w:lang w:val="en-US"/>
                    </w:rPr>
                    <w:t>56.4</w:t>
                  </w:r>
                </w:p>
              </w:tc>
              <w:tc>
                <w:tcPr>
                  <w:tcW w:w="1185" w:type="dxa"/>
                </w:tcPr>
                <w:p>
                  <w:pPr>
                    <w:jc w:val="center"/>
                  </w:pPr>
                  <w:r>
                    <w:rPr>
                      <w:rFonts w:hint="eastAsia"/>
                      <w:color w:val="000000"/>
                      <w:lang w:val="en-US"/>
                    </w:rPr>
                    <w:t>65</w:t>
                  </w:r>
                </w:p>
              </w:tc>
              <w:tc>
                <w:tcPr>
                  <w:tcW w:w="1713" w:type="dxa"/>
                  <w:vAlign w:val="center"/>
                </w:tcPr>
                <w:p>
                  <w:pPr>
                    <w:pStyle w:val="114"/>
                    <w:widowControl w:val="0"/>
                    <w:numPr>
                      <w:ilvl w:val="0"/>
                      <w:numId w:val="0"/>
                    </w:numPr>
                    <w:rPr>
                      <w:b w:val="0"/>
                      <w:lang w:val="en-US"/>
                    </w:rPr>
                  </w:pPr>
                  <w:r>
                    <w:rPr>
                      <w:rFonts w:hint="eastAsia"/>
                      <w:b w:val="0"/>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b w:val="0"/>
                      <w:lang w:val="en-US"/>
                    </w:rPr>
                  </w:pPr>
                  <w:r>
                    <w:rPr>
                      <w:rFonts w:hint="eastAsia"/>
                      <w:b w:val="0"/>
                      <w:lang w:val="en-US"/>
                    </w:rPr>
                    <w:t>3</w:t>
                  </w:r>
                </w:p>
              </w:tc>
              <w:tc>
                <w:tcPr>
                  <w:tcW w:w="2143" w:type="dxa"/>
                  <w:vAlign w:val="center"/>
                </w:tcPr>
                <w:p>
                  <w:pPr>
                    <w:jc w:val="center"/>
                    <w:rPr>
                      <w:lang w:val="en-US"/>
                    </w:rPr>
                  </w:pPr>
                  <w:r>
                    <w:rPr>
                      <w:rFonts w:hint="eastAsia"/>
                      <w:lang w:val="en-US"/>
                    </w:rPr>
                    <w:t>N3</w:t>
                  </w:r>
                </w:p>
              </w:tc>
              <w:tc>
                <w:tcPr>
                  <w:tcW w:w="1095" w:type="dxa"/>
                  <w:vAlign w:val="center"/>
                </w:tcPr>
                <w:p>
                  <w:pPr>
                    <w:pStyle w:val="114"/>
                    <w:widowControl w:val="0"/>
                    <w:numPr>
                      <w:ilvl w:val="0"/>
                      <w:numId w:val="0"/>
                    </w:numPr>
                    <w:rPr>
                      <w:b w:val="0"/>
                      <w:lang w:val="en-US"/>
                    </w:rPr>
                  </w:pPr>
                  <w:r>
                    <w:rPr>
                      <w:rFonts w:hint="eastAsia"/>
                      <w:b w:val="0"/>
                      <w:lang w:val="en-US"/>
                    </w:rPr>
                    <w:t>52.4</w:t>
                  </w:r>
                </w:p>
              </w:tc>
              <w:tc>
                <w:tcPr>
                  <w:tcW w:w="1020" w:type="dxa"/>
                  <w:vAlign w:val="center"/>
                </w:tcPr>
                <w:p>
                  <w:pPr>
                    <w:pStyle w:val="114"/>
                    <w:widowControl w:val="0"/>
                    <w:numPr>
                      <w:ilvl w:val="0"/>
                      <w:numId w:val="0"/>
                    </w:numPr>
                    <w:rPr>
                      <w:b w:val="0"/>
                      <w:lang w:val="en-US"/>
                    </w:rPr>
                  </w:pPr>
                  <w:r>
                    <w:rPr>
                      <w:rFonts w:hint="eastAsia"/>
                      <w:b w:val="0"/>
                      <w:lang w:val="en-US"/>
                    </w:rPr>
                    <w:t>55.2</w:t>
                  </w:r>
                </w:p>
              </w:tc>
              <w:tc>
                <w:tcPr>
                  <w:tcW w:w="1185" w:type="dxa"/>
                </w:tcPr>
                <w:p>
                  <w:pPr>
                    <w:jc w:val="center"/>
                  </w:pPr>
                  <w:r>
                    <w:rPr>
                      <w:rFonts w:hint="eastAsia"/>
                      <w:color w:val="000000"/>
                      <w:lang w:val="en-US"/>
                    </w:rPr>
                    <w:t>65</w:t>
                  </w:r>
                </w:p>
              </w:tc>
              <w:tc>
                <w:tcPr>
                  <w:tcW w:w="1713" w:type="dxa"/>
                  <w:vAlign w:val="center"/>
                </w:tcPr>
                <w:p>
                  <w:pPr>
                    <w:pStyle w:val="114"/>
                    <w:widowControl w:val="0"/>
                    <w:numPr>
                      <w:ilvl w:val="0"/>
                      <w:numId w:val="0"/>
                    </w:numPr>
                    <w:rPr>
                      <w:b w:val="0"/>
                      <w:lang w:val="en-US"/>
                    </w:rPr>
                  </w:pPr>
                  <w:r>
                    <w:rPr>
                      <w:rFonts w:hint="eastAsia"/>
                      <w:b w:val="0"/>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b w:val="0"/>
                      <w:lang w:val="en-US"/>
                    </w:rPr>
                  </w:pPr>
                  <w:r>
                    <w:rPr>
                      <w:rFonts w:hint="eastAsia"/>
                      <w:b w:val="0"/>
                      <w:lang w:val="en-US"/>
                    </w:rPr>
                    <w:t>4</w:t>
                  </w:r>
                </w:p>
              </w:tc>
              <w:tc>
                <w:tcPr>
                  <w:tcW w:w="2143" w:type="dxa"/>
                  <w:vAlign w:val="center"/>
                </w:tcPr>
                <w:p>
                  <w:pPr>
                    <w:jc w:val="center"/>
                    <w:rPr>
                      <w:lang w:val="en-US"/>
                    </w:rPr>
                  </w:pPr>
                  <w:r>
                    <w:rPr>
                      <w:rFonts w:hint="eastAsia"/>
                      <w:lang w:val="en-US"/>
                    </w:rPr>
                    <w:t>N4</w:t>
                  </w:r>
                </w:p>
              </w:tc>
              <w:tc>
                <w:tcPr>
                  <w:tcW w:w="1095" w:type="dxa"/>
                  <w:vAlign w:val="center"/>
                </w:tcPr>
                <w:p>
                  <w:pPr>
                    <w:pStyle w:val="114"/>
                    <w:widowControl w:val="0"/>
                    <w:numPr>
                      <w:ilvl w:val="0"/>
                      <w:numId w:val="0"/>
                    </w:numPr>
                    <w:rPr>
                      <w:b w:val="0"/>
                      <w:lang w:val="en-US"/>
                    </w:rPr>
                  </w:pPr>
                  <w:r>
                    <w:rPr>
                      <w:rFonts w:hint="eastAsia"/>
                      <w:b w:val="0"/>
                      <w:lang w:val="en-US"/>
                    </w:rPr>
                    <w:t>51.8</w:t>
                  </w:r>
                </w:p>
              </w:tc>
              <w:tc>
                <w:tcPr>
                  <w:tcW w:w="1020" w:type="dxa"/>
                  <w:vAlign w:val="center"/>
                </w:tcPr>
                <w:p>
                  <w:pPr>
                    <w:pStyle w:val="114"/>
                    <w:widowControl w:val="0"/>
                    <w:numPr>
                      <w:ilvl w:val="0"/>
                      <w:numId w:val="0"/>
                    </w:numPr>
                    <w:rPr>
                      <w:b w:val="0"/>
                      <w:lang w:val="en-US"/>
                    </w:rPr>
                  </w:pPr>
                  <w:r>
                    <w:rPr>
                      <w:rFonts w:hint="eastAsia"/>
                      <w:b w:val="0"/>
                      <w:lang w:val="en-US"/>
                    </w:rPr>
                    <w:t>53.3</w:t>
                  </w:r>
                </w:p>
              </w:tc>
              <w:tc>
                <w:tcPr>
                  <w:tcW w:w="1185" w:type="dxa"/>
                </w:tcPr>
                <w:p>
                  <w:pPr>
                    <w:jc w:val="center"/>
                  </w:pPr>
                  <w:r>
                    <w:rPr>
                      <w:rFonts w:hint="eastAsia"/>
                      <w:color w:val="000000"/>
                      <w:lang w:val="en-US"/>
                    </w:rPr>
                    <w:t>65</w:t>
                  </w:r>
                </w:p>
              </w:tc>
              <w:tc>
                <w:tcPr>
                  <w:tcW w:w="1713" w:type="dxa"/>
                  <w:vAlign w:val="center"/>
                </w:tcPr>
                <w:p>
                  <w:pPr>
                    <w:pStyle w:val="114"/>
                    <w:widowControl w:val="0"/>
                    <w:numPr>
                      <w:ilvl w:val="0"/>
                      <w:numId w:val="0"/>
                    </w:numPr>
                    <w:rPr>
                      <w:b w:val="0"/>
                      <w:lang w:val="en-US"/>
                    </w:rPr>
                  </w:pPr>
                  <w:r>
                    <w:rPr>
                      <w:rFonts w:hint="eastAsia"/>
                      <w:b w:val="0"/>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rFonts w:hint="eastAsia" w:eastAsia="宋体"/>
                      <w:b w:val="0"/>
                      <w:lang w:val="en-US" w:eastAsia="zh-CN"/>
                    </w:rPr>
                  </w:pPr>
                  <w:r>
                    <w:rPr>
                      <w:rFonts w:hint="eastAsia"/>
                      <w:b w:val="0"/>
                      <w:lang w:val="en-US" w:eastAsia="zh-CN"/>
                    </w:rPr>
                    <w:t>5</w:t>
                  </w:r>
                </w:p>
              </w:tc>
              <w:tc>
                <w:tcPr>
                  <w:tcW w:w="2143" w:type="dxa"/>
                  <w:vAlign w:val="center"/>
                </w:tcPr>
                <w:p>
                  <w:pPr>
                    <w:jc w:val="center"/>
                    <w:rPr>
                      <w:rFonts w:hint="default" w:eastAsia="宋体"/>
                      <w:lang w:val="en-US" w:eastAsia="zh-CN"/>
                    </w:rPr>
                  </w:pPr>
                  <w:r>
                    <w:rPr>
                      <w:rFonts w:hint="eastAsia"/>
                      <w:lang w:val="en-US" w:eastAsia="zh-CN"/>
                    </w:rPr>
                    <w:t>N5（北侧居民区）</w:t>
                  </w:r>
                </w:p>
              </w:tc>
              <w:tc>
                <w:tcPr>
                  <w:tcW w:w="1095"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50.3</w:t>
                  </w:r>
                </w:p>
              </w:tc>
              <w:tc>
                <w:tcPr>
                  <w:tcW w:w="1020"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52.5</w:t>
                  </w:r>
                </w:p>
              </w:tc>
              <w:tc>
                <w:tcPr>
                  <w:tcW w:w="1185" w:type="dxa"/>
                </w:tcPr>
                <w:p>
                  <w:pPr>
                    <w:jc w:val="center"/>
                    <w:rPr>
                      <w:rFonts w:hint="default" w:eastAsia="宋体"/>
                      <w:color w:val="000000"/>
                      <w:lang w:val="en-US" w:eastAsia="zh-CN"/>
                    </w:rPr>
                  </w:pPr>
                  <w:r>
                    <w:rPr>
                      <w:rFonts w:hint="eastAsia"/>
                      <w:color w:val="000000"/>
                      <w:lang w:val="en-US" w:eastAsia="zh-CN"/>
                    </w:rPr>
                    <w:t>60</w:t>
                  </w:r>
                </w:p>
              </w:tc>
              <w:tc>
                <w:tcPr>
                  <w:tcW w:w="1713" w:type="dxa"/>
                  <w:vAlign w:val="center"/>
                </w:tcPr>
                <w:p>
                  <w:pPr>
                    <w:pStyle w:val="114"/>
                    <w:widowControl w:val="0"/>
                    <w:numPr>
                      <w:ilvl w:val="0"/>
                      <w:numId w:val="0"/>
                    </w:numPr>
                    <w:ind w:left="0" w:leftChars="0" w:firstLine="0" w:firstLineChars="0"/>
                    <w:rPr>
                      <w:rFonts w:hint="eastAsia" w:ascii="Times New Roman" w:hAnsi="Times New Roman" w:eastAsia="宋体" w:cs="Times New Roman"/>
                      <w:b w:val="0"/>
                      <w:kern w:val="2"/>
                      <w:sz w:val="21"/>
                      <w:szCs w:val="21"/>
                      <w:lang w:val="en-US" w:eastAsia="zh-CN" w:bidi="ar-SA"/>
                    </w:rPr>
                  </w:pPr>
                  <w:r>
                    <w:rPr>
                      <w:rFonts w:hint="eastAsia"/>
                      <w:b w:val="0"/>
                    </w:rPr>
                    <w:t>达标</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06" w:type="dxa"/>
                  <w:vAlign w:val="center"/>
                </w:tcPr>
                <w:p>
                  <w:pPr>
                    <w:pStyle w:val="114"/>
                    <w:widowControl w:val="0"/>
                    <w:numPr>
                      <w:ilvl w:val="0"/>
                      <w:numId w:val="0"/>
                    </w:numPr>
                    <w:rPr>
                      <w:rFonts w:hint="default"/>
                      <w:b w:val="0"/>
                      <w:lang w:val="en-US" w:eastAsia="zh-CN"/>
                    </w:rPr>
                  </w:pPr>
                  <w:r>
                    <w:rPr>
                      <w:rFonts w:hint="eastAsia"/>
                      <w:b w:val="0"/>
                      <w:lang w:val="en-US" w:eastAsia="zh-CN"/>
                    </w:rPr>
                    <w:t>6</w:t>
                  </w:r>
                </w:p>
              </w:tc>
              <w:tc>
                <w:tcPr>
                  <w:tcW w:w="2143" w:type="dxa"/>
                  <w:vAlign w:val="center"/>
                </w:tcPr>
                <w:p>
                  <w:pPr>
                    <w:jc w:val="center"/>
                    <w:rPr>
                      <w:rFonts w:hint="eastAsia"/>
                      <w:lang w:val="en-US"/>
                    </w:rPr>
                  </w:pPr>
                  <w:r>
                    <w:rPr>
                      <w:rFonts w:hint="eastAsia"/>
                      <w:lang w:val="en-US" w:eastAsia="zh-CN"/>
                    </w:rPr>
                    <w:t>N6（西北侧居民区）</w:t>
                  </w:r>
                </w:p>
              </w:tc>
              <w:tc>
                <w:tcPr>
                  <w:tcW w:w="1095"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51.5</w:t>
                  </w:r>
                </w:p>
              </w:tc>
              <w:tc>
                <w:tcPr>
                  <w:tcW w:w="1020" w:type="dxa"/>
                  <w:vAlign w:val="center"/>
                </w:tcPr>
                <w:p>
                  <w:pPr>
                    <w:pStyle w:val="114"/>
                    <w:widowControl w:val="0"/>
                    <w:numPr>
                      <w:ilvl w:val="0"/>
                      <w:numId w:val="0"/>
                    </w:numPr>
                    <w:rPr>
                      <w:rFonts w:hint="default" w:eastAsia="宋体"/>
                      <w:b w:val="0"/>
                      <w:lang w:val="en-US" w:eastAsia="zh-CN"/>
                    </w:rPr>
                  </w:pPr>
                  <w:r>
                    <w:rPr>
                      <w:rFonts w:hint="eastAsia"/>
                      <w:b w:val="0"/>
                      <w:lang w:val="en-US" w:eastAsia="zh-CN"/>
                    </w:rPr>
                    <w:t>51.2</w:t>
                  </w:r>
                </w:p>
              </w:tc>
              <w:tc>
                <w:tcPr>
                  <w:tcW w:w="1185" w:type="dxa"/>
                </w:tcPr>
                <w:p>
                  <w:pPr>
                    <w:jc w:val="center"/>
                    <w:rPr>
                      <w:rFonts w:hint="default" w:eastAsia="宋体"/>
                      <w:color w:val="000000"/>
                      <w:lang w:val="en-US" w:eastAsia="zh-CN"/>
                    </w:rPr>
                  </w:pPr>
                  <w:r>
                    <w:rPr>
                      <w:rFonts w:hint="eastAsia"/>
                      <w:color w:val="000000"/>
                      <w:lang w:val="en-US" w:eastAsia="zh-CN"/>
                    </w:rPr>
                    <w:t>60</w:t>
                  </w:r>
                </w:p>
              </w:tc>
              <w:tc>
                <w:tcPr>
                  <w:tcW w:w="1713" w:type="dxa"/>
                  <w:vAlign w:val="center"/>
                </w:tcPr>
                <w:p>
                  <w:pPr>
                    <w:pStyle w:val="114"/>
                    <w:widowControl w:val="0"/>
                    <w:numPr>
                      <w:ilvl w:val="0"/>
                      <w:numId w:val="0"/>
                    </w:numPr>
                    <w:ind w:left="0" w:leftChars="0" w:firstLine="0" w:firstLineChars="0"/>
                    <w:rPr>
                      <w:rFonts w:hint="eastAsia" w:ascii="Times New Roman" w:hAnsi="Times New Roman" w:eastAsia="宋体" w:cs="Times New Roman"/>
                      <w:b w:val="0"/>
                      <w:kern w:val="2"/>
                      <w:sz w:val="21"/>
                      <w:szCs w:val="21"/>
                      <w:lang w:val="en-US" w:eastAsia="zh-CN" w:bidi="ar-SA"/>
                    </w:rPr>
                  </w:pPr>
                  <w:r>
                    <w:rPr>
                      <w:rFonts w:hint="eastAsia"/>
                      <w:b w:val="0"/>
                    </w:rPr>
                    <w:t>达标</w:t>
                  </w:r>
                </w:p>
              </w:tc>
            </w:tr>
          </w:tbl>
          <w:p>
            <w:pPr>
              <w:pStyle w:val="224"/>
              <w:spacing w:line="360" w:lineRule="auto"/>
              <w:ind w:firstLine="480" w:firstLineChars="200"/>
              <w:jc w:val="both"/>
              <w:rPr>
                <w:rFonts w:ascii="Times New Roman" w:cs="Times New Roman"/>
                <w:color w:val="FF0000"/>
              </w:rPr>
            </w:pPr>
            <w:r>
              <w:rPr>
                <w:rFonts w:ascii="Times New Roman" w:cs="Times New Roman"/>
                <w:color w:val="auto"/>
              </w:rPr>
              <w:t>监测结果表明，本项目所在地声环境质量达到《声环境质量标准》（GB3096-</w:t>
            </w:r>
            <w:r>
              <w:rPr>
                <w:rFonts w:hint="eastAsia" w:ascii="Times New Roman" w:cs="Times New Roman"/>
                <w:color w:val="auto"/>
              </w:rPr>
              <w:t xml:space="preserve"> </w:t>
            </w:r>
            <w:r>
              <w:rPr>
                <w:rFonts w:ascii="Times New Roman" w:cs="Times New Roman"/>
                <w:color w:val="auto"/>
              </w:rPr>
              <w:t>2008）中的</w:t>
            </w:r>
            <w:r>
              <w:rPr>
                <w:rFonts w:hint="eastAsia" w:ascii="Times New Roman" w:cs="Times New Roman"/>
                <w:color w:val="auto"/>
              </w:rPr>
              <w:t>3</w:t>
            </w:r>
            <w:r>
              <w:rPr>
                <w:rFonts w:ascii="Times New Roman" w:cs="Times New Roman"/>
                <w:color w:val="auto"/>
              </w:rPr>
              <w:t>类标准</w:t>
            </w:r>
            <w:r>
              <w:rPr>
                <w:rFonts w:hint="eastAsia" w:ascii="Times New Roman" w:cs="Times New Roman"/>
                <w:color w:val="auto"/>
                <w:lang w:eastAsia="zh-CN"/>
              </w:rPr>
              <w:t>，周边居民区</w:t>
            </w:r>
            <w:r>
              <w:rPr>
                <w:rFonts w:ascii="Times New Roman" w:cs="Times New Roman"/>
                <w:color w:val="auto"/>
              </w:rPr>
              <w:t>声环境质量达到《声环境质量标准》（GB3096-</w:t>
            </w:r>
            <w:r>
              <w:rPr>
                <w:rFonts w:hint="eastAsia" w:ascii="Times New Roman" w:cs="Times New Roman"/>
                <w:color w:val="auto"/>
              </w:rPr>
              <w:t xml:space="preserve"> </w:t>
            </w:r>
            <w:r>
              <w:rPr>
                <w:rFonts w:ascii="Times New Roman" w:cs="Times New Roman"/>
                <w:color w:val="auto"/>
              </w:rPr>
              <w:t>2008）中的</w:t>
            </w:r>
            <w:r>
              <w:rPr>
                <w:rFonts w:hint="eastAsia" w:ascii="Times New Roman" w:cs="Times New Roman"/>
                <w:color w:val="auto"/>
                <w:lang w:val="en-US" w:eastAsia="zh-CN"/>
              </w:rPr>
              <w:t>2</w:t>
            </w:r>
            <w:r>
              <w:rPr>
                <w:rFonts w:ascii="Times New Roman" w:cs="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541" w:type="dxa"/>
          </w:tcPr>
          <w:p>
            <w:pPr>
              <w:spacing w:before="120" w:beforeLines="50" w:line="360" w:lineRule="auto"/>
              <w:rPr>
                <w:b/>
                <w:sz w:val="24"/>
              </w:rPr>
            </w:pPr>
            <w:bookmarkStart w:id="25" w:name="_Toc303260176"/>
            <w:bookmarkStart w:id="26" w:name="_Toc294082155"/>
            <w:r>
              <w:rPr>
                <w:rFonts w:hAnsi="宋体"/>
                <w:b/>
                <w:sz w:val="24"/>
              </w:rPr>
              <w:t>主要环境保护目标（列出名单及保护级别）：</w:t>
            </w:r>
          </w:p>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hAnsi="宋体" w:eastAsia="宋体"/>
                <w:color w:val="auto"/>
                <w:sz w:val="24"/>
                <w:szCs w:val="24"/>
                <w:vertAlign w:val="baseline"/>
                <w:lang w:eastAsia="zh-CN"/>
              </w:rPr>
            </w:pPr>
            <w:r>
              <w:rPr>
                <w:rFonts w:hAnsi="宋体"/>
                <w:color w:val="auto"/>
                <w:sz w:val="24"/>
                <w:szCs w:val="24"/>
                <w:lang w:val="en-US"/>
              </w:rPr>
              <w:t>表</w:t>
            </w:r>
            <w:r>
              <w:rPr>
                <w:color w:val="auto"/>
                <w:sz w:val="24"/>
                <w:szCs w:val="24"/>
                <w:lang w:val="en-US"/>
              </w:rPr>
              <w:t>3-</w:t>
            </w:r>
            <w:r>
              <w:rPr>
                <w:rFonts w:hint="eastAsia"/>
                <w:color w:val="auto"/>
                <w:sz w:val="24"/>
                <w:szCs w:val="24"/>
                <w:lang w:val="en-US" w:eastAsia="zh-CN"/>
              </w:rPr>
              <w:t>3</w:t>
            </w:r>
            <w:r>
              <w:rPr>
                <w:color w:val="auto"/>
                <w:sz w:val="24"/>
                <w:szCs w:val="24"/>
                <w:lang w:val="en-US"/>
              </w:rPr>
              <w:t xml:space="preserve"> </w:t>
            </w:r>
            <w:r>
              <w:rPr>
                <w:rFonts w:hint="eastAsia" w:hAnsi="宋体"/>
                <w:color w:val="auto"/>
                <w:sz w:val="24"/>
                <w:szCs w:val="24"/>
                <w:lang w:val="en-US" w:eastAsia="zh-CN"/>
              </w:rPr>
              <w:t>大气环境敏感目标表</w:t>
            </w:r>
          </w:p>
          <w:tbl>
            <w:tblPr>
              <w:tblStyle w:val="76"/>
              <w:tblW w:w="830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950"/>
              <w:gridCol w:w="1000"/>
              <w:gridCol w:w="830"/>
              <w:gridCol w:w="690"/>
              <w:gridCol w:w="860"/>
              <w:gridCol w:w="1390"/>
              <w:gridCol w:w="820"/>
              <w:gridCol w:w="75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13"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名称</w:t>
                  </w:r>
                </w:p>
              </w:tc>
              <w:tc>
                <w:tcPr>
                  <w:tcW w:w="1950" w:type="dxa"/>
                  <w:gridSpan w:val="2"/>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坐标</w:t>
                  </w:r>
                </w:p>
              </w:tc>
              <w:tc>
                <w:tcPr>
                  <w:tcW w:w="83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保护对象</w:t>
                  </w:r>
                </w:p>
              </w:tc>
              <w:tc>
                <w:tcPr>
                  <w:tcW w:w="69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保护内容</w:t>
                  </w:r>
                </w:p>
              </w:tc>
              <w:tc>
                <w:tcPr>
                  <w:tcW w:w="86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环境功能区</w:t>
                  </w:r>
                </w:p>
              </w:tc>
              <w:tc>
                <w:tcPr>
                  <w:tcW w:w="139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规模</w:t>
                  </w:r>
                </w:p>
              </w:tc>
              <w:tc>
                <w:tcPr>
                  <w:tcW w:w="82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color w:val="auto"/>
                      <w:vertAlign w:val="baseline"/>
                      <w:lang w:eastAsia="zh-CN"/>
                    </w:rPr>
                  </w:pPr>
                  <w:r>
                    <w:rPr>
                      <w:rFonts w:hint="eastAsia" w:hAnsi="宋体"/>
                      <w:color w:val="auto"/>
                      <w:vertAlign w:val="baseline"/>
                      <w:lang w:eastAsia="zh-CN"/>
                    </w:rPr>
                    <w:t>相对方位</w:t>
                  </w:r>
                </w:p>
              </w:tc>
              <w:tc>
                <w:tcPr>
                  <w:tcW w:w="750" w:type="dxa"/>
                  <w:vMerge w:val="restart"/>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color w:val="auto"/>
                      <w:vertAlign w:val="baseline"/>
                      <w:lang w:val="en-US" w:eastAsia="zh-CN"/>
                    </w:rPr>
                  </w:pPr>
                  <w:r>
                    <w:rPr>
                      <w:rFonts w:hint="eastAsia" w:hAnsi="宋体"/>
                      <w:color w:val="auto"/>
                      <w:vertAlign w:val="baseline"/>
                      <w:lang w:eastAsia="zh-CN"/>
                    </w:rPr>
                    <w:t>相对距离</w:t>
                  </w:r>
                  <w:r>
                    <w:rPr>
                      <w:rFonts w:hint="eastAsia" w:hAnsi="宋体"/>
                      <w:color w:val="auto"/>
                      <w:vertAlign w:val="baseline"/>
                      <w:lang w:val="en-US" w:eastAsia="zh-CN"/>
                    </w:rPr>
                    <w:t>/m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13"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pPr>
                </w:p>
              </w:tc>
              <w:tc>
                <w:tcPr>
                  <w:tcW w:w="95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color w:val="auto"/>
                      <w:vertAlign w:val="baseline"/>
                      <w:lang w:val="en-US" w:eastAsia="zh-CN"/>
                    </w:rPr>
                  </w:pPr>
                  <w:r>
                    <w:rPr>
                      <w:rFonts w:hint="eastAsia" w:hAnsi="宋体"/>
                      <w:color w:val="auto"/>
                      <w:vertAlign w:val="baseline"/>
                      <w:lang w:val="en-US" w:eastAsia="zh-CN"/>
                    </w:rPr>
                    <w:t>X（经度）</w:t>
                  </w:r>
                </w:p>
              </w:tc>
              <w:tc>
                <w:tcPr>
                  <w:tcW w:w="100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color w:val="auto"/>
                      <w:vertAlign w:val="baseline"/>
                      <w:lang w:val="en-US" w:eastAsia="zh-CN"/>
                    </w:rPr>
                  </w:pPr>
                  <w:r>
                    <w:rPr>
                      <w:rFonts w:hint="eastAsia" w:hAnsi="宋体"/>
                      <w:color w:val="auto"/>
                      <w:vertAlign w:val="baseline"/>
                      <w:lang w:val="en-US" w:eastAsia="zh-CN"/>
                    </w:rPr>
                    <w:t>Y（纬度）</w:t>
                  </w:r>
                </w:p>
              </w:tc>
              <w:tc>
                <w:tcPr>
                  <w:tcW w:w="83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c>
                <w:tcPr>
                  <w:tcW w:w="69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c>
                <w:tcPr>
                  <w:tcW w:w="86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c>
                <w:tcPr>
                  <w:tcW w:w="139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c>
                <w:tcPr>
                  <w:tcW w:w="82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c>
                <w:tcPr>
                  <w:tcW w:w="750" w:type="dxa"/>
                  <w:vMerge w:val="continue"/>
                  <w:tcBorders>
                    <w:tl2br w:val="nil"/>
                    <w:tr2bl w:val="nil"/>
                  </w:tcBorders>
                  <w:noWrap w:val="0"/>
                  <w:vAlign w:val="center"/>
                </w:tcPr>
                <w:p>
                  <w:pPr>
                    <w:pStyle w:val="114"/>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auto"/>
                      <w:vertAlign w:val="baseline"/>
                      <w:lang w:eastAsia="zh-CN"/>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3" w:type="dxa"/>
                  <w:tcBorders>
                    <w:tl2br w:val="nil"/>
                    <w:tr2bl w:val="nil"/>
                  </w:tcBorders>
                  <w:noWrap w:val="0"/>
                  <w:vAlign w:val="center"/>
                </w:tcPr>
                <w:p>
                  <w:pPr>
                    <w:jc w:val="center"/>
                    <w:rPr>
                      <w:rFonts w:hint="eastAsia" w:hAnsi="宋体" w:eastAsia="宋体"/>
                      <w:b w:val="0"/>
                      <w:bCs/>
                      <w:color w:val="auto"/>
                      <w:vertAlign w:val="baseline"/>
                      <w:lang w:val="en-US" w:eastAsia="zh-CN"/>
                    </w:rPr>
                  </w:pPr>
                  <w:r>
                    <w:rPr>
                      <w:rFonts w:hint="eastAsia"/>
                      <w:szCs w:val="21"/>
                    </w:rPr>
                    <w:t>四条岭</w:t>
                  </w:r>
                </w:p>
              </w:tc>
              <w:tc>
                <w:tcPr>
                  <w:tcW w:w="95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eastAsia="宋体"/>
                      <w:b w:val="0"/>
                      <w:bCs/>
                      <w:color w:val="auto"/>
                      <w:vertAlign w:val="baseline"/>
                      <w:lang w:val="en-US" w:eastAsia="zh-CN"/>
                    </w:rPr>
                  </w:pPr>
                  <w:r>
                    <w:rPr>
                      <w:rFonts w:hint="eastAsia" w:hAnsi="宋体"/>
                      <w:b w:val="0"/>
                      <w:bCs/>
                      <w:color w:val="auto"/>
                      <w:vertAlign w:val="baseline"/>
                      <w:lang w:val="en-US" w:eastAsia="zh-CN"/>
                    </w:rPr>
                    <w:t>119.80820</w:t>
                  </w:r>
                </w:p>
              </w:tc>
              <w:tc>
                <w:tcPr>
                  <w:tcW w:w="100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eastAsia="宋体"/>
                      <w:b w:val="0"/>
                      <w:bCs/>
                      <w:color w:val="auto"/>
                      <w:vertAlign w:val="baseline"/>
                      <w:lang w:val="en-US" w:eastAsia="zh-CN"/>
                    </w:rPr>
                  </w:pPr>
                  <w:r>
                    <w:rPr>
                      <w:rFonts w:hint="eastAsia" w:hAnsi="宋体"/>
                      <w:b w:val="0"/>
                      <w:bCs/>
                      <w:color w:val="auto"/>
                      <w:vertAlign w:val="baseline"/>
                      <w:lang w:val="en-US" w:eastAsia="zh-CN"/>
                    </w:rPr>
                    <w:t>31.26153</w:t>
                  </w:r>
                </w:p>
              </w:tc>
              <w:tc>
                <w:tcPr>
                  <w:tcW w:w="83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b w:val="0"/>
                      <w:bCs/>
                      <w:color w:val="auto"/>
                      <w:vertAlign w:val="baseline"/>
                      <w:lang w:eastAsia="zh-CN"/>
                    </w:rPr>
                  </w:pPr>
                  <w:r>
                    <w:rPr>
                      <w:rFonts w:hint="eastAsia" w:hAnsi="宋体"/>
                      <w:b w:val="0"/>
                      <w:bCs/>
                      <w:color w:val="auto"/>
                      <w:vertAlign w:val="baseline"/>
                      <w:lang w:eastAsia="zh-CN"/>
                    </w:rPr>
                    <w:t>居民区</w:t>
                  </w:r>
                </w:p>
              </w:tc>
              <w:tc>
                <w:tcPr>
                  <w:tcW w:w="69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b w:val="0"/>
                      <w:bCs/>
                      <w:color w:val="auto"/>
                      <w:vertAlign w:val="baseline"/>
                      <w:lang w:eastAsia="zh-CN"/>
                    </w:rPr>
                  </w:pPr>
                  <w:r>
                    <w:rPr>
                      <w:rFonts w:hint="eastAsia" w:hAnsi="宋体"/>
                      <w:b w:val="0"/>
                      <w:bCs/>
                      <w:color w:val="auto"/>
                      <w:vertAlign w:val="baseline"/>
                      <w:lang w:eastAsia="zh-CN"/>
                    </w:rPr>
                    <w:t>人群</w:t>
                  </w:r>
                </w:p>
              </w:tc>
              <w:tc>
                <w:tcPr>
                  <w:tcW w:w="86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eastAsia="宋体"/>
                      <w:b w:val="0"/>
                      <w:bCs/>
                      <w:color w:val="auto"/>
                      <w:vertAlign w:val="baseline"/>
                      <w:lang w:eastAsia="zh-CN"/>
                    </w:rPr>
                  </w:pPr>
                  <w:r>
                    <w:rPr>
                      <w:rFonts w:hint="eastAsia" w:hAnsi="宋体"/>
                      <w:b w:val="0"/>
                      <w:bCs/>
                      <w:color w:val="auto"/>
                      <w:vertAlign w:val="baseline"/>
                      <w:lang w:eastAsia="zh-CN"/>
                    </w:rPr>
                    <w:t>二类区</w:t>
                  </w:r>
                </w:p>
              </w:tc>
              <w:tc>
                <w:tcPr>
                  <w:tcW w:w="1390" w:type="dxa"/>
                  <w:tcBorders>
                    <w:tl2br w:val="nil"/>
                    <w:tr2bl w:val="nil"/>
                  </w:tcBorders>
                  <w:noWrap w:val="0"/>
                  <w:vAlign w:val="center"/>
                </w:tcPr>
                <w:p>
                  <w:pPr>
                    <w:jc w:val="center"/>
                    <w:rPr>
                      <w:rFonts w:hint="eastAsia" w:hAnsi="宋体" w:eastAsia="宋体"/>
                      <w:b w:val="0"/>
                      <w:bCs/>
                      <w:color w:val="auto"/>
                      <w:vertAlign w:val="baseline"/>
                      <w:lang w:val="en-US" w:eastAsia="zh-CN"/>
                    </w:rPr>
                  </w:pPr>
                  <w:r>
                    <w:rPr>
                      <w:rFonts w:hint="eastAsia"/>
                      <w:szCs w:val="21"/>
                      <w:lang w:val="en-US"/>
                    </w:rPr>
                    <w:t>48户/168人</w:t>
                  </w:r>
                </w:p>
              </w:tc>
              <w:tc>
                <w:tcPr>
                  <w:tcW w:w="820" w:type="dxa"/>
                  <w:tcBorders>
                    <w:tl2br w:val="nil"/>
                    <w:tr2bl w:val="nil"/>
                  </w:tcBorders>
                  <w:noWrap w:val="0"/>
                  <w:vAlign w:val="center"/>
                </w:tcPr>
                <w:p>
                  <w:pPr>
                    <w:pStyle w:val="107"/>
                    <w:widowControl w:val="0"/>
                    <w:rPr>
                      <w:rFonts w:hint="eastAsia" w:hAnsi="宋体" w:eastAsia="宋体"/>
                      <w:b w:val="0"/>
                      <w:bCs/>
                      <w:color w:val="auto"/>
                      <w:vertAlign w:val="baseline"/>
                      <w:lang w:eastAsia="zh-CN"/>
                    </w:rPr>
                  </w:pPr>
                  <w:r>
                    <w:rPr>
                      <w:rFonts w:hint="eastAsia" w:ascii="Times New Roman" w:hAnsi="Times New Roman"/>
                      <w:szCs w:val="21"/>
                    </w:rPr>
                    <w:t>北</w:t>
                  </w:r>
                </w:p>
              </w:tc>
              <w:tc>
                <w:tcPr>
                  <w:tcW w:w="750" w:type="dxa"/>
                  <w:tcBorders>
                    <w:tl2br w:val="nil"/>
                    <w:tr2bl w:val="nil"/>
                  </w:tcBorders>
                  <w:noWrap w:val="0"/>
                  <w:vAlign w:val="center"/>
                </w:tcPr>
                <w:p>
                  <w:pPr>
                    <w:jc w:val="center"/>
                    <w:rPr>
                      <w:rFonts w:hint="eastAsia" w:hAnsi="宋体" w:eastAsia="宋体"/>
                      <w:b w:val="0"/>
                      <w:bCs/>
                      <w:color w:val="auto"/>
                      <w:vertAlign w:val="baseline"/>
                      <w:lang w:val="en-US" w:eastAsia="zh-CN"/>
                    </w:rPr>
                  </w:pPr>
                  <w:r>
                    <w:rPr>
                      <w:rFonts w:hint="eastAsia"/>
                      <w:szCs w:val="21"/>
                      <w:lang w:val="en-US"/>
                    </w:rPr>
                    <w:t>62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3"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四条岭</w:t>
                  </w:r>
                </w:p>
              </w:tc>
              <w:tc>
                <w:tcPr>
                  <w:tcW w:w="95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119.80571</w:t>
                  </w:r>
                </w:p>
              </w:tc>
              <w:tc>
                <w:tcPr>
                  <w:tcW w:w="100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31.26102</w:t>
                  </w:r>
                </w:p>
              </w:tc>
              <w:tc>
                <w:tcPr>
                  <w:tcW w:w="83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居民区</w:t>
                  </w:r>
                </w:p>
              </w:tc>
              <w:tc>
                <w:tcPr>
                  <w:tcW w:w="69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人群</w:t>
                  </w:r>
                </w:p>
              </w:tc>
              <w:tc>
                <w:tcPr>
                  <w:tcW w:w="86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二类区</w:t>
                  </w:r>
                </w:p>
              </w:tc>
              <w:tc>
                <w:tcPr>
                  <w:tcW w:w="139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10户/35人</w:t>
                  </w:r>
                </w:p>
              </w:tc>
              <w:tc>
                <w:tcPr>
                  <w:tcW w:w="820" w:type="dxa"/>
                  <w:tcBorders>
                    <w:tl2br w:val="nil"/>
                    <w:tr2bl w:val="nil"/>
                  </w:tcBorders>
                  <w:noWrap w:val="0"/>
                  <w:vAlign w:val="center"/>
                </w:tcPr>
                <w:p>
                  <w:pPr>
                    <w:pStyle w:val="107"/>
                    <w:widowControl w:val="0"/>
                    <w:rPr>
                      <w:rFonts w:hint="eastAsia" w:hAnsi="宋体"/>
                      <w:b w:val="0"/>
                      <w:bCs/>
                      <w:color w:val="auto"/>
                      <w:vertAlign w:val="baseline"/>
                      <w:lang w:eastAsia="zh-CN"/>
                    </w:rPr>
                  </w:pPr>
                  <w:r>
                    <w:rPr>
                      <w:rFonts w:hint="eastAsia" w:ascii="Times New Roman" w:hAnsi="Times New Roman"/>
                      <w:szCs w:val="21"/>
                    </w:rPr>
                    <w:t>西北</w:t>
                  </w:r>
                </w:p>
              </w:tc>
              <w:tc>
                <w:tcPr>
                  <w:tcW w:w="75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lang w:val="en-US"/>
                    </w:rPr>
                    <w:t>56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3"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紫瓯轩</w:t>
                  </w:r>
                </w:p>
              </w:tc>
              <w:tc>
                <w:tcPr>
                  <w:tcW w:w="95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119.80506</w:t>
                  </w:r>
                </w:p>
              </w:tc>
              <w:tc>
                <w:tcPr>
                  <w:tcW w:w="100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31.26302</w:t>
                  </w:r>
                </w:p>
              </w:tc>
              <w:tc>
                <w:tcPr>
                  <w:tcW w:w="83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居民区</w:t>
                  </w:r>
                </w:p>
              </w:tc>
              <w:tc>
                <w:tcPr>
                  <w:tcW w:w="69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人群</w:t>
                  </w:r>
                </w:p>
              </w:tc>
              <w:tc>
                <w:tcPr>
                  <w:tcW w:w="86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二类区</w:t>
                  </w:r>
                </w:p>
              </w:tc>
              <w:tc>
                <w:tcPr>
                  <w:tcW w:w="139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110户/385人</w:t>
                  </w:r>
                </w:p>
              </w:tc>
              <w:tc>
                <w:tcPr>
                  <w:tcW w:w="820" w:type="dxa"/>
                  <w:tcBorders>
                    <w:tl2br w:val="nil"/>
                    <w:tr2bl w:val="nil"/>
                  </w:tcBorders>
                  <w:noWrap w:val="0"/>
                  <w:vAlign w:val="center"/>
                </w:tcPr>
                <w:p>
                  <w:pPr>
                    <w:pStyle w:val="107"/>
                    <w:widowControl w:val="0"/>
                    <w:rPr>
                      <w:rFonts w:hint="eastAsia" w:hAnsi="宋体"/>
                      <w:b w:val="0"/>
                      <w:bCs/>
                      <w:color w:val="auto"/>
                      <w:vertAlign w:val="baseline"/>
                      <w:lang w:eastAsia="zh-CN"/>
                    </w:rPr>
                  </w:pPr>
                  <w:r>
                    <w:rPr>
                      <w:rFonts w:hint="eastAsia" w:ascii="Times New Roman" w:hAnsi="Times New Roman"/>
                      <w:szCs w:val="21"/>
                    </w:rPr>
                    <w:t>西北</w:t>
                  </w:r>
                </w:p>
              </w:tc>
              <w:tc>
                <w:tcPr>
                  <w:tcW w:w="75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313</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13"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rPr>
                    <w:t>丁山监狱</w:t>
                  </w:r>
                </w:p>
              </w:tc>
              <w:tc>
                <w:tcPr>
                  <w:tcW w:w="95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119.80371</w:t>
                  </w:r>
                </w:p>
              </w:tc>
              <w:tc>
                <w:tcPr>
                  <w:tcW w:w="100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default" w:hAnsi="宋体"/>
                      <w:b w:val="0"/>
                      <w:bCs/>
                      <w:color w:val="auto"/>
                      <w:vertAlign w:val="baseline"/>
                      <w:lang w:val="en-US" w:eastAsia="zh-CN"/>
                    </w:rPr>
                  </w:pPr>
                  <w:r>
                    <w:rPr>
                      <w:rFonts w:hint="eastAsia" w:hAnsi="宋体"/>
                      <w:b w:val="0"/>
                      <w:bCs/>
                      <w:color w:val="auto"/>
                      <w:vertAlign w:val="baseline"/>
                      <w:lang w:val="en-US" w:eastAsia="zh-CN"/>
                    </w:rPr>
                    <w:t>31.25926</w:t>
                  </w:r>
                </w:p>
              </w:tc>
              <w:tc>
                <w:tcPr>
                  <w:tcW w:w="83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居民区</w:t>
                  </w:r>
                </w:p>
              </w:tc>
              <w:tc>
                <w:tcPr>
                  <w:tcW w:w="69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人群</w:t>
                  </w:r>
                </w:p>
              </w:tc>
              <w:tc>
                <w:tcPr>
                  <w:tcW w:w="860" w:type="dxa"/>
                  <w:tcBorders>
                    <w:tl2br w:val="nil"/>
                    <w:tr2bl w:val="nil"/>
                  </w:tcBorders>
                  <w:noWrap w:val="0"/>
                  <w:vAlign w:val="center"/>
                </w:tcPr>
                <w:p>
                  <w:pPr>
                    <w:pStyle w:val="1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hAnsi="宋体"/>
                      <w:b w:val="0"/>
                      <w:bCs/>
                      <w:color w:val="auto"/>
                      <w:vertAlign w:val="baseline"/>
                      <w:lang w:eastAsia="zh-CN"/>
                    </w:rPr>
                  </w:pPr>
                  <w:r>
                    <w:rPr>
                      <w:rFonts w:hint="eastAsia" w:hAnsi="宋体"/>
                      <w:b w:val="0"/>
                      <w:bCs/>
                      <w:color w:val="auto"/>
                      <w:vertAlign w:val="baseline"/>
                      <w:lang w:eastAsia="zh-CN"/>
                    </w:rPr>
                    <w:t>二类区</w:t>
                  </w:r>
                </w:p>
              </w:tc>
              <w:tc>
                <w:tcPr>
                  <w:tcW w:w="139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rPr>
                    <w:t>约</w:t>
                  </w:r>
                  <w:r>
                    <w:rPr>
                      <w:rFonts w:hint="eastAsia"/>
                      <w:szCs w:val="21"/>
                      <w:lang w:val="en-US"/>
                    </w:rPr>
                    <w:t>5800人</w:t>
                  </w:r>
                </w:p>
              </w:tc>
              <w:tc>
                <w:tcPr>
                  <w:tcW w:w="820" w:type="dxa"/>
                  <w:tcBorders>
                    <w:tl2br w:val="nil"/>
                    <w:tr2bl w:val="nil"/>
                  </w:tcBorders>
                  <w:noWrap w:val="0"/>
                  <w:vAlign w:val="center"/>
                </w:tcPr>
                <w:p>
                  <w:pPr>
                    <w:pStyle w:val="107"/>
                    <w:widowControl w:val="0"/>
                    <w:rPr>
                      <w:rFonts w:hint="eastAsia" w:hAnsi="宋体"/>
                      <w:b w:val="0"/>
                      <w:bCs/>
                      <w:color w:val="auto"/>
                      <w:vertAlign w:val="baseline"/>
                      <w:lang w:eastAsia="zh-CN"/>
                    </w:rPr>
                  </w:pPr>
                  <w:r>
                    <w:rPr>
                      <w:rFonts w:hint="eastAsia" w:ascii="Times New Roman" w:hAnsi="Times New Roman"/>
                      <w:szCs w:val="21"/>
                    </w:rPr>
                    <w:t>西南</w:t>
                  </w:r>
                </w:p>
              </w:tc>
              <w:tc>
                <w:tcPr>
                  <w:tcW w:w="750" w:type="dxa"/>
                  <w:tcBorders>
                    <w:tl2br w:val="nil"/>
                    <w:tr2bl w:val="nil"/>
                  </w:tcBorders>
                  <w:noWrap w:val="0"/>
                  <w:vAlign w:val="center"/>
                </w:tcPr>
                <w:p>
                  <w:pPr>
                    <w:jc w:val="center"/>
                    <w:rPr>
                      <w:rFonts w:hint="eastAsia" w:hAnsi="宋体"/>
                      <w:b w:val="0"/>
                      <w:bCs/>
                      <w:color w:val="auto"/>
                      <w:vertAlign w:val="baseline"/>
                      <w:lang w:val="en-US" w:eastAsia="zh-CN"/>
                    </w:rPr>
                  </w:pPr>
                  <w:r>
                    <w:rPr>
                      <w:rFonts w:hint="eastAsia"/>
                      <w:szCs w:val="21"/>
                      <w:lang w:val="en-US"/>
                    </w:rPr>
                    <w:t>220</w:t>
                  </w:r>
                </w:p>
              </w:tc>
            </w:tr>
          </w:tbl>
          <w:p>
            <w:pPr>
              <w:pStyle w:val="114"/>
              <w:keepNext w:val="0"/>
              <w:keepLines w:val="0"/>
              <w:pageBreakBefore w:val="0"/>
              <w:widowControl/>
              <w:numPr>
                <w:ilvl w:val="0"/>
                <w:numId w:val="0"/>
              </w:numPr>
              <w:kinsoku/>
              <w:wordWrap/>
              <w:overflowPunct/>
              <w:topLinePunct w:val="0"/>
              <w:autoSpaceDE/>
              <w:autoSpaceDN/>
              <w:bidi w:val="0"/>
              <w:adjustRightInd w:val="0"/>
              <w:snapToGrid w:val="0"/>
              <w:spacing w:before="157" w:beforeLines="50" w:line="240" w:lineRule="auto"/>
              <w:jc w:val="center"/>
              <w:textAlignment w:val="auto"/>
              <w:rPr>
                <w:rFonts w:hint="eastAsia" w:hAnsi="宋体" w:eastAsia="宋体"/>
                <w:color w:val="auto"/>
                <w:sz w:val="24"/>
                <w:szCs w:val="24"/>
                <w:lang w:eastAsia="zh-CN"/>
              </w:rPr>
            </w:pPr>
            <w:r>
              <w:rPr>
                <w:rFonts w:hAnsi="宋体"/>
                <w:color w:val="auto"/>
                <w:sz w:val="24"/>
                <w:szCs w:val="24"/>
                <w:lang w:val="en-US"/>
              </w:rPr>
              <w:t>表</w:t>
            </w:r>
            <w:r>
              <w:rPr>
                <w:color w:val="auto"/>
                <w:sz w:val="24"/>
                <w:szCs w:val="24"/>
                <w:lang w:val="en-US"/>
              </w:rPr>
              <w:t>3-</w:t>
            </w:r>
            <w:r>
              <w:rPr>
                <w:rFonts w:hint="eastAsia"/>
                <w:color w:val="auto"/>
                <w:sz w:val="24"/>
                <w:szCs w:val="24"/>
                <w:lang w:val="en-US" w:eastAsia="zh-CN"/>
              </w:rPr>
              <w:t>4</w:t>
            </w:r>
            <w:r>
              <w:rPr>
                <w:color w:val="auto"/>
                <w:sz w:val="24"/>
                <w:szCs w:val="24"/>
                <w:lang w:val="en-US"/>
              </w:rPr>
              <w:t xml:space="preserve"> </w:t>
            </w:r>
            <w:r>
              <w:rPr>
                <w:rFonts w:hint="eastAsia" w:hAnsi="宋体"/>
                <w:color w:val="auto"/>
                <w:sz w:val="24"/>
                <w:szCs w:val="24"/>
                <w:lang w:val="en-US" w:eastAsia="zh-CN"/>
              </w:rPr>
              <w:t>周边地表水环境、声环境、生态环境敏感目标表</w:t>
            </w:r>
          </w:p>
          <w:tbl>
            <w:tblPr>
              <w:tblStyle w:val="75"/>
              <w:tblpPr w:leftFromText="180" w:rightFromText="180" w:vertAnchor="text" w:horzAnchor="page" w:tblpX="30" w:tblpY="50"/>
              <w:tblOverlap w:val="never"/>
              <w:tblW w:w="836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114"/>
              <w:gridCol w:w="1018"/>
              <w:gridCol w:w="2078"/>
              <w:gridCol w:w="1412"/>
              <w:gridCol w:w="190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restart"/>
                  <w:vAlign w:val="center"/>
                </w:tcPr>
                <w:p>
                  <w:pPr>
                    <w:pStyle w:val="40"/>
                    <w:jc w:val="center"/>
                    <w:rPr>
                      <w:rFonts w:ascii="Times New Roman" w:hAnsi="Times New Roman"/>
                      <w:b/>
                      <w:szCs w:val="21"/>
                    </w:rPr>
                  </w:pPr>
                  <w:r>
                    <w:rPr>
                      <w:rFonts w:ascii="Times New Roman" w:hAnsi="Times New Roman"/>
                      <w:b/>
                      <w:szCs w:val="21"/>
                    </w:rPr>
                    <w:t>环境要素</w:t>
                  </w:r>
                </w:p>
              </w:tc>
              <w:tc>
                <w:tcPr>
                  <w:tcW w:w="1114" w:type="dxa"/>
                  <w:vMerge w:val="restart"/>
                  <w:vAlign w:val="center"/>
                </w:tcPr>
                <w:p>
                  <w:pPr>
                    <w:pStyle w:val="40"/>
                    <w:jc w:val="center"/>
                    <w:rPr>
                      <w:rFonts w:ascii="Times New Roman" w:hAnsi="Times New Roman"/>
                      <w:b/>
                      <w:szCs w:val="21"/>
                    </w:rPr>
                  </w:pPr>
                  <w:r>
                    <w:rPr>
                      <w:rFonts w:ascii="Times New Roman" w:hAnsi="Times New Roman"/>
                      <w:b/>
                      <w:szCs w:val="21"/>
                    </w:rPr>
                    <w:t>环境敏感目标名称</w:t>
                  </w:r>
                </w:p>
              </w:tc>
              <w:tc>
                <w:tcPr>
                  <w:tcW w:w="1018" w:type="dxa"/>
                  <w:vMerge w:val="restart"/>
                  <w:vAlign w:val="center"/>
                </w:tcPr>
                <w:p>
                  <w:pPr>
                    <w:pStyle w:val="40"/>
                    <w:jc w:val="center"/>
                    <w:rPr>
                      <w:rFonts w:ascii="Times New Roman" w:hAnsi="Times New Roman"/>
                      <w:b/>
                      <w:szCs w:val="21"/>
                    </w:rPr>
                  </w:pPr>
                  <w:r>
                    <w:rPr>
                      <w:rFonts w:ascii="Times New Roman" w:hAnsi="Times New Roman"/>
                      <w:b/>
                      <w:szCs w:val="21"/>
                    </w:rPr>
                    <w:t>方位</w:t>
                  </w:r>
                </w:p>
              </w:tc>
              <w:tc>
                <w:tcPr>
                  <w:tcW w:w="2078" w:type="dxa"/>
                  <w:vAlign w:val="center"/>
                </w:tcPr>
                <w:p>
                  <w:pPr>
                    <w:pStyle w:val="40"/>
                    <w:jc w:val="center"/>
                    <w:rPr>
                      <w:rFonts w:ascii="Times New Roman" w:hAnsi="Times New Roman"/>
                      <w:b/>
                      <w:szCs w:val="21"/>
                    </w:rPr>
                  </w:pPr>
                  <w:r>
                    <w:rPr>
                      <w:rFonts w:hint="eastAsia" w:ascii="Times New Roman" w:hAnsi="Times New Roman"/>
                      <w:b/>
                      <w:szCs w:val="21"/>
                    </w:rPr>
                    <w:t>最近距离（</w:t>
                  </w:r>
                  <w:r>
                    <w:rPr>
                      <w:rFonts w:ascii="Times New Roman" w:hAnsi="Times New Roman"/>
                      <w:b/>
                      <w:szCs w:val="21"/>
                    </w:rPr>
                    <w:t>m</w:t>
                  </w:r>
                  <w:r>
                    <w:rPr>
                      <w:rFonts w:hint="eastAsia" w:ascii="Times New Roman" w:hAnsi="Times New Roman"/>
                      <w:b/>
                      <w:szCs w:val="21"/>
                    </w:rPr>
                    <w:t>）</w:t>
                  </w:r>
                </w:p>
              </w:tc>
              <w:tc>
                <w:tcPr>
                  <w:tcW w:w="1412" w:type="dxa"/>
                  <w:vMerge w:val="restart"/>
                  <w:vAlign w:val="center"/>
                </w:tcPr>
                <w:p>
                  <w:pPr>
                    <w:pStyle w:val="40"/>
                    <w:jc w:val="center"/>
                    <w:rPr>
                      <w:rFonts w:ascii="Times New Roman" w:hAnsi="Times New Roman"/>
                      <w:b/>
                      <w:szCs w:val="21"/>
                    </w:rPr>
                  </w:pPr>
                  <w:r>
                    <w:rPr>
                      <w:rFonts w:ascii="Times New Roman" w:hAnsi="Times New Roman"/>
                      <w:b/>
                      <w:szCs w:val="21"/>
                    </w:rPr>
                    <w:t>规模</w:t>
                  </w:r>
                </w:p>
                <w:p>
                  <w:pPr>
                    <w:pStyle w:val="40"/>
                    <w:jc w:val="center"/>
                    <w:rPr>
                      <w:rFonts w:ascii="Times New Roman" w:hAnsi="Times New Roman"/>
                      <w:b/>
                      <w:szCs w:val="21"/>
                    </w:rPr>
                  </w:pPr>
                  <w:r>
                    <w:rPr>
                      <w:rFonts w:ascii="Times New Roman" w:hAnsi="Times New Roman"/>
                      <w:b/>
                      <w:szCs w:val="21"/>
                    </w:rPr>
                    <w:t>（户/人）</w:t>
                  </w:r>
                </w:p>
              </w:tc>
              <w:tc>
                <w:tcPr>
                  <w:tcW w:w="1900" w:type="dxa"/>
                  <w:vMerge w:val="restart"/>
                  <w:vAlign w:val="center"/>
                </w:tcPr>
                <w:p>
                  <w:pPr>
                    <w:pStyle w:val="40"/>
                    <w:jc w:val="center"/>
                    <w:rPr>
                      <w:rFonts w:ascii="Times New Roman" w:hAnsi="Times New Roman"/>
                      <w:b/>
                      <w:szCs w:val="21"/>
                    </w:rPr>
                  </w:pPr>
                  <w:r>
                    <w:rPr>
                      <w:rFonts w:ascii="Times New Roman" w:hAnsi="Times New Roman"/>
                      <w:b/>
                      <w:szCs w:val="21"/>
                    </w:rPr>
                    <w:t>环境功能</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continue"/>
                  <w:vAlign w:val="center"/>
                </w:tcPr>
                <w:p>
                  <w:pPr>
                    <w:pStyle w:val="40"/>
                    <w:jc w:val="center"/>
                    <w:rPr>
                      <w:rFonts w:ascii="Times New Roman" w:hAnsi="Times New Roman"/>
                      <w:b/>
                      <w:szCs w:val="21"/>
                    </w:rPr>
                  </w:pPr>
                </w:p>
              </w:tc>
              <w:tc>
                <w:tcPr>
                  <w:tcW w:w="1114" w:type="dxa"/>
                  <w:vMerge w:val="continue"/>
                  <w:vAlign w:val="center"/>
                </w:tcPr>
                <w:p>
                  <w:pPr>
                    <w:pStyle w:val="40"/>
                    <w:jc w:val="center"/>
                    <w:rPr>
                      <w:rFonts w:ascii="Times New Roman" w:hAnsi="Times New Roman"/>
                      <w:b/>
                      <w:szCs w:val="21"/>
                    </w:rPr>
                  </w:pPr>
                </w:p>
              </w:tc>
              <w:tc>
                <w:tcPr>
                  <w:tcW w:w="1018" w:type="dxa"/>
                  <w:vMerge w:val="continue"/>
                  <w:vAlign w:val="center"/>
                </w:tcPr>
                <w:p>
                  <w:pPr>
                    <w:pStyle w:val="40"/>
                    <w:jc w:val="center"/>
                    <w:rPr>
                      <w:rFonts w:ascii="Times New Roman" w:hAnsi="Times New Roman"/>
                      <w:b/>
                      <w:szCs w:val="21"/>
                    </w:rPr>
                  </w:pPr>
                </w:p>
              </w:tc>
              <w:tc>
                <w:tcPr>
                  <w:tcW w:w="2078" w:type="dxa"/>
                  <w:vAlign w:val="center"/>
                </w:tcPr>
                <w:p>
                  <w:pPr>
                    <w:pStyle w:val="40"/>
                    <w:jc w:val="center"/>
                    <w:rPr>
                      <w:rFonts w:ascii="Times New Roman" w:hAnsi="Times New Roman"/>
                      <w:b/>
                      <w:szCs w:val="21"/>
                    </w:rPr>
                  </w:pPr>
                  <w:r>
                    <w:rPr>
                      <w:rFonts w:hint="eastAsia" w:ascii="Times New Roman" w:hAnsi="Times New Roman"/>
                      <w:b/>
                      <w:szCs w:val="21"/>
                    </w:rPr>
                    <w:t>距厂界</w:t>
                  </w:r>
                </w:p>
              </w:tc>
              <w:tc>
                <w:tcPr>
                  <w:tcW w:w="1412" w:type="dxa"/>
                  <w:vMerge w:val="continue"/>
                  <w:vAlign w:val="center"/>
                </w:tcPr>
                <w:p>
                  <w:pPr>
                    <w:pStyle w:val="40"/>
                    <w:jc w:val="center"/>
                    <w:rPr>
                      <w:rFonts w:ascii="Times New Roman" w:hAnsi="Times New Roman"/>
                      <w:b/>
                      <w:szCs w:val="21"/>
                    </w:rPr>
                  </w:pPr>
                </w:p>
              </w:tc>
              <w:tc>
                <w:tcPr>
                  <w:tcW w:w="1900" w:type="dxa"/>
                  <w:vMerge w:val="continue"/>
                  <w:vAlign w:val="center"/>
                </w:tcPr>
                <w:p>
                  <w:pPr>
                    <w:pStyle w:val="40"/>
                    <w:jc w:val="center"/>
                    <w:rPr>
                      <w:rFonts w:ascii="Times New Roman" w:hAnsi="Times New Roman"/>
                      <w:b/>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restart"/>
                  <w:vAlign w:val="center"/>
                </w:tcPr>
                <w:p>
                  <w:pPr>
                    <w:pStyle w:val="40"/>
                    <w:jc w:val="center"/>
                    <w:rPr>
                      <w:rFonts w:ascii="Times New Roman" w:hAnsi="Times New Roman"/>
                      <w:szCs w:val="21"/>
                    </w:rPr>
                  </w:pPr>
                  <w:r>
                    <w:rPr>
                      <w:rFonts w:hint="eastAsia" w:ascii="Times New Roman" w:hAnsi="Times New Roman"/>
                      <w:szCs w:val="21"/>
                    </w:rPr>
                    <w:t>水环境</w:t>
                  </w:r>
                </w:p>
              </w:tc>
              <w:tc>
                <w:tcPr>
                  <w:tcW w:w="1114" w:type="dxa"/>
                  <w:vMerge w:val="restart"/>
                  <w:vAlign w:val="center"/>
                </w:tcPr>
                <w:p>
                  <w:pPr>
                    <w:pStyle w:val="40"/>
                    <w:jc w:val="center"/>
                    <w:rPr>
                      <w:rFonts w:ascii="Times New Roman" w:hAnsi="Times New Roman"/>
                      <w:szCs w:val="21"/>
                    </w:rPr>
                  </w:pPr>
                  <w:r>
                    <w:rPr>
                      <w:rFonts w:hint="eastAsia" w:ascii="Times New Roman" w:hAnsi="Times New Roman"/>
                      <w:szCs w:val="21"/>
                    </w:rPr>
                    <w:t>湖塘</w:t>
                  </w:r>
                </w:p>
              </w:tc>
              <w:tc>
                <w:tcPr>
                  <w:tcW w:w="1018" w:type="dxa"/>
                  <w:vAlign w:val="center"/>
                </w:tcPr>
                <w:p>
                  <w:pPr>
                    <w:jc w:val="center"/>
                    <w:rPr>
                      <w:szCs w:val="21"/>
                      <w:lang w:val="en-US"/>
                    </w:rPr>
                  </w:pPr>
                  <w:r>
                    <w:rPr>
                      <w:rFonts w:hint="eastAsia"/>
                      <w:szCs w:val="21"/>
                      <w:lang w:val="en-US"/>
                    </w:rPr>
                    <w:t>东北</w:t>
                  </w:r>
                </w:p>
              </w:tc>
              <w:tc>
                <w:tcPr>
                  <w:tcW w:w="2078" w:type="dxa"/>
                  <w:vAlign w:val="center"/>
                </w:tcPr>
                <w:p>
                  <w:pPr>
                    <w:jc w:val="center"/>
                    <w:rPr>
                      <w:szCs w:val="21"/>
                      <w:lang w:val="en-US"/>
                    </w:rPr>
                  </w:pPr>
                  <w:r>
                    <w:rPr>
                      <w:rFonts w:hint="eastAsia"/>
                      <w:szCs w:val="21"/>
                      <w:lang w:val="en-US"/>
                    </w:rPr>
                    <w:t>154</w:t>
                  </w:r>
                </w:p>
              </w:tc>
              <w:tc>
                <w:tcPr>
                  <w:tcW w:w="1412" w:type="dxa"/>
                  <w:vAlign w:val="center"/>
                </w:tcPr>
                <w:p>
                  <w:pPr>
                    <w:pStyle w:val="40"/>
                    <w:jc w:val="center"/>
                    <w:rPr>
                      <w:rFonts w:ascii="Times New Roman" w:hAnsi="Times New Roman"/>
                      <w:szCs w:val="21"/>
                    </w:rPr>
                  </w:pPr>
                  <w:r>
                    <w:rPr>
                      <w:rFonts w:ascii="Times New Roman" w:hAnsi="Times New Roman"/>
                      <w:szCs w:val="21"/>
                    </w:rPr>
                    <w:t>/</w:t>
                  </w:r>
                </w:p>
              </w:tc>
              <w:tc>
                <w:tcPr>
                  <w:tcW w:w="1900" w:type="dxa"/>
                  <w:vMerge w:val="restart"/>
                  <w:vAlign w:val="center"/>
                </w:tcPr>
                <w:p>
                  <w:pPr>
                    <w:pStyle w:val="40"/>
                    <w:jc w:val="center"/>
                    <w:rPr>
                      <w:rFonts w:ascii="Times New Roman" w:hAnsi="Times New Roman"/>
                      <w:szCs w:val="21"/>
                    </w:rPr>
                  </w:pPr>
                  <w:r>
                    <w:rPr>
                      <w:rFonts w:hint="eastAsia" w:ascii="Times New Roman" w:hAnsi="Times New Roman"/>
                      <w:szCs w:val="21"/>
                    </w:rPr>
                    <w:t>《地表水环境质量标准》（</w:t>
                  </w:r>
                  <w:r>
                    <w:rPr>
                      <w:rFonts w:ascii="Times New Roman" w:hAnsi="Times New Roman"/>
                      <w:szCs w:val="21"/>
                    </w:rPr>
                    <w:t>GB3096- 2008</w:t>
                  </w:r>
                  <w:r>
                    <w:rPr>
                      <w:rFonts w:hint="eastAsia" w:ascii="Times New Roman" w:hAnsi="Times New Roman"/>
                      <w:szCs w:val="21"/>
                    </w:rPr>
                    <w:t>）中Ⅲ类标准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continue"/>
                  <w:vAlign w:val="center"/>
                </w:tcPr>
                <w:p>
                  <w:pPr>
                    <w:pStyle w:val="40"/>
                    <w:jc w:val="center"/>
                    <w:rPr>
                      <w:rFonts w:ascii="Times New Roman" w:hAnsi="Times New Roman"/>
                      <w:szCs w:val="21"/>
                    </w:rPr>
                  </w:pPr>
                </w:p>
              </w:tc>
              <w:tc>
                <w:tcPr>
                  <w:tcW w:w="1114" w:type="dxa"/>
                  <w:vMerge w:val="continue"/>
                  <w:vAlign w:val="center"/>
                </w:tcPr>
                <w:p>
                  <w:pPr>
                    <w:pStyle w:val="40"/>
                    <w:jc w:val="center"/>
                    <w:rPr>
                      <w:rFonts w:ascii="Times New Roman" w:hAnsi="Times New Roman"/>
                      <w:szCs w:val="21"/>
                    </w:rPr>
                  </w:pPr>
                </w:p>
              </w:tc>
              <w:tc>
                <w:tcPr>
                  <w:tcW w:w="1018" w:type="dxa"/>
                  <w:vAlign w:val="center"/>
                </w:tcPr>
                <w:p>
                  <w:pPr>
                    <w:jc w:val="center"/>
                    <w:rPr>
                      <w:szCs w:val="21"/>
                      <w:lang w:val="en-US"/>
                    </w:rPr>
                  </w:pPr>
                  <w:r>
                    <w:rPr>
                      <w:rFonts w:hint="eastAsia"/>
                      <w:szCs w:val="21"/>
                      <w:lang w:val="en-US"/>
                    </w:rPr>
                    <w:t>东北</w:t>
                  </w:r>
                </w:p>
              </w:tc>
              <w:tc>
                <w:tcPr>
                  <w:tcW w:w="2078" w:type="dxa"/>
                  <w:vAlign w:val="center"/>
                </w:tcPr>
                <w:p>
                  <w:pPr>
                    <w:jc w:val="center"/>
                    <w:rPr>
                      <w:szCs w:val="21"/>
                      <w:lang w:val="en-US"/>
                    </w:rPr>
                  </w:pPr>
                  <w:r>
                    <w:rPr>
                      <w:rFonts w:hint="eastAsia"/>
                      <w:szCs w:val="21"/>
                      <w:lang w:val="en-US"/>
                    </w:rPr>
                    <w:t>337</w:t>
                  </w:r>
                </w:p>
              </w:tc>
              <w:tc>
                <w:tcPr>
                  <w:tcW w:w="1412" w:type="dxa"/>
                  <w:vAlign w:val="center"/>
                </w:tcPr>
                <w:p>
                  <w:pPr>
                    <w:pStyle w:val="40"/>
                    <w:jc w:val="center"/>
                    <w:rPr>
                      <w:rFonts w:ascii="Times New Roman" w:hAnsi="Times New Roman"/>
                      <w:szCs w:val="21"/>
                    </w:rPr>
                  </w:pPr>
                  <w:r>
                    <w:rPr>
                      <w:rFonts w:hint="eastAsia" w:ascii="Times New Roman" w:hAnsi="Times New Roman"/>
                      <w:szCs w:val="21"/>
                    </w:rPr>
                    <w:t>/</w:t>
                  </w:r>
                </w:p>
              </w:tc>
              <w:tc>
                <w:tcPr>
                  <w:tcW w:w="1900" w:type="dxa"/>
                  <w:vMerge w:val="continue"/>
                  <w:vAlign w:val="center"/>
                </w:tcPr>
                <w:p>
                  <w:pPr>
                    <w:pStyle w:val="40"/>
                    <w:jc w:val="center"/>
                    <w:rPr>
                      <w:rFonts w:ascii="Times New Roman" w:hAnsi="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restart"/>
                  <w:vAlign w:val="center"/>
                </w:tcPr>
                <w:p>
                  <w:pPr>
                    <w:pStyle w:val="40"/>
                    <w:jc w:val="center"/>
                    <w:rPr>
                      <w:rFonts w:ascii="Times New Roman" w:hAnsi="Times New Roman"/>
                      <w:szCs w:val="21"/>
                    </w:rPr>
                  </w:pPr>
                  <w:r>
                    <w:rPr>
                      <w:rFonts w:hint="eastAsia" w:ascii="Times New Roman" w:hAnsi="Times New Roman"/>
                      <w:szCs w:val="21"/>
                    </w:rPr>
                    <w:t>声环境</w:t>
                  </w:r>
                </w:p>
              </w:tc>
              <w:tc>
                <w:tcPr>
                  <w:tcW w:w="1114" w:type="dxa"/>
                  <w:vAlign w:val="center"/>
                </w:tcPr>
                <w:p>
                  <w:pPr>
                    <w:jc w:val="center"/>
                    <w:rPr>
                      <w:szCs w:val="21"/>
                    </w:rPr>
                  </w:pPr>
                  <w:r>
                    <w:rPr>
                      <w:rFonts w:hint="eastAsia"/>
                      <w:szCs w:val="21"/>
                    </w:rPr>
                    <w:t>四条岭</w:t>
                  </w:r>
                </w:p>
              </w:tc>
              <w:tc>
                <w:tcPr>
                  <w:tcW w:w="1018" w:type="dxa"/>
                  <w:vAlign w:val="center"/>
                </w:tcPr>
                <w:p>
                  <w:pPr>
                    <w:pStyle w:val="107"/>
                    <w:rPr>
                      <w:rFonts w:ascii="Times New Roman" w:hAnsi="Times New Roman"/>
                      <w:szCs w:val="21"/>
                    </w:rPr>
                  </w:pPr>
                  <w:r>
                    <w:rPr>
                      <w:rFonts w:hint="eastAsia" w:ascii="Times New Roman" w:hAnsi="Times New Roman"/>
                      <w:szCs w:val="21"/>
                    </w:rPr>
                    <w:t>北</w:t>
                  </w:r>
                </w:p>
              </w:tc>
              <w:tc>
                <w:tcPr>
                  <w:tcW w:w="2078" w:type="dxa"/>
                  <w:vAlign w:val="center"/>
                </w:tcPr>
                <w:p>
                  <w:pPr>
                    <w:jc w:val="center"/>
                    <w:rPr>
                      <w:szCs w:val="21"/>
                      <w:lang w:val="en-US"/>
                    </w:rPr>
                  </w:pPr>
                  <w:r>
                    <w:rPr>
                      <w:rFonts w:hint="eastAsia"/>
                      <w:szCs w:val="21"/>
                      <w:lang w:val="en-US"/>
                    </w:rPr>
                    <w:t>62</w:t>
                  </w:r>
                </w:p>
              </w:tc>
              <w:tc>
                <w:tcPr>
                  <w:tcW w:w="1412" w:type="dxa"/>
                  <w:vAlign w:val="center"/>
                </w:tcPr>
                <w:p>
                  <w:pPr>
                    <w:jc w:val="center"/>
                    <w:rPr>
                      <w:szCs w:val="21"/>
                    </w:rPr>
                  </w:pPr>
                  <w:r>
                    <w:rPr>
                      <w:rFonts w:hint="eastAsia"/>
                      <w:szCs w:val="21"/>
                      <w:lang w:val="en-US"/>
                    </w:rPr>
                    <w:t>48户/168人</w:t>
                  </w:r>
                </w:p>
              </w:tc>
              <w:tc>
                <w:tcPr>
                  <w:tcW w:w="1900" w:type="dxa"/>
                  <w:vMerge w:val="restart"/>
                  <w:vAlign w:val="center"/>
                </w:tcPr>
                <w:p>
                  <w:pPr>
                    <w:pStyle w:val="40"/>
                    <w:jc w:val="center"/>
                    <w:rPr>
                      <w:rFonts w:ascii="Times New Roman" w:hAnsi="Times New Roman"/>
                      <w:szCs w:val="21"/>
                    </w:rPr>
                  </w:pPr>
                  <w:r>
                    <w:rPr>
                      <w:rFonts w:ascii="Times New Roman" w:hAnsi="Times New Roman"/>
                      <w:szCs w:val="21"/>
                    </w:rPr>
                    <w:t>GB 3096-2008中</w:t>
                  </w:r>
                  <w:r>
                    <w:rPr>
                      <w:rFonts w:hint="eastAsia" w:ascii="Times New Roman" w:hAnsi="Times New Roman"/>
                      <w:szCs w:val="21"/>
                      <w:lang w:val="en-US" w:eastAsia="zh-CN"/>
                    </w:rPr>
                    <w:t>2</w:t>
                  </w:r>
                  <w:r>
                    <w:rPr>
                      <w:rFonts w:ascii="Times New Roman" w:hAnsi="Times New Roman"/>
                      <w:szCs w:val="21"/>
                    </w:rPr>
                    <w:t>类</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Merge w:val="continue"/>
                  <w:vAlign w:val="center"/>
                </w:tcPr>
                <w:p>
                  <w:pPr>
                    <w:pStyle w:val="40"/>
                    <w:jc w:val="center"/>
                    <w:rPr>
                      <w:rFonts w:ascii="Times New Roman" w:hAnsi="Times New Roman"/>
                      <w:szCs w:val="21"/>
                    </w:rPr>
                  </w:pPr>
                </w:p>
              </w:tc>
              <w:tc>
                <w:tcPr>
                  <w:tcW w:w="1114" w:type="dxa"/>
                  <w:vAlign w:val="center"/>
                </w:tcPr>
                <w:p>
                  <w:pPr>
                    <w:jc w:val="center"/>
                    <w:rPr>
                      <w:szCs w:val="21"/>
                    </w:rPr>
                  </w:pPr>
                  <w:r>
                    <w:rPr>
                      <w:rFonts w:hint="eastAsia"/>
                      <w:szCs w:val="21"/>
                      <w:lang w:val="en-US"/>
                    </w:rPr>
                    <w:t>四条岭</w:t>
                  </w:r>
                </w:p>
              </w:tc>
              <w:tc>
                <w:tcPr>
                  <w:tcW w:w="1018" w:type="dxa"/>
                  <w:vAlign w:val="center"/>
                </w:tcPr>
                <w:p>
                  <w:pPr>
                    <w:pStyle w:val="107"/>
                    <w:widowControl w:val="0"/>
                    <w:rPr>
                      <w:rFonts w:ascii="Times New Roman" w:hAnsi="Times New Roman"/>
                      <w:szCs w:val="21"/>
                    </w:rPr>
                  </w:pPr>
                  <w:r>
                    <w:rPr>
                      <w:rFonts w:hint="eastAsia" w:ascii="Times New Roman" w:hAnsi="Times New Roman"/>
                      <w:szCs w:val="21"/>
                    </w:rPr>
                    <w:t>西北</w:t>
                  </w:r>
                </w:p>
              </w:tc>
              <w:tc>
                <w:tcPr>
                  <w:tcW w:w="2078" w:type="dxa"/>
                  <w:vAlign w:val="center"/>
                </w:tcPr>
                <w:p>
                  <w:pPr>
                    <w:jc w:val="center"/>
                    <w:rPr>
                      <w:szCs w:val="21"/>
                      <w:lang w:val="en-US"/>
                    </w:rPr>
                  </w:pPr>
                  <w:r>
                    <w:rPr>
                      <w:rFonts w:hint="eastAsia"/>
                      <w:szCs w:val="21"/>
                      <w:lang w:val="en-US"/>
                    </w:rPr>
                    <w:t>56</w:t>
                  </w:r>
                </w:p>
              </w:tc>
              <w:tc>
                <w:tcPr>
                  <w:tcW w:w="1412" w:type="dxa"/>
                  <w:vAlign w:val="center"/>
                </w:tcPr>
                <w:p>
                  <w:pPr>
                    <w:jc w:val="center"/>
                    <w:rPr>
                      <w:szCs w:val="21"/>
                    </w:rPr>
                  </w:pPr>
                  <w:r>
                    <w:rPr>
                      <w:rFonts w:hint="eastAsia"/>
                      <w:szCs w:val="21"/>
                      <w:lang w:val="en-US"/>
                    </w:rPr>
                    <w:t>10户/35人</w:t>
                  </w:r>
                </w:p>
              </w:tc>
              <w:tc>
                <w:tcPr>
                  <w:tcW w:w="1900" w:type="dxa"/>
                  <w:vMerge w:val="continue"/>
                  <w:vAlign w:val="center"/>
                </w:tcPr>
                <w:p>
                  <w:pPr>
                    <w:pStyle w:val="40"/>
                    <w:jc w:val="center"/>
                    <w:rPr>
                      <w:rFonts w:ascii="Times New Roman" w:hAnsi="Times New Roman"/>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40" w:type="dxa"/>
                  <w:vAlign w:val="center"/>
                </w:tcPr>
                <w:p>
                  <w:pPr>
                    <w:pStyle w:val="40"/>
                    <w:jc w:val="center"/>
                    <w:rPr>
                      <w:rFonts w:ascii="Times New Roman" w:hAnsi="Times New Roman"/>
                      <w:szCs w:val="21"/>
                    </w:rPr>
                  </w:pPr>
                  <w:r>
                    <w:rPr>
                      <w:rFonts w:hint="eastAsia" w:ascii="Times New Roman" w:hAnsi="Times New Roman"/>
                      <w:szCs w:val="21"/>
                    </w:rPr>
                    <w:t>生态环境</w:t>
                  </w:r>
                </w:p>
              </w:tc>
              <w:tc>
                <w:tcPr>
                  <w:tcW w:w="1114" w:type="dxa"/>
                  <w:vAlign w:val="center"/>
                </w:tcPr>
                <w:p>
                  <w:pPr>
                    <w:pStyle w:val="40"/>
                    <w:jc w:val="center"/>
                    <w:rPr>
                      <w:rFonts w:ascii="Times New Roman" w:hAnsi="Times New Roman"/>
                    </w:rPr>
                  </w:pPr>
                  <w:r>
                    <w:rPr>
                      <w:rFonts w:hint="eastAsia" w:ascii="Times New Roman" w:hAnsi="Times New Roman"/>
                    </w:rPr>
                    <w:t>太湖（宜兴市）重要保护区</w:t>
                  </w:r>
                </w:p>
              </w:tc>
              <w:tc>
                <w:tcPr>
                  <w:tcW w:w="1018" w:type="dxa"/>
                  <w:vAlign w:val="center"/>
                </w:tcPr>
                <w:p>
                  <w:pPr>
                    <w:pStyle w:val="40"/>
                    <w:jc w:val="center"/>
                    <w:rPr>
                      <w:rFonts w:ascii="Times New Roman" w:hAnsi="Times New Roman"/>
                      <w:szCs w:val="21"/>
                    </w:rPr>
                  </w:pPr>
                  <w:r>
                    <w:rPr>
                      <w:rFonts w:hint="eastAsia" w:ascii="Times New Roman" w:hAnsi="Times New Roman"/>
                      <w:szCs w:val="21"/>
                    </w:rPr>
                    <w:t>东</w:t>
                  </w:r>
                </w:p>
              </w:tc>
              <w:tc>
                <w:tcPr>
                  <w:tcW w:w="2078" w:type="dxa"/>
                  <w:vAlign w:val="center"/>
                </w:tcPr>
                <w:p>
                  <w:pPr>
                    <w:pStyle w:val="40"/>
                    <w:jc w:val="center"/>
                    <w:rPr>
                      <w:rFonts w:ascii="Times New Roman" w:hAnsi="Times New Roman"/>
                      <w:szCs w:val="21"/>
                    </w:rPr>
                  </w:pPr>
                  <w:r>
                    <w:rPr>
                      <w:rFonts w:hint="eastAsia" w:ascii="Times New Roman" w:hAnsi="Times New Roman"/>
                      <w:szCs w:val="21"/>
                    </w:rPr>
                    <w:t>4600</w:t>
                  </w:r>
                </w:p>
              </w:tc>
              <w:tc>
                <w:tcPr>
                  <w:tcW w:w="1412" w:type="dxa"/>
                  <w:vAlign w:val="center"/>
                </w:tcPr>
                <w:p>
                  <w:pPr>
                    <w:pStyle w:val="40"/>
                    <w:jc w:val="center"/>
                    <w:rPr>
                      <w:rFonts w:ascii="Times New Roman" w:hAnsi="Times New Roman"/>
                      <w:szCs w:val="21"/>
                    </w:rPr>
                  </w:pPr>
                  <w:r>
                    <w:rPr>
                      <w:rFonts w:ascii="Times New Roman" w:hAnsi="Times New Roman"/>
                      <w:szCs w:val="21"/>
                      <w:lang w:val="fi-FI"/>
                    </w:rPr>
                    <w:t>/</w:t>
                  </w:r>
                </w:p>
              </w:tc>
              <w:tc>
                <w:tcPr>
                  <w:tcW w:w="1900" w:type="dxa"/>
                  <w:vAlign w:val="center"/>
                </w:tcPr>
                <w:p>
                  <w:pPr>
                    <w:pStyle w:val="40"/>
                    <w:jc w:val="center"/>
                    <w:rPr>
                      <w:rFonts w:ascii="Times New Roman" w:hAnsi="Times New Roman"/>
                      <w:szCs w:val="21"/>
                    </w:rPr>
                  </w:pPr>
                  <w:r>
                    <w:rPr>
                      <w:rFonts w:hint="eastAsia" w:ascii="Times New Roman" w:hAnsi="Times New Roman"/>
                      <w:szCs w:val="21"/>
                    </w:rPr>
                    <w:t>太湖（宜兴市）重要保护区二级管控区</w:t>
                  </w:r>
                </w:p>
              </w:tc>
            </w:tr>
          </w:tbl>
          <w:p>
            <w:pPr>
              <w:pStyle w:val="114"/>
              <w:widowControl w:val="0"/>
              <w:numPr>
                <w:ilvl w:val="0"/>
                <w:numId w:val="0"/>
              </w:numPr>
              <w:spacing w:line="360" w:lineRule="auto"/>
              <w:rPr>
                <w:rFonts w:hAnsi="宋体"/>
              </w:rPr>
            </w:pPr>
          </w:p>
          <w:p>
            <w:pPr>
              <w:rPr>
                <w:sz w:val="24"/>
              </w:rPr>
            </w:pPr>
          </w:p>
          <w:p>
            <w:pPr>
              <w:rPr>
                <w:sz w:val="24"/>
              </w:rPr>
            </w:pPr>
          </w:p>
        </w:tc>
      </w:tr>
    </w:tbl>
    <w:p>
      <w:pPr>
        <w:spacing w:before="120" w:beforeLines="50" w:line="360" w:lineRule="auto"/>
        <w:ind w:firstLine="640" w:firstLineChars="200"/>
        <w:rPr>
          <w:bCs/>
          <w:kern w:val="0"/>
          <w:sz w:val="32"/>
          <w:szCs w:val="32"/>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27" w:name="_Toc367970633"/>
      <w:bookmarkStart w:id="28" w:name="_Toc367970388"/>
      <w:bookmarkStart w:id="29" w:name="_Toc367970827"/>
    </w:p>
    <w:p>
      <w:pPr>
        <w:pStyle w:val="4"/>
        <w:jc w:val="both"/>
        <w:rPr>
          <w:bCs w:val="0"/>
          <w:spacing w:val="0"/>
          <w:kern w:val="0"/>
          <w:sz w:val="32"/>
          <w:szCs w:val="32"/>
        </w:rPr>
      </w:pPr>
      <w:bookmarkStart w:id="30" w:name="_Toc29962"/>
      <w:r>
        <w:rPr>
          <w:bCs w:val="0"/>
          <w:spacing w:val="0"/>
          <w:kern w:val="0"/>
          <w:sz w:val="32"/>
          <w:szCs w:val="32"/>
        </w:rPr>
        <w:t>4</w:t>
      </w:r>
      <w:r>
        <w:rPr>
          <w:rFonts w:hAnsi="宋体"/>
          <w:bCs w:val="0"/>
          <w:spacing w:val="0"/>
          <w:kern w:val="0"/>
          <w:sz w:val="32"/>
          <w:szCs w:val="32"/>
        </w:rPr>
        <w:t>、评价适用标准</w:t>
      </w:r>
      <w:bookmarkEnd w:id="25"/>
      <w:bookmarkEnd w:id="26"/>
      <w:bookmarkEnd w:id="27"/>
      <w:bookmarkEnd w:id="28"/>
      <w:bookmarkEnd w:id="29"/>
      <w:bookmarkEnd w:id="30"/>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1" w:hRule="atLeast"/>
          <w:jc w:val="center"/>
        </w:trPr>
        <w:tc>
          <w:tcPr>
            <w:tcW w:w="456" w:type="dxa"/>
            <w:vAlign w:val="center"/>
          </w:tcPr>
          <w:p>
            <w:pPr>
              <w:pStyle w:val="156"/>
              <w:tabs>
                <w:tab w:val="left" w:pos="5400"/>
              </w:tabs>
              <w:spacing w:beforeLines="0" w:afterLines="0" w:line="360" w:lineRule="auto"/>
              <w:rPr>
                <w:rFonts w:eastAsia="宋体"/>
                <w:kern w:val="0"/>
              </w:rPr>
            </w:pPr>
            <w:r>
              <w:rPr>
                <w:rFonts w:eastAsia="宋体"/>
                <w:kern w:val="0"/>
              </w:rPr>
              <w:t>环</w:t>
            </w:r>
          </w:p>
          <w:p>
            <w:pPr>
              <w:pStyle w:val="156"/>
              <w:tabs>
                <w:tab w:val="left" w:pos="5400"/>
              </w:tabs>
              <w:spacing w:beforeLines="0" w:afterLines="0" w:line="360" w:lineRule="auto"/>
              <w:rPr>
                <w:rFonts w:eastAsia="宋体"/>
                <w:kern w:val="0"/>
              </w:rPr>
            </w:pPr>
            <w:r>
              <w:rPr>
                <w:rFonts w:eastAsia="宋体"/>
                <w:kern w:val="0"/>
              </w:rPr>
              <w:t>境</w:t>
            </w:r>
          </w:p>
          <w:p>
            <w:pPr>
              <w:pStyle w:val="156"/>
              <w:tabs>
                <w:tab w:val="left" w:pos="5400"/>
              </w:tabs>
              <w:spacing w:beforeLines="0" w:afterLines="0" w:line="360" w:lineRule="auto"/>
              <w:rPr>
                <w:rFonts w:eastAsia="宋体"/>
                <w:kern w:val="0"/>
              </w:rPr>
            </w:pPr>
            <w:r>
              <w:rPr>
                <w:rFonts w:eastAsia="宋体"/>
                <w:kern w:val="0"/>
              </w:rPr>
              <w:t>质</w:t>
            </w:r>
          </w:p>
          <w:p>
            <w:pPr>
              <w:pStyle w:val="156"/>
              <w:tabs>
                <w:tab w:val="left" w:pos="5400"/>
              </w:tabs>
              <w:spacing w:beforeLines="0" w:afterLines="0" w:line="360" w:lineRule="auto"/>
              <w:rPr>
                <w:rFonts w:eastAsia="宋体"/>
                <w:kern w:val="0"/>
              </w:rPr>
            </w:pPr>
            <w:r>
              <w:rPr>
                <w:rFonts w:eastAsia="宋体"/>
                <w:kern w:val="0"/>
              </w:rPr>
              <w:t>量</w:t>
            </w:r>
          </w:p>
          <w:p>
            <w:pPr>
              <w:pStyle w:val="156"/>
              <w:tabs>
                <w:tab w:val="left" w:pos="5400"/>
              </w:tabs>
              <w:spacing w:beforeLines="0" w:afterLines="0" w:line="360" w:lineRule="auto"/>
              <w:rPr>
                <w:rFonts w:eastAsia="宋体"/>
                <w:kern w:val="0"/>
              </w:rPr>
            </w:pPr>
            <w:r>
              <w:rPr>
                <w:rFonts w:eastAsia="宋体"/>
                <w:kern w:val="0"/>
              </w:rPr>
              <w:t>标</w:t>
            </w:r>
          </w:p>
          <w:p>
            <w:pPr>
              <w:pStyle w:val="156"/>
              <w:tabs>
                <w:tab w:val="left" w:pos="5400"/>
              </w:tabs>
              <w:spacing w:beforeLines="0" w:afterLines="0" w:line="360" w:lineRule="auto"/>
              <w:rPr>
                <w:rFonts w:eastAsia="宋体"/>
                <w:kern w:val="0"/>
                <w:highlight w:val="red"/>
              </w:rPr>
            </w:pPr>
            <w:r>
              <w:rPr>
                <w:rFonts w:eastAsia="宋体"/>
                <w:kern w:val="0"/>
              </w:rPr>
              <w:t>准</w:t>
            </w:r>
          </w:p>
        </w:tc>
        <w:tc>
          <w:tcPr>
            <w:tcW w:w="8073" w:type="dxa"/>
          </w:tcPr>
          <w:p>
            <w:pPr>
              <w:spacing w:line="360" w:lineRule="auto"/>
              <w:ind w:firstLine="480" w:firstLineChars="200"/>
              <w:rPr>
                <w:bCs/>
                <w:sz w:val="24"/>
              </w:rPr>
            </w:pPr>
            <w:r>
              <w:rPr>
                <w:bCs/>
                <w:sz w:val="24"/>
              </w:rPr>
              <w:t>1、大气</w:t>
            </w:r>
          </w:p>
          <w:p>
            <w:pPr>
              <w:spacing w:line="360" w:lineRule="auto"/>
              <w:ind w:firstLine="480" w:firstLineChars="200"/>
              <w:rPr>
                <w:bCs/>
                <w:sz w:val="24"/>
              </w:rPr>
            </w:pPr>
            <w:r>
              <w:rPr>
                <w:bCs/>
                <w:sz w:val="24"/>
              </w:rPr>
              <w:t>项目所在地附近的大气环境执行《环境空气质量标准》（GB3095-2012）</w:t>
            </w:r>
            <w:r>
              <w:rPr>
                <w:rFonts w:hint="eastAsia"/>
                <w:bCs/>
                <w:sz w:val="24"/>
                <w:lang w:eastAsia="zh-CN"/>
              </w:rPr>
              <w:t>及</w:t>
            </w:r>
            <w:r>
              <w:rPr>
                <w:rFonts w:hint="eastAsia"/>
                <w:bCs/>
                <w:sz w:val="24"/>
                <w:lang w:val="en-US" w:eastAsia="zh-CN"/>
              </w:rPr>
              <w:t>2018年修改单</w:t>
            </w:r>
            <w:r>
              <w:rPr>
                <w:bCs/>
                <w:sz w:val="24"/>
              </w:rPr>
              <w:t>二级标准。具体标准值见表4-1。</w:t>
            </w:r>
          </w:p>
          <w:p>
            <w:pPr>
              <w:pStyle w:val="134"/>
              <w:widowControl w:val="0"/>
              <w:numPr>
                <w:ilvl w:val="0"/>
                <w:numId w:val="0"/>
              </w:numPr>
              <w:rPr>
                <w:rFonts w:hAnsi="Times New Roman"/>
                <w:sz w:val="24"/>
                <w:szCs w:val="24"/>
                <w:lang w:val="fi-FI"/>
              </w:rPr>
            </w:pPr>
            <w:r>
              <w:rPr>
                <w:rFonts w:hAnsi="Times New Roman"/>
                <w:sz w:val="24"/>
                <w:szCs w:val="24"/>
              </w:rPr>
              <w:t xml:space="preserve">表4-1 </w:t>
            </w:r>
            <w:r>
              <w:rPr>
                <w:rFonts w:hint="eastAsia" w:hAnsi="Times New Roman"/>
                <w:sz w:val="24"/>
                <w:szCs w:val="24"/>
              </w:rPr>
              <w:t xml:space="preserve"> 环境空气质量标准限值表</w:t>
            </w:r>
          </w:p>
          <w:tbl>
            <w:tblPr>
              <w:tblStyle w:val="76"/>
              <w:tblW w:w="7833" w:type="dxa"/>
              <w:jc w:val="center"/>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11"/>
              <w:gridCol w:w="1586"/>
              <w:gridCol w:w="1218"/>
              <w:gridCol w:w="1341"/>
              <w:gridCol w:w="893"/>
            </w:tblGrid>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Merge w:val="restart"/>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区域</w:t>
                  </w:r>
                  <w:r>
                    <w:rPr>
                      <w:b/>
                      <w:color w:val="000000"/>
                      <w:sz w:val="21"/>
                      <w:szCs w:val="21"/>
                    </w:rPr>
                    <w:t>名称</w:t>
                  </w:r>
                </w:p>
              </w:tc>
              <w:tc>
                <w:tcPr>
                  <w:tcW w:w="2011" w:type="dxa"/>
                  <w:vMerge w:val="restart"/>
                  <w:tcBorders>
                    <w:tl2br w:val="nil"/>
                    <w:tr2bl w:val="nil"/>
                  </w:tcBorders>
                  <w:vAlign w:val="center"/>
                </w:tcPr>
                <w:p>
                  <w:pPr>
                    <w:pStyle w:val="59"/>
                    <w:adjustRightInd w:val="0"/>
                    <w:snapToGrid w:val="0"/>
                    <w:spacing w:after="0" w:line="240" w:lineRule="auto"/>
                    <w:rPr>
                      <w:b/>
                      <w:color w:val="000000"/>
                      <w:sz w:val="21"/>
                      <w:szCs w:val="21"/>
                    </w:rPr>
                  </w:pPr>
                  <w:r>
                    <w:rPr>
                      <w:rFonts w:hint="eastAsia"/>
                      <w:b/>
                      <w:color w:val="000000"/>
                      <w:sz w:val="21"/>
                      <w:szCs w:val="21"/>
                    </w:rPr>
                    <w:t>执行标准</w:t>
                  </w:r>
                </w:p>
              </w:tc>
              <w:tc>
                <w:tcPr>
                  <w:tcW w:w="1586" w:type="dxa"/>
                  <w:vMerge w:val="restart"/>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污染物</w:t>
                  </w:r>
                  <w:r>
                    <w:rPr>
                      <w:b/>
                      <w:color w:val="000000"/>
                      <w:sz w:val="21"/>
                      <w:szCs w:val="21"/>
                    </w:rPr>
                    <w:t>指标</w:t>
                  </w:r>
                </w:p>
              </w:tc>
              <w:tc>
                <w:tcPr>
                  <w:tcW w:w="3452" w:type="dxa"/>
                  <w:gridSpan w:val="3"/>
                  <w:tcBorders>
                    <w:tl2br w:val="nil"/>
                    <w:tr2bl w:val="nil"/>
                  </w:tcBorders>
                  <w:vAlign w:val="center"/>
                </w:tcPr>
                <w:p>
                  <w:pPr>
                    <w:pStyle w:val="59"/>
                    <w:adjustRightInd w:val="0"/>
                    <w:snapToGrid w:val="0"/>
                    <w:spacing w:after="0" w:line="240" w:lineRule="auto"/>
                    <w:jc w:val="center"/>
                    <w:rPr>
                      <w:b/>
                      <w:color w:val="000000"/>
                      <w:sz w:val="21"/>
                      <w:szCs w:val="21"/>
                    </w:rPr>
                  </w:pPr>
                  <w:r>
                    <w:rPr>
                      <w:rFonts w:hint="eastAsia"/>
                      <w:b/>
                      <w:color w:val="000000"/>
                      <w:sz w:val="21"/>
                      <w:szCs w:val="21"/>
                    </w:rPr>
                    <w:t>最高容许浓度（</w:t>
                  </w:r>
                  <w:r>
                    <w:rPr>
                      <w:b/>
                      <w:color w:val="000000"/>
                      <w:sz w:val="21"/>
                      <w:szCs w:val="21"/>
                    </w:rPr>
                    <w:t>μg/m</w:t>
                  </w:r>
                  <w:r>
                    <w:rPr>
                      <w:b/>
                      <w:color w:val="000000"/>
                      <w:sz w:val="21"/>
                      <w:szCs w:val="21"/>
                      <w:vertAlign w:val="superscript"/>
                    </w:rPr>
                    <w:t>3</w:t>
                  </w:r>
                  <w:r>
                    <w:rPr>
                      <w:rFonts w:hint="eastAsia"/>
                      <w:b/>
                      <w:color w:val="000000"/>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84"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2011"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1586" w:type="dxa"/>
                  <w:vMerge w:val="continue"/>
                  <w:tcBorders>
                    <w:tl2br w:val="nil"/>
                    <w:tr2bl w:val="nil"/>
                  </w:tcBorders>
                  <w:vAlign w:val="center"/>
                </w:tcPr>
                <w:p>
                  <w:pPr>
                    <w:pStyle w:val="59"/>
                    <w:adjustRightInd w:val="0"/>
                    <w:snapToGrid w:val="0"/>
                    <w:spacing w:after="0" w:line="240" w:lineRule="auto"/>
                    <w:jc w:val="center"/>
                    <w:rPr>
                      <w:b/>
                      <w:color w:val="000000"/>
                      <w:sz w:val="21"/>
                      <w:szCs w:val="21"/>
                    </w:rPr>
                  </w:pPr>
                </w:p>
              </w:tc>
              <w:tc>
                <w:tcPr>
                  <w:tcW w:w="1218"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1小时</w:t>
                  </w:r>
                  <w:r>
                    <w:rPr>
                      <w:b/>
                      <w:color w:val="000000"/>
                      <w:sz w:val="21"/>
                      <w:szCs w:val="21"/>
                    </w:rPr>
                    <w:t>平均</w:t>
                  </w:r>
                </w:p>
              </w:tc>
              <w:tc>
                <w:tcPr>
                  <w:tcW w:w="1341"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24小时平均</w:t>
                  </w:r>
                </w:p>
              </w:tc>
              <w:tc>
                <w:tcPr>
                  <w:tcW w:w="893" w:type="dxa"/>
                  <w:tcBorders>
                    <w:tl2br w:val="nil"/>
                    <w:tr2bl w:val="nil"/>
                  </w:tcBorders>
                  <w:vAlign w:val="center"/>
                </w:tcPr>
                <w:p>
                  <w:pPr>
                    <w:pStyle w:val="59"/>
                    <w:adjustRightInd w:val="0"/>
                    <w:snapToGrid w:val="0"/>
                    <w:spacing w:after="0" w:line="240" w:lineRule="auto"/>
                    <w:ind w:left="0"/>
                    <w:jc w:val="center"/>
                    <w:rPr>
                      <w:b/>
                      <w:color w:val="000000"/>
                      <w:sz w:val="21"/>
                      <w:szCs w:val="21"/>
                    </w:rPr>
                  </w:pPr>
                  <w:r>
                    <w:rPr>
                      <w:rFonts w:hint="eastAsia"/>
                      <w:b/>
                      <w:color w:val="000000"/>
                      <w:sz w:val="21"/>
                      <w:szCs w:val="21"/>
                    </w:rPr>
                    <w:t>年平均</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restart"/>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项目</w:t>
                  </w:r>
                  <w:r>
                    <w:rPr>
                      <w:bCs/>
                      <w:color w:val="000000"/>
                      <w:sz w:val="21"/>
                      <w:szCs w:val="21"/>
                    </w:rPr>
                    <w:t>所在地</w:t>
                  </w:r>
                </w:p>
              </w:tc>
              <w:tc>
                <w:tcPr>
                  <w:tcW w:w="2011" w:type="dxa"/>
                  <w:vMerge w:val="restart"/>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《环境空气质量标准》 （GB 3095–2012）二级及2018年修改单</w:t>
                  </w: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SO</w:t>
                  </w:r>
                  <w:r>
                    <w:rPr>
                      <w:rFonts w:hint="eastAsia"/>
                      <w:bCs/>
                      <w:color w:val="000000"/>
                      <w:sz w:val="21"/>
                      <w:szCs w:val="21"/>
                      <w:vertAlign w:val="subscript"/>
                    </w:rPr>
                    <w:t>2</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500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60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2</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80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bCs/>
                      <w:color w:val="000000"/>
                      <w:sz w:val="21"/>
                      <w:szCs w:val="21"/>
                    </w:rPr>
                    <w:t>40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颗粒物（PM</w:t>
                  </w:r>
                  <w:r>
                    <w:rPr>
                      <w:rFonts w:hint="eastAsia"/>
                      <w:bCs/>
                      <w:color w:val="000000"/>
                      <w:sz w:val="21"/>
                      <w:szCs w:val="21"/>
                      <w:vertAlign w:val="subscript"/>
                    </w:rPr>
                    <w:t>10</w:t>
                  </w:r>
                  <w:r>
                    <w:rPr>
                      <w:rFonts w:hint="eastAsia"/>
                      <w:bCs/>
                      <w:color w:val="000000"/>
                      <w:sz w:val="21"/>
                      <w:szCs w:val="21"/>
                    </w:rPr>
                    <w:t>）</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150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70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颗粒物（PM</w:t>
                  </w:r>
                  <w:r>
                    <w:rPr>
                      <w:rFonts w:hint="eastAsia"/>
                      <w:bCs/>
                      <w:color w:val="000000"/>
                      <w:sz w:val="21"/>
                      <w:szCs w:val="21"/>
                      <w:vertAlign w:val="subscript"/>
                    </w:rPr>
                    <w:t>2.5</w:t>
                  </w:r>
                  <w:r>
                    <w:rPr>
                      <w:rFonts w:hint="eastAsia"/>
                      <w:bCs/>
                      <w:color w:val="000000"/>
                      <w:sz w:val="21"/>
                      <w:szCs w:val="21"/>
                    </w:rPr>
                    <w:t>）</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75</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35</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TSP</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300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O</w:t>
                  </w:r>
                  <w:r>
                    <w:rPr>
                      <w:rFonts w:hint="eastAsia"/>
                      <w:bCs/>
                      <w:color w:val="000000"/>
                      <w:sz w:val="21"/>
                      <w:szCs w:val="21"/>
                      <w:vertAlign w:val="subscript"/>
                    </w:rPr>
                    <w:t>3</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200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160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color w:val="000000"/>
                      <w:sz w:val="21"/>
                      <w:szCs w:val="21"/>
                    </w:rPr>
                  </w:pPr>
                </w:p>
              </w:tc>
              <w:tc>
                <w:tcPr>
                  <w:tcW w:w="2011" w:type="dxa"/>
                  <w:vMerge w:val="continue"/>
                  <w:tcBorders>
                    <w:tl2br w:val="nil"/>
                    <w:tr2bl w:val="nil"/>
                  </w:tcBorders>
                  <w:vAlign w:val="center"/>
                </w:tcPr>
                <w:p>
                  <w:pPr>
                    <w:pStyle w:val="59"/>
                    <w:spacing w:after="0" w:line="240" w:lineRule="auto"/>
                    <w:jc w:val="center"/>
                    <w:rPr>
                      <w:bCs/>
                      <w:color w:val="000000"/>
                      <w:sz w:val="21"/>
                      <w:szCs w:val="21"/>
                    </w:rPr>
                  </w:pPr>
                </w:p>
              </w:tc>
              <w:tc>
                <w:tcPr>
                  <w:tcW w:w="1586"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NO</w:t>
                  </w:r>
                  <w:r>
                    <w:rPr>
                      <w:rFonts w:hint="eastAsia"/>
                      <w:bCs/>
                      <w:color w:val="000000"/>
                      <w:sz w:val="21"/>
                      <w:szCs w:val="21"/>
                      <w:vertAlign w:val="subscript"/>
                    </w:rPr>
                    <w:t>X</w:t>
                  </w:r>
                </w:p>
              </w:tc>
              <w:tc>
                <w:tcPr>
                  <w:tcW w:w="1218"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250</w:t>
                  </w:r>
                </w:p>
              </w:tc>
              <w:tc>
                <w:tcPr>
                  <w:tcW w:w="1341"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100</w:t>
                  </w:r>
                </w:p>
              </w:tc>
              <w:tc>
                <w:tcPr>
                  <w:tcW w:w="893" w:type="dxa"/>
                  <w:tcBorders>
                    <w:tl2br w:val="nil"/>
                    <w:tr2bl w:val="nil"/>
                  </w:tcBorders>
                  <w:vAlign w:val="center"/>
                </w:tcPr>
                <w:p>
                  <w:pPr>
                    <w:pStyle w:val="59"/>
                    <w:spacing w:after="0" w:line="240" w:lineRule="auto"/>
                    <w:ind w:left="0"/>
                    <w:jc w:val="center"/>
                    <w:rPr>
                      <w:bCs/>
                      <w:color w:val="000000"/>
                      <w:sz w:val="21"/>
                      <w:szCs w:val="21"/>
                    </w:rPr>
                  </w:pPr>
                  <w:r>
                    <w:rPr>
                      <w:rFonts w:hint="eastAsia"/>
                      <w:bCs/>
                      <w:color w:val="000000"/>
                      <w:sz w:val="21"/>
                      <w:szCs w:val="21"/>
                    </w:rPr>
                    <w:t>50</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vMerge w:val="restart"/>
                  <w:tcBorders>
                    <w:tl2br w:val="nil"/>
                    <w:tr2bl w:val="nil"/>
                  </w:tcBorders>
                  <w:vAlign w:val="center"/>
                </w:tcPr>
                <w:p>
                  <w:pPr>
                    <w:pStyle w:val="59"/>
                    <w:spacing w:after="0" w:line="240" w:lineRule="auto"/>
                    <w:ind w:left="0"/>
                    <w:jc w:val="center"/>
                    <w:rPr>
                      <w:bCs/>
                      <w:sz w:val="21"/>
                      <w:szCs w:val="21"/>
                    </w:rPr>
                  </w:pPr>
                  <w:r>
                    <w:rPr>
                      <w:rFonts w:hint="eastAsia"/>
                      <w:b/>
                      <w:sz w:val="21"/>
                      <w:szCs w:val="21"/>
                    </w:rPr>
                    <w:t>污染物</w:t>
                  </w:r>
                  <w:r>
                    <w:rPr>
                      <w:b/>
                      <w:sz w:val="21"/>
                      <w:szCs w:val="21"/>
                    </w:rPr>
                    <w:t>指标</w:t>
                  </w:r>
                </w:p>
              </w:tc>
              <w:tc>
                <w:tcPr>
                  <w:tcW w:w="3452" w:type="dxa"/>
                  <w:gridSpan w:val="3"/>
                  <w:tcBorders>
                    <w:tl2br w:val="nil"/>
                    <w:tr2bl w:val="nil"/>
                  </w:tcBorders>
                  <w:vAlign w:val="center"/>
                </w:tcPr>
                <w:p>
                  <w:pPr>
                    <w:pStyle w:val="59"/>
                    <w:spacing w:after="0" w:line="240" w:lineRule="auto"/>
                    <w:ind w:left="0"/>
                    <w:jc w:val="center"/>
                    <w:rPr>
                      <w:bCs/>
                      <w:sz w:val="21"/>
                      <w:szCs w:val="21"/>
                    </w:rPr>
                  </w:pPr>
                  <w:r>
                    <w:rPr>
                      <w:rFonts w:hint="eastAsia"/>
                      <w:b/>
                      <w:sz w:val="21"/>
                      <w:szCs w:val="21"/>
                    </w:rPr>
                    <w:t>最高容许浓度（mg/m</w:t>
                  </w:r>
                  <w:r>
                    <w:rPr>
                      <w:rFonts w:hint="eastAsia"/>
                      <w:b/>
                      <w:sz w:val="21"/>
                      <w:szCs w:val="21"/>
                      <w:vertAlign w:val="superscript"/>
                    </w:rPr>
                    <w:t>3</w:t>
                  </w:r>
                  <w:r>
                    <w:rPr>
                      <w:rFonts w:hint="eastAsia"/>
                      <w:b/>
                      <w:sz w:val="21"/>
                      <w:szCs w:val="21"/>
                    </w:rPr>
                    <w:t>）</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vMerge w:val="continue"/>
                  <w:tcBorders>
                    <w:tl2br w:val="nil"/>
                    <w:tr2bl w:val="nil"/>
                  </w:tcBorders>
                  <w:vAlign w:val="center"/>
                </w:tcPr>
                <w:p>
                  <w:pPr>
                    <w:pStyle w:val="59"/>
                    <w:spacing w:after="0" w:line="240" w:lineRule="auto"/>
                    <w:ind w:left="0"/>
                    <w:jc w:val="center"/>
                    <w:rPr>
                      <w:bCs/>
                      <w:sz w:val="21"/>
                      <w:szCs w:val="21"/>
                    </w:rPr>
                  </w:pPr>
                </w:p>
              </w:tc>
              <w:tc>
                <w:tcPr>
                  <w:tcW w:w="1218"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1小时</w:t>
                  </w:r>
                  <w:r>
                    <w:rPr>
                      <w:b/>
                      <w:sz w:val="21"/>
                      <w:szCs w:val="21"/>
                    </w:rPr>
                    <w:t>平均</w:t>
                  </w:r>
                </w:p>
              </w:tc>
              <w:tc>
                <w:tcPr>
                  <w:tcW w:w="1341"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24小时平均</w:t>
                  </w:r>
                </w:p>
              </w:tc>
              <w:tc>
                <w:tcPr>
                  <w:tcW w:w="893" w:type="dxa"/>
                  <w:tcBorders>
                    <w:tl2br w:val="nil"/>
                    <w:tr2bl w:val="nil"/>
                  </w:tcBorders>
                  <w:vAlign w:val="center"/>
                </w:tcPr>
                <w:p>
                  <w:pPr>
                    <w:pStyle w:val="59"/>
                    <w:spacing w:after="0" w:line="240" w:lineRule="auto"/>
                    <w:ind w:left="0"/>
                    <w:jc w:val="center"/>
                    <w:rPr>
                      <w:bCs/>
                      <w:sz w:val="21"/>
                      <w:szCs w:val="21"/>
                    </w:rPr>
                  </w:pPr>
                  <w:r>
                    <w:rPr>
                      <w:rFonts w:hint="eastAsia"/>
                      <w:b/>
                      <w:sz w:val="21"/>
                      <w:szCs w:val="21"/>
                    </w:rPr>
                    <w:t>年平均</w:t>
                  </w:r>
                </w:p>
              </w:tc>
            </w:tr>
            <w:tr>
              <w:tblPrEx>
                <w:tblBorders>
                  <w:top w:val="double" w:color="auto" w:sz="4" w:space="0"/>
                  <w:left w:val="single" w:color="FFFFFF" w:themeColor="background1" w:sz="12" w:space="0"/>
                  <w:bottom w:val="double" w:color="auto" w:sz="4" w:space="0"/>
                  <w:right w:val="single" w:color="FFFFFF" w:themeColor="background1"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84" w:type="dxa"/>
                  <w:vMerge w:val="continue"/>
                  <w:tcBorders>
                    <w:tl2br w:val="nil"/>
                    <w:tr2bl w:val="nil"/>
                  </w:tcBorders>
                  <w:vAlign w:val="center"/>
                </w:tcPr>
                <w:p>
                  <w:pPr>
                    <w:pStyle w:val="59"/>
                    <w:spacing w:after="0" w:line="240" w:lineRule="auto"/>
                    <w:jc w:val="center"/>
                    <w:rPr>
                      <w:bCs/>
                      <w:sz w:val="21"/>
                      <w:szCs w:val="21"/>
                    </w:rPr>
                  </w:pPr>
                </w:p>
              </w:tc>
              <w:tc>
                <w:tcPr>
                  <w:tcW w:w="2011" w:type="dxa"/>
                  <w:vMerge w:val="continue"/>
                  <w:tcBorders>
                    <w:tl2br w:val="nil"/>
                    <w:tr2bl w:val="nil"/>
                  </w:tcBorders>
                  <w:vAlign w:val="center"/>
                </w:tcPr>
                <w:p>
                  <w:pPr>
                    <w:pStyle w:val="59"/>
                    <w:spacing w:after="0" w:line="240" w:lineRule="auto"/>
                    <w:jc w:val="center"/>
                    <w:rPr>
                      <w:bCs/>
                      <w:sz w:val="21"/>
                      <w:szCs w:val="21"/>
                    </w:rPr>
                  </w:pPr>
                </w:p>
              </w:tc>
              <w:tc>
                <w:tcPr>
                  <w:tcW w:w="1586"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CO</w:t>
                  </w:r>
                </w:p>
              </w:tc>
              <w:tc>
                <w:tcPr>
                  <w:tcW w:w="1218"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10</w:t>
                  </w:r>
                </w:p>
              </w:tc>
              <w:tc>
                <w:tcPr>
                  <w:tcW w:w="1341"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4</w:t>
                  </w:r>
                </w:p>
              </w:tc>
              <w:tc>
                <w:tcPr>
                  <w:tcW w:w="893" w:type="dxa"/>
                  <w:tcBorders>
                    <w:tl2br w:val="nil"/>
                    <w:tr2bl w:val="nil"/>
                  </w:tcBorders>
                  <w:vAlign w:val="center"/>
                </w:tcPr>
                <w:p>
                  <w:pPr>
                    <w:pStyle w:val="59"/>
                    <w:spacing w:after="0" w:line="240" w:lineRule="auto"/>
                    <w:ind w:left="0"/>
                    <w:jc w:val="center"/>
                    <w:rPr>
                      <w:bCs/>
                      <w:sz w:val="21"/>
                      <w:szCs w:val="21"/>
                    </w:rPr>
                  </w:pPr>
                  <w:r>
                    <w:rPr>
                      <w:rFonts w:hint="eastAsia"/>
                      <w:bCs/>
                      <w:sz w:val="21"/>
                      <w:szCs w:val="21"/>
                    </w:rPr>
                    <w:t>/</w:t>
                  </w:r>
                </w:p>
              </w:tc>
            </w:tr>
          </w:tbl>
          <w:p>
            <w:pPr>
              <w:spacing w:before="120" w:beforeLines="50" w:line="360" w:lineRule="auto"/>
              <w:ind w:firstLine="480" w:firstLineChars="200"/>
              <w:rPr>
                <w:bCs/>
                <w:sz w:val="24"/>
              </w:rPr>
            </w:pPr>
            <w:r>
              <w:rPr>
                <w:bCs/>
                <w:sz w:val="24"/>
              </w:rPr>
              <w:t>2、地表水</w:t>
            </w:r>
          </w:p>
          <w:p>
            <w:pPr>
              <w:spacing w:line="360" w:lineRule="auto"/>
              <w:ind w:firstLine="480" w:firstLineChars="200"/>
              <w:rPr>
                <w:rFonts w:ascii="Times New Roman" w:hAnsi="Times New Roman" w:eastAsia="宋体" w:cs="Times New Roman"/>
                <w:b/>
                <w:kern w:val="2"/>
                <w:sz w:val="24"/>
                <w:szCs w:val="24"/>
                <w:lang w:val="en-US" w:eastAsia="zh-CN" w:bidi="ar-SA"/>
              </w:rPr>
            </w:pPr>
            <w:r>
              <w:rPr>
                <w:bCs/>
                <w:sz w:val="24"/>
              </w:rPr>
              <w:t>根据《</w:t>
            </w:r>
            <w:r>
              <w:rPr>
                <w:sz w:val="24"/>
              </w:rPr>
              <w:t>江苏省地表水环境功能区划</w:t>
            </w:r>
            <w:r>
              <w:rPr>
                <w:bCs/>
                <w:sz w:val="24"/>
              </w:rPr>
              <w:t>》，本项目周边水环境执行《地表水环境质量标准》（GB3838-2002）中的Ⅲ类标准，具</w:t>
            </w:r>
            <w:r>
              <w:rPr>
                <w:b w:val="0"/>
                <w:bCs/>
                <w:sz w:val="24"/>
              </w:rPr>
              <w:t>体标</w:t>
            </w:r>
            <w:r>
              <w:rPr>
                <w:rFonts w:ascii="Times New Roman" w:hAnsi="Times New Roman" w:eastAsia="宋体" w:cs="Times New Roman"/>
                <w:b w:val="0"/>
                <w:bCs/>
                <w:kern w:val="2"/>
                <w:sz w:val="24"/>
                <w:szCs w:val="24"/>
                <w:lang w:val="en-US" w:eastAsia="zh-CN" w:bidi="ar-SA"/>
              </w:rPr>
              <w:t>准见表4-2</w:t>
            </w:r>
            <w:r>
              <w:rPr>
                <w:rFonts w:hint="eastAsia" w:ascii="Times New Roman" w:hAnsi="Times New Roman" w:eastAsia="宋体" w:cs="Times New Roman"/>
                <w:b w:val="0"/>
                <w:bCs/>
                <w:kern w:val="2"/>
                <w:sz w:val="24"/>
                <w:szCs w:val="24"/>
                <w:lang w:val="en-US" w:eastAsia="zh-CN" w:bidi="ar-SA"/>
              </w:rPr>
              <w:t>。</w:t>
            </w:r>
          </w:p>
          <w:p>
            <w:pPr>
              <w:pStyle w:val="134"/>
              <w:widowControl w:val="0"/>
              <w:numPr>
                <w:ilvl w:val="0"/>
                <w:numId w:val="0"/>
              </w:numPr>
              <w:rPr>
                <w:rFonts w:hAnsi="Times New Roman"/>
                <w:sz w:val="24"/>
                <w:szCs w:val="24"/>
                <w:lang w:val="fi-FI"/>
              </w:rPr>
            </w:pPr>
            <w:r>
              <w:rPr>
                <w:rFonts w:hAnsi="Times New Roman"/>
                <w:sz w:val="24"/>
                <w:szCs w:val="24"/>
              </w:rPr>
              <w:t>表4-2</w:t>
            </w:r>
            <w:r>
              <w:rPr>
                <w:rFonts w:hint="eastAsia" w:hAnsi="Times New Roman"/>
                <w:sz w:val="24"/>
                <w:szCs w:val="24"/>
              </w:rPr>
              <w:t xml:space="preserve"> </w:t>
            </w:r>
            <w:r>
              <w:rPr>
                <w:rFonts w:hAnsi="Times New Roman"/>
                <w:sz w:val="24"/>
                <w:szCs w:val="24"/>
              </w:rPr>
              <w:t xml:space="preserve"> </w:t>
            </w:r>
            <w:r>
              <w:rPr>
                <w:rFonts w:hint="eastAsia" w:hAnsi="Times New Roman"/>
                <w:sz w:val="24"/>
                <w:szCs w:val="24"/>
              </w:rPr>
              <w:t>地表水环境质量标准限值表</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645"/>
              <w:gridCol w:w="570"/>
              <w:gridCol w:w="777"/>
              <w:gridCol w:w="753"/>
              <w:gridCol w:w="1262"/>
              <w:gridCol w:w="712"/>
              <w:gridCol w:w="584"/>
              <w:gridCol w:w="833"/>
              <w:gridCol w:w="832"/>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69" w:type="dxa"/>
                  <w:vAlign w:val="center"/>
                </w:tcPr>
                <w:p>
                  <w:pPr>
                    <w:jc w:val="center"/>
                    <w:rPr>
                      <w:b/>
                    </w:rPr>
                  </w:pPr>
                  <w:r>
                    <w:rPr>
                      <w:rFonts w:hint="eastAsia"/>
                      <w:b/>
                    </w:rPr>
                    <w:t>执行标准</w:t>
                  </w:r>
                </w:p>
              </w:tc>
              <w:tc>
                <w:tcPr>
                  <w:tcW w:w="645" w:type="dxa"/>
                  <w:vAlign w:val="center"/>
                </w:tcPr>
                <w:p>
                  <w:pPr>
                    <w:jc w:val="center"/>
                    <w:rPr>
                      <w:b/>
                    </w:rPr>
                  </w:pPr>
                  <w:r>
                    <w:rPr>
                      <w:b/>
                    </w:rPr>
                    <w:t>pH</w:t>
                  </w:r>
                </w:p>
              </w:tc>
              <w:tc>
                <w:tcPr>
                  <w:tcW w:w="570" w:type="dxa"/>
                  <w:vAlign w:val="center"/>
                </w:tcPr>
                <w:p>
                  <w:pPr>
                    <w:jc w:val="center"/>
                    <w:rPr>
                      <w:b/>
                    </w:rPr>
                  </w:pPr>
                  <w:r>
                    <w:rPr>
                      <w:b/>
                    </w:rPr>
                    <w:t>DO</w:t>
                  </w:r>
                </w:p>
              </w:tc>
              <w:tc>
                <w:tcPr>
                  <w:tcW w:w="777" w:type="dxa"/>
                  <w:vAlign w:val="center"/>
                </w:tcPr>
                <w:p>
                  <w:pPr>
                    <w:jc w:val="center"/>
                    <w:rPr>
                      <w:b/>
                    </w:rPr>
                  </w:pPr>
                  <w:r>
                    <w:rPr>
                      <w:b/>
                    </w:rPr>
                    <w:t>BOD</w:t>
                  </w:r>
                  <w:r>
                    <w:rPr>
                      <w:b/>
                      <w:vertAlign w:val="subscript"/>
                    </w:rPr>
                    <w:t>5</w:t>
                  </w:r>
                </w:p>
              </w:tc>
              <w:tc>
                <w:tcPr>
                  <w:tcW w:w="753" w:type="dxa"/>
                  <w:vAlign w:val="center"/>
                </w:tcPr>
                <w:p>
                  <w:pPr>
                    <w:jc w:val="center"/>
                    <w:rPr>
                      <w:b/>
                    </w:rPr>
                  </w:pPr>
                  <w:r>
                    <w:rPr>
                      <w:b/>
                    </w:rPr>
                    <w:t>COD</w:t>
                  </w:r>
                </w:p>
              </w:tc>
              <w:tc>
                <w:tcPr>
                  <w:tcW w:w="1262" w:type="dxa"/>
                  <w:vAlign w:val="center"/>
                </w:tcPr>
                <w:p>
                  <w:pPr>
                    <w:jc w:val="center"/>
                    <w:rPr>
                      <w:b/>
                    </w:rPr>
                  </w:pPr>
                  <w:r>
                    <w:rPr>
                      <w:b/>
                    </w:rPr>
                    <w:t>高锰酸盐指数</w:t>
                  </w:r>
                </w:p>
              </w:tc>
              <w:tc>
                <w:tcPr>
                  <w:tcW w:w="712" w:type="dxa"/>
                  <w:vAlign w:val="center"/>
                </w:tcPr>
                <w:p>
                  <w:pPr>
                    <w:jc w:val="center"/>
                    <w:rPr>
                      <w:b/>
                    </w:rPr>
                  </w:pPr>
                  <w:r>
                    <w:rPr>
                      <w:b/>
                    </w:rPr>
                    <w:t>氨氮</w:t>
                  </w:r>
                </w:p>
              </w:tc>
              <w:tc>
                <w:tcPr>
                  <w:tcW w:w="584" w:type="dxa"/>
                  <w:vAlign w:val="center"/>
                </w:tcPr>
                <w:p>
                  <w:pPr>
                    <w:jc w:val="center"/>
                    <w:rPr>
                      <w:b/>
                    </w:rPr>
                  </w:pPr>
                  <w:r>
                    <w:rPr>
                      <w:b/>
                    </w:rPr>
                    <w:t>TP</w:t>
                  </w:r>
                </w:p>
              </w:tc>
              <w:tc>
                <w:tcPr>
                  <w:tcW w:w="833" w:type="dxa"/>
                  <w:vAlign w:val="center"/>
                </w:tcPr>
                <w:p>
                  <w:pPr>
                    <w:jc w:val="center"/>
                    <w:rPr>
                      <w:b/>
                    </w:rPr>
                  </w:pPr>
                  <w:r>
                    <w:rPr>
                      <w:b/>
                    </w:rPr>
                    <w:t>石油类</w:t>
                  </w:r>
                </w:p>
              </w:tc>
              <w:tc>
                <w:tcPr>
                  <w:tcW w:w="832" w:type="dxa"/>
                  <w:vAlign w:val="center"/>
                </w:tcPr>
                <w:p>
                  <w:pPr>
                    <w:jc w:val="center"/>
                    <w:rPr>
                      <w:b/>
                    </w:rPr>
                  </w:pPr>
                  <w:r>
                    <w:rPr>
                      <w:rFonts w:hint="eastAsia"/>
                      <w:b/>
                    </w:rPr>
                    <w:t>挥发酚</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969" w:type="dxa"/>
                  <w:vAlign w:val="center"/>
                </w:tcPr>
                <w:p>
                  <w:pPr>
                    <w:jc w:val="center"/>
                  </w:pPr>
                  <w:r>
                    <w:t>GB3838-2002</w:t>
                  </w:r>
                  <w:r>
                    <w:rPr>
                      <w:rFonts w:hint="eastAsia"/>
                    </w:rPr>
                    <w:t>表</w:t>
                  </w:r>
                  <w:r>
                    <w:rPr>
                      <w:rFonts w:hint="eastAsia"/>
                      <w:lang w:val="en-US"/>
                    </w:rPr>
                    <w:t>1中</w:t>
                  </w:r>
                  <w:r>
                    <w:t>Ⅲ类标准值</w:t>
                  </w:r>
                </w:p>
              </w:tc>
              <w:tc>
                <w:tcPr>
                  <w:tcW w:w="645" w:type="dxa"/>
                  <w:vAlign w:val="center"/>
                </w:tcPr>
                <w:p>
                  <w:pPr>
                    <w:jc w:val="center"/>
                  </w:pPr>
                  <w:r>
                    <w:t>6-9</w:t>
                  </w:r>
                </w:p>
              </w:tc>
              <w:tc>
                <w:tcPr>
                  <w:tcW w:w="570" w:type="dxa"/>
                  <w:vAlign w:val="center"/>
                </w:tcPr>
                <w:p>
                  <w:pPr>
                    <w:jc w:val="center"/>
                  </w:pPr>
                  <w:r>
                    <w:t>≥5</w:t>
                  </w:r>
                </w:p>
              </w:tc>
              <w:tc>
                <w:tcPr>
                  <w:tcW w:w="777" w:type="dxa"/>
                  <w:vAlign w:val="center"/>
                </w:tcPr>
                <w:p>
                  <w:pPr>
                    <w:jc w:val="center"/>
                  </w:pPr>
                  <w:r>
                    <w:t>≤4</w:t>
                  </w:r>
                </w:p>
              </w:tc>
              <w:tc>
                <w:tcPr>
                  <w:tcW w:w="753" w:type="dxa"/>
                  <w:vAlign w:val="center"/>
                </w:tcPr>
                <w:p>
                  <w:pPr>
                    <w:jc w:val="center"/>
                  </w:pPr>
                  <w:r>
                    <w:t>≤20</w:t>
                  </w:r>
                </w:p>
              </w:tc>
              <w:tc>
                <w:tcPr>
                  <w:tcW w:w="1262" w:type="dxa"/>
                  <w:vAlign w:val="center"/>
                </w:tcPr>
                <w:p>
                  <w:pPr>
                    <w:jc w:val="center"/>
                  </w:pPr>
                  <w:r>
                    <w:t>≤6</w:t>
                  </w:r>
                </w:p>
              </w:tc>
              <w:tc>
                <w:tcPr>
                  <w:tcW w:w="712" w:type="dxa"/>
                  <w:vAlign w:val="center"/>
                </w:tcPr>
                <w:p>
                  <w:pPr>
                    <w:jc w:val="center"/>
                  </w:pPr>
                  <w:r>
                    <w:t>≤1.0</w:t>
                  </w:r>
                </w:p>
              </w:tc>
              <w:tc>
                <w:tcPr>
                  <w:tcW w:w="584" w:type="dxa"/>
                  <w:vAlign w:val="center"/>
                </w:tcPr>
                <w:p>
                  <w:pPr>
                    <w:jc w:val="center"/>
                  </w:pPr>
                  <w:r>
                    <w:t>≤0.2</w:t>
                  </w:r>
                </w:p>
              </w:tc>
              <w:tc>
                <w:tcPr>
                  <w:tcW w:w="833" w:type="dxa"/>
                  <w:vAlign w:val="center"/>
                </w:tcPr>
                <w:p>
                  <w:pPr>
                    <w:jc w:val="center"/>
                  </w:pPr>
                  <w:r>
                    <w:rPr>
                      <w:rFonts w:hint="eastAsia"/>
                    </w:rPr>
                    <w:t>≤</w:t>
                  </w:r>
                  <w:r>
                    <w:t>0.05</w:t>
                  </w:r>
                </w:p>
              </w:tc>
              <w:tc>
                <w:tcPr>
                  <w:tcW w:w="832" w:type="dxa"/>
                  <w:vAlign w:val="center"/>
                </w:tcPr>
                <w:p>
                  <w:pPr>
                    <w:rPr>
                      <w:highlight w:val="yellow"/>
                    </w:rPr>
                  </w:pPr>
                  <w:r>
                    <w:t>≤</w:t>
                  </w:r>
                  <w:r>
                    <w:rPr>
                      <w:rFonts w:hint="eastAsia"/>
                    </w:rPr>
                    <w:t>0.02</w:t>
                  </w:r>
                </w:p>
              </w:tc>
            </w:tr>
          </w:tbl>
          <w:p>
            <w:pPr>
              <w:spacing w:before="120" w:beforeLines="50" w:line="360" w:lineRule="auto"/>
              <w:ind w:firstLine="480" w:firstLineChars="200"/>
              <w:rPr>
                <w:bCs/>
                <w:sz w:val="24"/>
              </w:rPr>
            </w:pPr>
            <w:r>
              <w:rPr>
                <w:bCs/>
                <w:sz w:val="24"/>
              </w:rPr>
              <w:t>3、声环境</w:t>
            </w:r>
          </w:p>
          <w:p>
            <w:pPr>
              <w:spacing w:line="360" w:lineRule="exact"/>
              <w:ind w:firstLine="360" w:firstLineChars="150"/>
              <w:rPr>
                <w:sz w:val="24"/>
              </w:rPr>
            </w:pPr>
            <w:r>
              <w:rPr>
                <w:rFonts w:hint="eastAsia"/>
                <w:sz w:val="24"/>
              </w:rPr>
              <w:t>本项目</w:t>
            </w:r>
            <w:r>
              <w:rPr>
                <w:sz w:val="24"/>
              </w:rPr>
              <w:t>所在地声环境执行</w:t>
            </w:r>
            <w:r>
              <w:rPr>
                <w:rFonts w:hint="eastAsia"/>
                <w:sz w:val="24"/>
              </w:rPr>
              <w:t>《声环境质量标准》（</w:t>
            </w:r>
            <w:r>
              <w:rPr>
                <w:sz w:val="24"/>
              </w:rPr>
              <w:t>GB 3096-2008）中3类标准</w:t>
            </w:r>
            <w:r>
              <w:rPr>
                <w:rFonts w:hint="eastAsia"/>
                <w:sz w:val="24"/>
              </w:rPr>
              <w:t>，</w:t>
            </w:r>
            <w:r>
              <w:rPr>
                <w:kern w:val="0"/>
                <w:sz w:val="24"/>
                <w:szCs w:val="24"/>
                <w:lang w:val="en-US"/>
              </w:rPr>
              <w:t>具体详见表4-3。</w:t>
            </w:r>
          </w:p>
          <w:p>
            <w:pPr>
              <w:pStyle w:val="134"/>
              <w:widowControl w:val="0"/>
              <w:numPr>
                <w:ilvl w:val="0"/>
                <w:numId w:val="0"/>
              </w:numPr>
              <w:rPr>
                <w:rFonts w:hAnsi="Times New Roman"/>
                <w:sz w:val="24"/>
                <w:szCs w:val="24"/>
                <w:lang w:val="fi-FI"/>
              </w:rPr>
            </w:pPr>
            <w:r>
              <w:rPr>
                <w:rFonts w:hAnsi="Times New Roman"/>
                <w:sz w:val="24"/>
                <w:szCs w:val="24"/>
              </w:rPr>
              <w:t xml:space="preserve">表4-3 </w:t>
            </w:r>
            <w:r>
              <w:rPr>
                <w:rFonts w:hint="eastAsia" w:hAnsi="Times New Roman"/>
                <w:sz w:val="24"/>
                <w:szCs w:val="24"/>
              </w:rPr>
              <w:t xml:space="preserve"> 区域噪声标准限值表  </w:t>
            </w:r>
            <w:r>
              <w:rPr>
                <w:rFonts w:hAnsi="Times New Roman"/>
                <w:sz w:val="24"/>
                <w:szCs w:val="24"/>
              </w:rPr>
              <w:t>单位：dB（A）</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656"/>
              <w:gridCol w:w="2654"/>
              <w:gridCol w:w="2627"/>
            </w:tblGrid>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rPr>
                      <w:b/>
                    </w:rPr>
                  </w:pPr>
                  <w:r>
                    <w:rPr>
                      <w:rFonts w:hint="eastAsia"/>
                      <w:b/>
                    </w:rPr>
                    <w:t>执行</w:t>
                  </w:r>
                  <w:r>
                    <w:rPr>
                      <w:b/>
                    </w:rPr>
                    <w:t>标准</w:t>
                  </w:r>
                </w:p>
              </w:tc>
              <w:tc>
                <w:tcPr>
                  <w:tcW w:w="2654" w:type="dxa"/>
                  <w:vAlign w:val="center"/>
                </w:tcPr>
                <w:p>
                  <w:pPr>
                    <w:jc w:val="center"/>
                    <w:rPr>
                      <w:b/>
                    </w:rPr>
                  </w:pPr>
                  <w:r>
                    <w:rPr>
                      <w:b/>
                    </w:rPr>
                    <w:t>昼间</w:t>
                  </w:r>
                </w:p>
              </w:tc>
              <w:tc>
                <w:tcPr>
                  <w:tcW w:w="2627" w:type="dxa"/>
                  <w:vAlign w:val="center"/>
                </w:tcPr>
                <w:p>
                  <w:pPr>
                    <w:jc w:val="center"/>
                    <w:rPr>
                      <w:b/>
                    </w:rPr>
                  </w:pPr>
                  <w:r>
                    <w:rPr>
                      <w:b/>
                    </w:rPr>
                    <w:t>夜间</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pPr>
                  <w:r>
                    <w:rPr>
                      <w:lang w:val="en-US"/>
                    </w:rPr>
                    <w:t>3</w:t>
                  </w:r>
                  <w:r>
                    <w:t>类标准</w:t>
                  </w:r>
                </w:p>
              </w:tc>
              <w:tc>
                <w:tcPr>
                  <w:tcW w:w="2654" w:type="dxa"/>
                  <w:vAlign w:val="center"/>
                </w:tcPr>
                <w:p>
                  <w:pPr>
                    <w:jc w:val="center"/>
                  </w:pPr>
                  <w:r>
                    <w:rPr>
                      <w:rFonts w:hint="eastAsia"/>
                    </w:rPr>
                    <w:t>6</w:t>
                  </w:r>
                  <w:r>
                    <w:rPr>
                      <w:rFonts w:hint="eastAsia"/>
                      <w:lang w:val="en-US"/>
                    </w:rPr>
                    <w:t>5</w:t>
                  </w:r>
                </w:p>
              </w:tc>
              <w:tc>
                <w:tcPr>
                  <w:tcW w:w="2627" w:type="dxa"/>
                  <w:vAlign w:val="center"/>
                </w:tcPr>
                <w:p>
                  <w:pPr>
                    <w:jc w:val="center"/>
                  </w:pPr>
                  <w:r>
                    <w:rPr>
                      <w:rFonts w:hint="eastAsia"/>
                    </w:rPr>
                    <w:t>5</w:t>
                  </w:r>
                  <w:r>
                    <w:rPr>
                      <w:rFonts w:hint="eastAsia"/>
                      <w:lang w:val="en-US"/>
                    </w:rPr>
                    <w:t>5</w:t>
                  </w:r>
                </w:p>
              </w:tc>
            </w:tr>
            <w:tr>
              <w:tblPrEx>
                <w:tblBorders>
                  <w:top w:val="double" w:color="auto" w:sz="4" w:space="0"/>
                  <w:left w:val="none" w:color="auto" w:sz="0" w:space="0"/>
                  <w:bottom w:val="double" w:color="auto"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656" w:type="dxa"/>
                  <w:vAlign w:val="center"/>
                </w:tcPr>
                <w:p>
                  <w:pPr>
                    <w:jc w:val="center"/>
                    <w:rPr>
                      <w:rFonts w:hint="eastAsia"/>
                      <w:lang w:val="en-US"/>
                    </w:rPr>
                  </w:pPr>
                  <w:r>
                    <w:rPr>
                      <w:rFonts w:hint="eastAsia"/>
                      <w:lang w:val="en-US" w:eastAsia="zh-CN"/>
                    </w:rPr>
                    <w:t>2</w:t>
                  </w:r>
                  <w:r>
                    <w:t>类标准</w:t>
                  </w:r>
                </w:p>
              </w:tc>
              <w:tc>
                <w:tcPr>
                  <w:tcW w:w="2654" w:type="dxa"/>
                  <w:vAlign w:val="center"/>
                </w:tcPr>
                <w:p>
                  <w:pPr>
                    <w:jc w:val="center"/>
                    <w:rPr>
                      <w:rFonts w:hint="default" w:eastAsia="宋体"/>
                      <w:lang w:val="en-US" w:eastAsia="zh-CN"/>
                    </w:rPr>
                  </w:pPr>
                  <w:r>
                    <w:rPr>
                      <w:rFonts w:hint="eastAsia"/>
                      <w:lang w:val="en-US" w:eastAsia="zh-CN"/>
                    </w:rPr>
                    <w:t>60</w:t>
                  </w:r>
                </w:p>
              </w:tc>
              <w:tc>
                <w:tcPr>
                  <w:tcW w:w="2627" w:type="dxa"/>
                  <w:vAlign w:val="center"/>
                </w:tcPr>
                <w:p>
                  <w:pPr>
                    <w:jc w:val="center"/>
                    <w:rPr>
                      <w:rFonts w:hint="default" w:eastAsia="宋体"/>
                      <w:lang w:val="en-US" w:eastAsia="zh-CN"/>
                    </w:rPr>
                  </w:pPr>
                  <w:r>
                    <w:rPr>
                      <w:rFonts w:hint="eastAsia"/>
                      <w:lang w:val="en-US" w:eastAsia="zh-CN"/>
                    </w:rPr>
                    <w:t>50</w:t>
                  </w:r>
                </w:p>
              </w:tc>
            </w:tr>
          </w:tbl>
          <w:p>
            <w:pPr>
              <w:snapToGrid w:val="0"/>
              <w:spacing w:line="360" w:lineRule="auto"/>
              <w:rPr>
                <w:bCs/>
                <w:sz w:val="24"/>
              </w:rPr>
            </w:pPr>
          </w:p>
          <w:p>
            <w:pPr>
              <w:snapToGrid w:val="0"/>
              <w:spacing w:line="360" w:lineRule="auto"/>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456" w:type="dxa"/>
            <w:vAlign w:val="center"/>
          </w:tcPr>
          <w:p>
            <w:pPr>
              <w:pStyle w:val="156"/>
              <w:tabs>
                <w:tab w:val="left" w:pos="5400"/>
              </w:tabs>
              <w:spacing w:beforeLines="0" w:afterLines="0" w:line="312" w:lineRule="auto"/>
              <w:rPr>
                <w:rFonts w:eastAsia="宋体"/>
                <w:kern w:val="0"/>
              </w:rPr>
            </w:pPr>
            <w:r>
              <w:rPr>
                <w:rFonts w:eastAsia="宋体"/>
                <w:kern w:val="0"/>
              </w:rPr>
              <w:t>污</w:t>
            </w:r>
          </w:p>
          <w:p>
            <w:pPr>
              <w:pStyle w:val="156"/>
              <w:tabs>
                <w:tab w:val="left" w:pos="5400"/>
              </w:tabs>
              <w:spacing w:beforeLines="0" w:afterLines="0" w:line="312" w:lineRule="auto"/>
              <w:rPr>
                <w:rFonts w:eastAsia="宋体"/>
                <w:kern w:val="0"/>
              </w:rPr>
            </w:pPr>
            <w:r>
              <w:rPr>
                <w:rFonts w:eastAsia="宋体"/>
                <w:kern w:val="0"/>
              </w:rPr>
              <w:t>染</w:t>
            </w:r>
          </w:p>
          <w:p>
            <w:pPr>
              <w:pStyle w:val="156"/>
              <w:tabs>
                <w:tab w:val="left" w:pos="5400"/>
              </w:tabs>
              <w:spacing w:beforeLines="0" w:afterLines="0" w:line="312" w:lineRule="auto"/>
              <w:rPr>
                <w:rFonts w:eastAsia="宋体"/>
                <w:kern w:val="0"/>
              </w:rPr>
            </w:pPr>
            <w:r>
              <w:rPr>
                <w:rFonts w:eastAsia="宋体"/>
                <w:kern w:val="0"/>
              </w:rPr>
              <w:t>物</w:t>
            </w:r>
          </w:p>
          <w:p>
            <w:pPr>
              <w:pStyle w:val="156"/>
              <w:tabs>
                <w:tab w:val="left" w:pos="5400"/>
              </w:tabs>
              <w:spacing w:beforeLines="0" w:afterLines="0" w:line="312" w:lineRule="auto"/>
              <w:rPr>
                <w:rFonts w:eastAsia="宋体"/>
                <w:kern w:val="0"/>
              </w:rPr>
            </w:pPr>
            <w:r>
              <w:rPr>
                <w:rFonts w:eastAsia="宋体"/>
                <w:kern w:val="0"/>
              </w:rPr>
              <w:t>排</w:t>
            </w:r>
          </w:p>
          <w:p>
            <w:pPr>
              <w:pStyle w:val="156"/>
              <w:tabs>
                <w:tab w:val="left" w:pos="5400"/>
              </w:tabs>
              <w:spacing w:beforeLines="0" w:afterLines="0" w:line="312" w:lineRule="auto"/>
              <w:rPr>
                <w:rFonts w:eastAsia="宋体"/>
                <w:kern w:val="0"/>
              </w:rPr>
            </w:pPr>
            <w:r>
              <w:rPr>
                <w:rFonts w:eastAsia="宋体"/>
                <w:kern w:val="0"/>
              </w:rPr>
              <w:t>放</w:t>
            </w:r>
          </w:p>
          <w:p>
            <w:pPr>
              <w:pStyle w:val="156"/>
              <w:tabs>
                <w:tab w:val="left" w:pos="5400"/>
              </w:tabs>
              <w:spacing w:beforeLines="0" w:afterLines="0" w:line="312" w:lineRule="auto"/>
              <w:rPr>
                <w:rFonts w:eastAsia="宋体"/>
                <w:kern w:val="0"/>
              </w:rPr>
            </w:pPr>
            <w:r>
              <w:rPr>
                <w:rFonts w:eastAsia="宋体"/>
                <w:kern w:val="0"/>
              </w:rPr>
              <w:t>标</w:t>
            </w:r>
          </w:p>
          <w:p>
            <w:pPr>
              <w:pStyle w:val="156"/>
              <w:tabs>
                <w:tab w:val="left" w:pos="5400"/>
              </w:tabs>
              <w:spacing w:beforeLines="0" w:afterLines="0" w:line="360" w:lineRule="auto"/>
              <w:rPr>
                <w:rFonts w:eastAsia="宋体"/>
                <w:kern w:val="0"/>
              </w:rPr>
            </w:pPr>
            <w:r>
              <w:rPr>
                <w:rFonts w:eastAsia="宋体"/>
                <w:kern w:val="0"/>
              </w:rPr>
              <w:t>准</w:t>
            </w:r>
          </w:p>
        </w:tc>
        <w:tc>
          <w:tcPr>
            <w:tcW w:w="8073" w:type="dxa"/>
          </w:tcPr>
          <w:p>
            <w:pPr>
              <w:spacing w:before="120" w:beforeLines="50" w:line="360" w:lineRule="auto"/>
              <w:ind w:firstLine="480" w:firstLineChars="200"/>
              <w:rPr>
                <w:bCs/>
                <w:sz w:val="24"/>
                <w:szCs w:val="24"/>
              </w:rPr>
            </w:pPr>
            <w:r>
              <w:rPr>
                <w:rFonts w:hint="eastAsia"/>
                <w:bCs/>
                <w:sz w:val="24"/>
                <w:szCs w:val="24"/>
              </w:rPr>
              <w:t>1</w:t>
            </w:r>
            <w:r>
              <w:rPr>
                <w:bCs/>
                <w:sz w:val="24"/>
                <w:szCs w:val="24"/>
              </w:rPr>
              <w:t>、废水</w:t>
            </w:r>
          </w:p>
          <w:p>
            <w:pPr>
              <w:snapToGrid w:val="0"/>
              <w:spacing w:line="360" w:lineRule="auto"/>
              <w:ind w:firstLine="480" w:firstLineChars="200"/>
              <w:rPr>
                <w:bCs/>
                <w:sz w:val="24"/>
              </w:rPr>
            </w:pPr>
            <w:r>
              <w:rPr>
                <w:kern w:val="0"/>
                <w:sz w:val="24"/>
                <w:szCs w:val="24"/>
                <w:lang w:val="en-US"/>
              </w:rPr>
              <w:t>本项目无工业废水</w:t>
            </w:r>
            <w:r>
              <w:rPr>
                <w:rFonts w:hint="eastAsia"/>
                <w:kern w:val="0"/>
                <w:sz w:val="24"/>
                <w:szCs w:val="24"/>
                <w:lang w:val="en-US"/>
              </w:rPr>
              <w:t>产生</w:t>
            </w:r>
            <w:r>
              <w:rPr>
                <w:kern w:val="0"/>
                <w:sz w:val="24"/>
                <w:szCs w:val="24"/>
                <w:lang w:val="en-US"/>
              </w:rPr>
              <w:t>及排放</w:t>
            </w:r>
            <w:r>
              <w:rPr>
                <w:bCs/>
                <w:sz w:val="24"/>
              </w:rPr>
              <w:t>。</w:t>
            </w:r>
            <w:r>
              <w:rPr>
                <w:rFonts w:hint="eastAsia"/>
                <w:bCs/>
                <w:sz w:val="24"/>
              </w:rPr>
              <w:t>生活污水经化粪池预处理后接入</w:t>
            </w:r>
            <w:r>
              <w:rPr>
                <w:kern w:val="0"/>
                <w:sz w:val="24"/>
                <w:szCs w:val="24"/>
              </w:rPr>
              <w:t>宜兴市华骐污水处理厂</w:t>
            </w:r>
            <w:r>
              <w:rPr>
                <w:bCs/>
                <w:sz w:val="24"/>
              </w:rPr>
              <w:t>集中处理，</w:t>
            </w:r>
            <w:r>
              <w:rPr>
                <w:rFonts w:hint="eastAsia"/>
                <w:bCs/>
                <w:sz w:val="24"/>
              </w:rPr>
              <w:t>尾水达标后排入蠡河，</w:t>
            </w:r>
            <w:r>
              <w:rPr>
                <w:bCs/>
                <w:sz w:val="24"/>
              </w:rPr>
              <w:t>污水</w:t>
            </w:r>
            <w:r>
              <w:rPr>
                <w:rFonts w:hint="eastAsia"/>
                <w:bCs/>
                <w:sz w:val="24"/>
              </w:rPr>
              <w:t>排放</w:t>
            </w:r>
            <w:r>
              <w:rPr>
                <w:bCs/>
                <w:sz w:val="24"/>
              </w:rPr>
              <w:t>执行《污水综合排放标准》（GB8978-1996）表4 中三级标准，标准中无规定的氨氮、总磷指标执行《污水排入城镇下水道水质标准》</w:t>
            </w:r>
            <w:r>
              <w:rPr>
                <w:rFonts w:hint="eastAsia"/>
                <w:bCs/>
                <w:sz w:val="24"/>
              </w:rPr>
              <w:t>（</w:t>
            </w:r>
            <w:r>
              <w:rPr>
                <w:bCs/>
                <w:sz w:val="24"/>
              </w:rPr>
              <w:t>GB/T31962- 2015）表1 中B 等级标准要求。污水</w:t>
            </w:r>
            <w:r>
              <w:rPr>
                <w:rFonts w:hint="eastAsia"/>
                <w:bCs/>
                <w:sz w:val="24"/>
              </w:rPr>
              <w:t>处理</w:t>
            </w:r>
            <w:r>
              <w:rPr>
                <w:bCs/>
                <w:sz w:val="24"/>
              </w:rPr>
              <w:t>厂尾水排放执行《城镇污水处理厂污染物排放标准》（GB18918-2002）一级标准A 标准及</w:t>
            </w:r>
            <w:r>
              <w:rPr>
                <w:rFonts w:hint="eastAsia" w:hAnsi="宋体"/>
                <w:bCs/>
                <w:sz w:val="24"/>
              </w:rPr>
              <w:t>2021年1月1号前执行</w:t>
            </w:r>
            <w:r>
              <w:rPr>
                <w:rFonts w:hAnsi="宋体"/>
                <w:bCs/>
                <w:sz w:val="24"/>
              </w:rPr>
              <w:t>《太湖地区城镇污水处理厂及重点工业行业主要水污染物排放限值》</w:t>
            </w:r>
            <w:r>
              <w:rPr>
                <w:bCs/>
                <w:sz w:val="24"/>
                <w:lang w:val="en-US"/>
              </w:rPr>
              <w:t>(DB32/1072-2007)</w:t>
            </w:r>
            <w:r>
              <w:rPr>
                <w:rFonts w:hint="eastAsia"/>
                <w:bCs/>
                <w:sz w:val="24"/>
                <w:lang w:val="en-US"/>
              </w:rPr>
              <w:t>标准、2021年1月1号后</w:t>
            </w:r>
            <w:r>
              <w:rPr>
                <w:rFonts w:hint="eastAsia" w:hAnsi="宋体"/>
                <w:bCs/>
                <w:sz w:val="24"/>
              </w:rPr>
              <w:t>执行</w:t>
            </w:r>
            <w:r>
              <w:rPr>
                <w:rFonts w:hAnsi="宋体"/>
                <w:bCs/>
                <w:sz w:val="24"/>
              </w:rPr>
              <w:t>《太湖地区城镇污水处理厂及重点工业行业主要水污染物排放限值》</w:t>
            </w:r>
            <w:r>
              <w:rPr>
                <w:sz w:val="24"/>
              </w:rPr>
              <w:t>(DB32/1072</w:t>
            </w:r>
            <w:r>
              <w:rPr>
                <w:rFonts w:hint="eastAsia"/>
                <w:sz w:val="24"/>
              </w:rPr>
              <w:t>－</w:t>
            </w:r>
            <w:r>
              <w:rPr>
                <w:sz w:val="24"/>
              </w:rPr>
              <w:t>20</w:t>
            </w:r>
            <w:r>
              <w:rPr>
                <w:rFonts w:hint="eastAsia"/>
                <w:sz w:val="24"/>
              </w:rPr>
              <w:t>18</w:t>
            </w:r>
            <w:r>
              <w:rPr>
                <w:sz w:val="24"/>
              </w:rPr>
              <w:t>)</w:t>
            </w:r>
            <w:r>
              <w:rPr>
                <w:rFonts w:hint="eastAsia"/>
                <w:sz w:val="24"/>
              </w:rPr>
              <w:t>标准</w:t>
            </w:r>
            <w:r>
              <w:rPr>
                <w:rFonts w:hint="eastAsia"/>
                <w:bCs/>
                <w:sz w:val="24"/>
                <w:lang w:val="en-US"/>
              </w:rPr>
              <w:t>。</w:t>
            </w:r>
            <w:r>
              <w:rPr>
                <w:rFonts w:hint="eastAsia" w:hAnsi="宋体"/>
                <w:bCs/>
                <w:sz w:val="24"/>
              </w:rPr>
              <w:t>pH、SS</w:t>
            </w:r>
            <w:r>
              <w:rPr>
                <w:rFonts w:hAnsi="宋体"/>
                <w:bCs/>
                <w:sz w:val="24"/>
              </w:rPr>
              <w:t>指标执行</w:t>
            </w:r>
            <w:r>
              <w:rPr>
                <w:rFonts w:hint="eastAsia" w:hAnsi="宋体"/>
                <w:bCs/>
                <w:sz w:val="24"/>
              </w:rPr>
              <w:t>《城镇污水处理厂污染物排放标准》（GB18918-2002）表 1 一级A 标准，</w:t>
            </w:r>
            <w:r>
              <w:rPr>
                <w:bCs/>
                <w:sz w:val="24"/>
              </w:rPr>
              <w:t>主要指标见下表4-</w:t>
            </w:r>
            <w:r>
              <w:rPr>
                <w:rFonts w:hint="eastAsia"/>
                <w:bCs/>
                <w:sz w:val="24"/>
                <w:lang w:val="en-US"/>
              </w:rPr>
              <w:t>4</w:t>
            </w:r>
            <w:r>
              <w:rPr>
                <w:bCs/>
                <w:sz w:val="24"/>
              </w:rPr>
              <w:t>。</w:t>
            </w:r>
          </w:p>
          <w:p>
            <w:pPr>
              <w:pStyle w:val="134"/>
              <w:widowControl w:val="0"/>
              <w:numPr>
                <w:ilvl w:val="0"/>
                <w:numId w:val="0"/>
              </w:numPr>
              <w:rPr>
                <w:rFonts w:hAnsi="Times New Roman"/>
                <w:sz w:val="24"/>
                <w:szCs w:val="24"/>
                <w:lang w:val="fi-FI"/>
              </w:rPr>
            </w:pPr>
            <w:r>
              <w:rPr>
                <w:rFonts w:hAnsi="Times New Roman"/>
                <w:sz w:val="24"/>
                <w:szCs w:val="24"/>
              </w:rPr>
              <w:t xml:space="preserve">表4-4  </w:t>
            </w:r>
            <w:r>
              <w:rPr>
                <w:rFonts w:hint="eastAsia" w:hAnsi="Times New Roman"/>
                <w:sz w:val="24"/>
                <w:szCs w:val="24"/>
                <w:lang w:val="fi-FI"/>
              </w:rPr>
              <w:t>生产废水接管标准及污水处理厂出水标准值</w:t>
            </w:r>
            <w:r>
              <w:rPr>
                <w:rFonts w:hAnsi="Times New Roman"/>
                <w:sz w:val="24"/>
                <w:szCs w:val="24"/>
                <w:lang w:val="fi-FI"/>
              </w:rPr>
              <w:t xml:space="preserve">  单位：mg/L</w:t>
            </w:r>
          </w:p>
          <w:tbl>
            <w:tblPr>
              <w:tblStyle w:val="75"/>
              <w:tblW w:w="7937" w:type="dxa"/>
              <w:jc w:val="center"/>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23"/>
              <w:gridCol w:w="1088"/>
              <w:gridCol w:w="1451"/>
              <w:gridCol w:w="1345"/>
              <w:gridCol w:w="1281"/>
            </w:tblGrid>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pPr>
                  <w:r>
                    <w:rPr>
                      <w:rFonts w:hint="eastAsia"/>
                    </w:rPr>
                    <w:t>排放口名称</w:t>
                  </w:r>
                </w:p>
              </w:tc>
              <w:tc>
                <w:tcPr>
                  <w:tcW w:w="1923" w:type="dxa"/>
                  <w:vMerge w:val="restart"/>
                  <w:vAlign w:val="center"/>
                </w:tcPr>
                <w:p>
                  <w:pPr>
                    <w:jc w:val="center"/>
                  </w:pPr>
                  <w:r>
                    <w:rPr>
                      <w:rFonts w:hint="eastAsia"/>
                    </w:rPr>
                    <w:t>执行标准</w:t>
                  </w:r>
                </w:p>
              </w:tc>
              <w:tc>
                <w:tcPr>
                  <w:tcW w:w="1088" w:type="dxa"/>
                  <w:vMerge w:val="restart"/>
                  <w:vAlign w:val="center"/>
                </w:tcPr>
                <w:p>
                  <w:pPr>
                    <w:jc w:val="center"/>
                  </w:pPr>
                  <w:r>
                    <w:rPr>
                      <w:rFonts w:hint="eastAsia"/>
                    </w:rPr>
                    <w:t>取值表号级别</w:t>
                  </w:r>
                </w:p>
              </w:tc>
              <w:tc>
                <w:tcPr>
                  <w:tcW w:w="1451" w:type="dxa"/>
                  <w:vMerge w:val="restart"/>
                  <w:vAlign w:val="center"/>
                </w:tcPr>
                <w:p>
                  <w:pPr>
                    <w:jc w:val="center"/>
                  </w:pPr>
                  <w:r>
                    <w:rPr>
                      <w:rFonts w:hint="eastAsia"/>
                    </w:rPr>
                    <w:t>污染物指标</w:t>
                  </w:r>
                </w:p>
              </w:tc>
              <w:tc>
                <w:tcPr>
                  <w:tcW w:w="2626" w:type="dxa"/>
                  <w:gridSpan w:val="2"/>
                  <w:vAlign w:val="center"/>
                </w:tcPr>
                <w:p>
                  <w:pPr>
                    <w:jc w:val="center"/>
                  </w:pPr>
                  <w:r>
                    <w:rPr>
                      <w:rFonts w:hint="eastAsia"/>
                    </w:rPr>
                    <w:t>标准限值</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Merge w:val="continue"/>
                  <w:vAlign w:val="center"/>
                </w:tcPr>
                <w:p>
                  <w:pPr>
                    <w:jc w:val="center"/>
                  </w:pPr>
                </w:p>
              </w:tc>
              <w:tc>
                <w:tcPr>
                  <w:tcW w:w="1345" w:type="dxa"/>
                  <w:vAlign w:val="center"/>
                </w:tcPr>
                <w:p>
                  <w:pPr>
                    <w:jc w:val="center"/>
                  </w:pPr>
                  <w:r>
                    <w:t xml:space="preserve">2021.1.1前 </w:t>
                  </w:r>
                </w:p>
              </w:tc>
              <w:tc>
                <w:tcPr>
                  <w:tcW w:w="1281" w:type="dxa"/>
                  <w:vAlign w:val="center"/>
                </w:tcPr>
                <w:p>
                  <w:pPr>
                    <w:jc w:val="center"/>
                  </w:pPr>
                  <w:r>
                    <w:t xml:space="preserve">2021.1.1 </w:t>
                  </w:r>
                  <w:r>
                    <w:rPr>
                      <w:rFonts w:hint="eastAsia"/>
                    </w:rPr>
                    <w:t>后</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restart"/>
                  <w:vAlign w:val="center"/>
                </w:tcPr>
                <w:p>
                  <w:pPr>
                    <w:jc w:val="center"/>
                  </w:pPr>
                  <w:r>
                    <w:rPr>
                      <w:rFonts w:hint="eastAsia"/>
                    </w:rPr>
                    <w:t>厂排口</w:t>
                  </w:r>
                </w:p>
              </w:tc>
              <w:tc>
                <w:tcPr>
                  <w:tcW w:w="1923" w:type="dxa"/>
                  <w:vMerge w:val="restart"/>
                  <w:vAlign w:val="center"/>
                </w:tcPr>
                <w:p>
                  <w:pPr>
                    <w:jc w:val="center"/>
                  </w:pPr>
                  <w:r>
                    <w:rPr>
                      <w:rFonts w:hint="eastAsia"/>
                    </w:rPr>
                    <w:t>《污水综合排放标准》</w:t>
                  </w:r>
                </w:p>
                <w:p>
                  <w:pPr>
                    <w:jc w:val="center"/>
                  </w:pPr>
                  <w:r>
                    <w:rPr>
                      <w:rFonts w:hint="eastAsia"/>
                    </w:rPr>
                    <w:t>（</w:t>
                  </w:r>
                  <w:r>
                    <w:t>GB8978－1996）</w:t>
                  </w:r>
                </w:p>
              </w:tc>
              <w:tc>
                <w:tcPr>
                  <w:tcW w:w="1088" w:type="dxa"/>
                  <w:vMerge w:val="restart"/>
                  <w:vAlign w:val="center"/>
                </w:tcPr>
                <w:p>
                  <w:pPr>
                    <w:jc w:val="center"/>
                  </w:pPr>
                  <w:r>
                    <w:rPr>
                      <w:rFonts w:hint="eastAsia"/>
                    </w:rPr>
                    <w:t>表</w:t>
                  </w:r>
                  <w:r>
                    <w:t>4三级标准</w:t>
                  </w:r>
                </w:p>
              </w:tc>
              <w:tc>
                <w:tcPr>
                  <w:tcW w:w="1451" w:type="dxa"/>
                  <w:vAlign w:val="center"/>
                </w:tcPr>
                <w:p>
                  <w:pPr>
                    <w:jc w:val="center"/>
                  </w:pPr>
                  <w:r>
                    <w:t>pH</w:t>
                  </w:r>
                </w:p>
              </w:tc>
              <w:tc>
                <w:tcPr>
                  <w:tcW w:w="2626" w:type="dxa"/>
                  <w:gridSpan w:val="2"/>
                  <w:vAlign w:val="center"/>
                </w:tcPr>
                <w:p>
                  <w:pPr>
                    <w:jc w:val="center"/>
                  </w:pPr>
                  <w: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COD</w:t>
                  </w:r>
                </w:p>
              </w:tc>
              <w:tc>
                <w:tcPr>
                  <w:tcW w:w="2626" w:type="dxa"/>
                  <w:gridSpan w:val="2"/>
                  <w:vAlign w:val="center"/>
                </w:tcPr>
                <w:p>
                  <w:pPr>
                    <w:jc w:val="center"/>
                  </w:pPr>
                  <w:r>
                    <w:t>500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SS</w:t>
                  </w:r>
                </w:p>
              </w:tc>
              <w:tc>
                <w:tcPr>
                  <w:tcW w:w="2626" w:type="dxa"/>
                  <w:gridSpan w:val="2"/>
                  <w:vAlign w:val="center"/>
                </w:tcPr>
                <w:p>
                  <w:pPr>
                    <w:jc w:val="center"/>
                  </w:pPr>
                  <w:r>
                    <w:t>400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49" w:type="dxa"/>
                  <w:vMerge w:val="continue"/>
                  <w:vAlign w:val="center"/>
                </w:tcPr>
                <w:p>
                  <w:pPr>
                    <w:jc w:val="center"/>
                  </w:pPr>
                </w:p>
              </w:tc>
              <w:tc>
                <w:tcPr>
                  <w:tcW w:w="1923" w:type="dxa"/>
                  <w:vMerge w:val="restart"/>
                  <w:vAlign w:val="center"/>
                </w:tcPr>
                <w:p>
                  <w:pPr>
                    <w:jc w:val="center"/>
                  </w:pPr>
                  <w:r>
                    <w:rPr>
                      <w:rFonts w:hint="eastAsia"/>
                    </w:rPr>
                    <w:t>《污水排入城镇下水道水质标准》</w:t>
                  </w:r>
                </w:p>
                <w:p>
                  <w:pPr>
                    <w:jc w:val="center"/>
                  </w:pPr>
                  <w:r>
                    <w:rPr>
                      <w:rFonts w:hint="eastAsia"/>
                    </w:rPr>
                    <w:t>（</w:t>
                  </w:r>
                  <w:r>
                    <w:t>GB/T31962-2015）</w:t>
                  </w:r>
                </w:p>
              </w:tc>
              <w:tc>
                <w:tcPr>
                  <w:tcW w:w="1088" w:type="dxa"/>
                  <w:vMerge w:val="restart"/>
                  <w:vAlign w:val="center"/>
                </w:tcPr>
                <w:p>
                  <w:pPr>
                    <w:jc w:val="center"/>
                  </w:pPr>
                  <w:r>
                    <w:rPr>
                      <w:rFonts w:hint="eastAsia"/>
                    </w:rPr>
                    <w:t>表</w:t>
                  </w:r>
                  <w:r>
                    <w:t>1</w:t>
                  </w:r>
                  <w:r>
                    <w:rPr>
                      <w:rFonts w:hint="eastAsia"/>
                      <w:lang w:val="en-US"/>
                    </w:rPr>
                    <w:t xml:space="preserve"> </w:t>
                  </w:r>
                  <w:r>
                    <w:t>B</w:t>
                  </w:r>
                  <w:r>
                    <w:rPr>
                      <w:rFonts w:hint="eastAsia"/>
                    </w:rPr>
                    <w:t>级</w:t>
                  </w:r>
                </w:p>
              </w:tc>
              <w:tc>
                <w:tcPr>
                  <w:tcW w:w="1451" w:type="dxa"/>
                  <w:vAlign w:val="center"/>
                </w:tcPr>
                <w:p>
                  <w:pPr>
                    <w:jc w:val="center"/>
                  </w:pPr>
                  <w:r>
                    <w:t>NH</w:t>
                  </w:r>
                  <w:r>
                    <w:rPr>
                      <w:vertAlign w:val="subscript"/>
                    </w:rPr>
                    <w:t>3</w:t>
                  </w:r>
                  <w:r>
                    <w:t>-H</w:t>
                  </w:r>
                </w:p>
              </w:tc>
              <w:tc>
                <w:tcPr>
                  <w:tcW w:w="2626" w:type="dxa"/>
                  <w:gridSpan w:val="2"/>
                  <w:vAlign w:val="center"/>
                </w:tcPr>
                <w:p>
                  <w:pPr>
                    <w:jc w:val="center"/>
                  </w:pPr>
                  <w:r>
                    <w:t>45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TP</w:t>
                  </w:r>
                </w:p>
              </w:tc>
              <w:tc>
                <w:tcPr>
                  <w:tcW w:w="2626" w:type="dxa"/>
                  <w:gridSpan w:val="2"/>
                  <w:vAlign w:val="center"/>
                </w:tcPr>
                <w:p>
                  <w:pPr>
                    <w:jc w:val="center"/>
                  </w:pPr>
                  <w:r>
                    <w:t>8</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TN</w:t>
                  </w:r>
                </w:p>
              </w:tc>
              <w:tc>
                <w:tcPr>
                  <w:tcW w:w="2626" w:type="dxa"/>
                  <w:gridSpan w:val="2"/>
                  <w:vAlign w:val="center"/>
                </w:tcPr>
                <w:p>
                  <w:pPr>
                    <w:jc w:val="center"/>
                  </w:pPr>
                  <w:r>
                    <w:t>70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849" w:type="dxa"/>
                  <w:vMerge w:val="restart"/>
                  <w:vAlign w:val="center"/>
                </w:tcPr>
                <w:p>
                  <w:pPr>
                    <w:jc w:val="center"/>
                  </w:pPr>
                  <w:r>
                    <w:rPr>
                      <w:rFonts w:hint="eastAsia"/>
                    </w:rPr>
                    <w:t>污水厂排口</w:t>
                  </w:r>
                </w:p>
              </w:tc>
              <w:tc>
                <w:tcPr>
                  <w:tcW w:w="1923" w:type="dxa"/>
                  <w:vMerge w:val="restart"/>
                  <w:vAlign w:val="center"/>
                </w:tcPr>
                <w:p>
                  <w:pPr>
                    <w:jc w:val="center"/>
                  </w:pPr>
                  <w:r>
                    <w:rPr>
                      <w:rFonts w:hint="eastAsia"/>
                    </w:rPr>
                    <w:t>太湖地区城镇污水处理厂及重点工业行业水污染物排放限值</w:t>
                  </w:r>
                </w:p>
                <w:p>
                  <w:pPr>
                    <w:jc w:val="center"/>
                  </w:pPr>
                  <w:r>
                    <w:t>(DB32/1072-2018)</w:t>
                  </w:r>
                </w:p>
              </w:tc>
              <w:tc>
                <w:tcPr>
                  <w:tcW w:w="1088" w:type="dxa"/>
                  <w:vMerge w:val="restart"/>
                  <w:vAlign w:val="center"/>
                </w:tcPr>
                <w:p>
                  <w:pPr>
                    <w:jc w:val="center"/>
                  </w:pPr>
                  <w:r>
                    <w:rPr>
                      <w:rFonts w:hint="eastAsia"/>
                    </w:rPr>
                    <w:t>表</w:t>
                  </w:r>
                  <w:r>
                    <w:t xml:space="preserve">2 </w:t>
                  </w:r>
                </w:p>
              </w:tc>
              <w:tc>
                <w:tcPr>
                  <w:tcW w:w="1451" w:type="dxa"/>
                  <w:vAlign w:val="center"/>
                </w:tcPr>
                <w:p>
                  <w:pPr>
                    <w:jc w:val="center"/>
                  </w:pPr>
                  <w:r>
                    <w:t>COD</w:t>
                  </w:r>
                </w:p>
              </w:tc>
              <w:tc>
                <w:tcPr>
                  <w:tcW w:w="1345" w:type="dxa"/>
                  <w:vAlign w:val="center"/>
                </w:tcPr>
                <w:p>
                  <w:pPr>
                    <w:jc w:val="center"/>
                  </w:pPr>
                  <w:r>
                    <w:t>50</w:t>
                  </w:r>
                </w:p>
              </w:tc>
              <w:tc>
                <w:tcPr>
                  <w:tcW w:w="1281" w:type="dxa"/>
                  <w:vAlign w:val="center"/>
                </w:tcPr>
                <w:p>
                  <w:pPr>
                    <w:jc w:val="center"/>
                  </w:pPr>
                  <w:r>
                    <w:t>50</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NH</w:t>
                  </w:r>
                  <w:r>
                    <w:rPr>
                      <w:vertAlign w:val="subscript"/>
                    </w:rPr>
                    <w:t>3</w:t>
                  </w:r>
                  <w:r>
                    <w:t>-H</w:t>
                  </w:r>
                </w:p>
              </w:tc>
              <w:tc>
                <w:tcPr>
                  <w:tcW w:w="1345" w:type="dxa"/>
                  <w:vAlign w:val="center"/>
                </w:tcPr>
                <w:p>
                  <w:pPr>
                    <w:jc w:val="center"/>
                  </w:pPr>
                  <w:r>
                    <w:t>5（8）*</w:t>
                  </w:r>
                </w:p>
              </w:tc>
              <w:tc>
                <w:tcPr>
                  <w:tcW w:w="1281" w:type="dxa"/>
                  <w:vAlign w:val="center"/>
                </w:tcPr>
                <w:p>
                  <w:pPr>
                    <w:jc w:val="center"/>
                  </w:pPr>
                  <w:r>
                    <w:t>4（6）*</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TP</w:t>
                  </w:r>
                </w:p>
              </w:tc>
              <w:tc>
                <w:tcPr>
                  <w:tcW w:w="1345" w:type="dxa"/>
                  <w:vAlign w:val="center"/>
                </w:tcPr>
                <w:p>
                  <w:pPr>
                    <w:jc w:val="center"/>
                  </w:pPr>
                  <w:r>
                    <w:t>0.5</w:t>
                  </w:r>
                </w:p>
              </w:tc>
              <w:tc>
                <w:tcPr>
                  <w:tcW w:w="1281" w:type="dxa"/>
                  <w:vAlign w:val="center"/>
                </w:tcPr>
                <w:p>
                  <w:pPr>
                    <w:jc w:val="center"/>
                  </w:pPr>
                  <w:r>
                    <w:t>0.5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TN</w:t>
                  </w:r>
                </w:p>
              </w:tc>
              <w:tc>
                <w:tcPr>
                  <w:tcW w:w="1345" w:type="dxa"/>
                  <w:vAlign w:val="center"/>
                </w:tcPr>
                <w:p>
                  <w:pPr>
                    <w:jc w:val="center"/>
                  </w:pPr>
                  <w:r>
                    <w:t>15</w:t>
                  </w:r>
                </w:p>
              </w:tc>
              <w:tc>
                <w:tcPr>
                  <w:tcW w:w="1281" w:type="dxa"/>
                  <w:vAlign w:val="center"/>
                </w:tcPr>
                <w:p>
                  <w:pPr>
                    <w:jc w:val="center"/>
                  </w:pPr>
                  <w:r>
                    <w:t>12（15）</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49" w:type="dxa"/>
                  <w:vMerge w:val="continue"/>
                  <w:vAlign w:val="center"/>
                </w:tcPr>
                <w:p>
                  <w:pPr>
                    <w:jc w:val="center"/>
                  </w:pPr>
                </w:p>
              </w:tc>
              <w:tc>
                <w:tcPr>
                  <w:tcW w:w="1923" w:type="dxa"/>
                  <w:vMerge w:val="restart"/>
                  <w:vAlign w:val="center"/>
                </w:tcPr>
                <w:p>
                  <w:pPr>
                    <w:jc w:val="center"/>
                  </w:pPr>
                  <w:r>
                    <w:rPr>
                      <w:rFonts w:hint="eastAsia"/>
                    </w:rPr>
                    <w:t>《城镇污水处理厂污染物排放标准》</w:t>
                  </w:r>
                </w:p>
                <w:p>
                  <w:pPr>
                    <w:jc w:val="center"/>
                  </w:pPr>
                  <w:r>
                    <w:rPr>
                      <w:rFonts w:hint="eastAsia"/>
                    </w:rPr>
                    <w:t>（</w:t>
                  </w:r>
                  <w:r>
                    <w:t>GB18918-2002）</w:t>
                  </w:r>
                </w:p>
              </w:tc>
              <w:tc>
                <w:tcPr>
                  <w:tcW w:w="1088" w:type="dxa"/>
                  <w:vMerge w:val="restart"/>
                  <w:vAlign w:val="center"/>
                </w:tcPr>
                <w:p>
                  <w:pPr>
                    <w:jc w:val="center"/>
                  </w:pPr>
                  <w:r>
                    <w:rPr>
                      <w:rFonts w:hint="eastAsia"/>
                    </w:rPr>
                    <w:t>表</w:t>
                  </w:r>
                  <w:r>
                    <w:t>1</w:t>
                  </w:r>
                  <w:r>
                    <w:rPr>
                      <w:rFonts w:hint="eastAsia"/>
                    </w:rPr>
                    <w:t>一级</w:t>
                  </w:r>
                </w:p>
                <w:p>
                  <w:pPr>
                    <w:jc w:val="center"/>
                  </w:pPr>
                  <w:r>
                    <w:t>A</w:t>
                  </w:r>
                  <w:r>
                    <w:rPr>
                      <w:rFonts w:hint="eastAsia"/>
                    </w:rPr>
                    <w:t>标准</w:t>
                  </w:r>
                </w:p>
              </w:tc>
              <w:tc>
                <w:tcPr>
                  <w:tcW w:w="1451" w:type="dxa"/>
                  <w:vAlign w:val="center"/>
                </w:tcPr>
                <w:p>
                  <w:pPr>
                    <w:jc w:val="center"/>
                  </w:pPr>
                  <w:r>
                    <w:t>pH</w:t>
                  </w:r>
                </w:p>
              </w:tc>
              <w:tc>
                <w:tcPr>
                  <w:tcW w:w="2626" w:type="dxa"/>
                  <w:gridSpan w:val="2"/>
                  <w:vAlign w:val="center"/>
                </w:tcPr>
                <w:p>
                  <w:pPr>
                    <w:jc w:val="center"/>
                  </w:pPr>
                  <w:r>
                    <w:t>6~9</w:t>
                  </w:r>
                </w:p>
              </w:tc>
            </w:tr>
            <w:tr>
              <w:tblPrEx>
                <w:tblBorders>
                  <w:top w:val="double" w:color="auto" w:sz="4" w:space="0"/>
                  <w:left w:val="none" w:color="auto" w:sz="0" w:space="0"/>
                  <w:bottom w:val="double" w:color="auto"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9" w:type="dxa"/>
                  <w:vMerge w:val="continue"/>
                  <w:vAlign w:val="center"/>
                </w:tcPr>
                <w:p>
                  <w:pPr>
                    <w:jc w:val="center"/>
                  </w:pPr>
                </w:p>
              </w:tc>
              <w:tc>
                <w:tcPr>
                  <w:tcW w:w="1923" w:type="dxa"/>
                  <w:vMerge w:val="continue"/>
                  <w:vAlign w:val="center"/>
                </w:tcPr>
                <w:p>
                  <w:pPr>
                    <w:jc w:val="center"/>
                  </w:pPr>
                </w:p>
              </w:tc>
              <w:tc>
                <w:tcPr>
                  <w:tcW w:w="1088" w:type="dxa"/>
                  <w:vMerge w:val="continue"/>
                  <w:vAlign w:val="center"/>
                </w:tcPr>
                <w:p>
                  <w:pPr>
                    <w:jc w:val="center"/>
                  </w:pPr>
                </w:p>
              </w:tc>
              <w:tc>
                <w:tcPr>
                  <w:tcW w:w="1451" w:type="dxa"/>
                  <w:vAlign w:val="center"/>
                </w:tcPr>
                <w:p>
                  <w:pPr>
                    <w:jc w:val="center"/>
                  </w:pPr>
                  <w:r>
                    <w:t>SS</w:t>
                  </w:r>
                </w:p>
              </w:tc>
              <w:tc>
                <w:tcPr>
                  <w:tcW w:w="2626" w:type="dxa"/>
                  <w:gridSpan w:val="2"/>
                  <w:vAlign w:val="center"/>
                </w:tcPr>
                <w:p>
                  <w:pPr>
                    <w:jc w:val="center"/>
                  </w:pPr>
                  <w:r>
                    <w:t>10</w:t>
                  </w:r>
                </w:p>
              </w:tc>
            </w:tr>
          </w:tbl>
          <w:p>
            <w:pPr>
              <w:ind w:firstLine="316" w:firstLineChars="150"/>
              <w:rPr>
                <w:bCs/>
                <w:szCs w:val="21"/>
              </w:rPr>
            </w:pPr>
            <w:r>
              <w:rPr>
                <w:b/>
                <w:kern w:val="0"/>
                <w:szCs w:val="21"/>
                <w:lang w:val="en-US"/>
              </w:rPr>
              <w:t>注：</w:t>
            </w:r>
            <w:r>
              <w:rPr>
                <w:kern w:val="0"/>
                <w:szCs w:val="21"/>
                <w:lang w:val="en-US"/>
              </w:rPr>
              <w:t>括号外数值为水温＞12℃时的控制指标，括号内数值为水温≤12℃时的控制指标。</w:t>
            </w:r>
          </w:p>
          <w:p>
            <w:pPr>
              <w:spacing w:line="360" w:lineRule="auto"/>
              <w:ind w:firstLine="480" w:firstLineChars="200"/>
              <w:rPr>
                <w:bCs/>
                <w:sz w:val="24"/>
              </w:rPr>
            </w:pPr>
            <w:r>
              <w:rPr>
                <w:rFonts w:hint="eastAsia"/>
                <w:bCs/>
                <w:sz w:val="24"/>
              </w:rPr>
              <w:t>2</w:t>
            </w:r>
            <w:r>
              <w:rPr>
                <w:bCs/>
                <w:sz w:val="24"/>
              </w:rPr>
              <w:t>、噪声</w:t>
            </w:r>
          </w:p>
          <w:p>
            <w:pPr>
              <w:snapToGrid w:val="0"/>
              <w:spacing w:line="360" w:lineRule="auto"/>
              <w:ind w:firstLine="480" w:firstLineChars="200"/>
              <w:rPr>
                <w:bCs/>
                <w:sz w:val="24"/>
              </w:rPr>
            </w:pPr>
            <w:r>
              <w:rPr>
                <w:rFonts w:hint="eastAsia"/>
                <w:sz w:val="24"/>
              </w:rPr>
              <w:t>本项目</w:t>
            </w:r>
            <w:r>
              <w:rPr>
                <w:rFonts w:hint="eastAsia"/>
                <w:sz w:val="24"/>
                <w:lang w:eastAsia="zh-CN"/>
              </w:rPr>
              <w:t>夜间不生产</w:t>
            </w:r>
            <w:r>
              <w:rPr>
                <w:rFonts w:hint="eastAsia"/>
                <w:sz w:val="24"/>
              </w:rPr>
              <w:t>，运营期厂界噪声执行《工业企业厂界环境噪声排放标准》（</w:t>
            </w:r>
            <w:r>
              <w:rPr>
                <w:sz w:val="24"/>
              </w:rPr>
              <w:t>GB12348—2008）中3类标准，即昼间65dB(A)</w:t>
            </w:r>
            <w:r>
              <w:rPr>
                <w:rFonts w:hint="eastAsia"/>
                <w:bCs/>
                <w:sz w:val="24"/>
              </w:rPr>
              <w:t>。</w:t>
            </w:r>
            <w:r>
              <w:rPr>
                <w:bCs/>
                <w:sz w:val="24"/>
              </w:rPr>
              <w:t>具体指标见表4-</w:t>
            </w:r>
            <w:r>
              <w:rPr>
                <w:rFonts w:hint="eastAsia"/>
                <w:bCs/>
                <w:sz w:val="24"/>
                <w:lang w:val="en-US" w:eastAsia="zh-CN"/>
              </w:rPr>
              <w:t>5</w:t>
            </w:r>
            <w:r>
              <w:rPr>
                <w:bCs/>
                <w:sz w:val="24"/>
              </w:rPr>
              <w:t>。</w:t>
            </w:r>
          </w:p>
          <w:p>
            <w:pPr>
              <w:pStyle w:val="134"/>
              <w:numPr>
                <w:ilvl w:val="0"/>
                <w:numId w:val="0"/>
              </w:numPr>
              <w:adjustRightInd w:val="0"/>
              <w:snapToGrid w:val="0"/>
              <w:rPr>
                <w:rFonts w:hAnsi="Times New Roman"/>
                <w:b w:val="0"/>
                <w:sz w:val="24"/>
                <w:szCs w:val="24"/>
              </w:rPr>
            </w:pPr>
            <w:r>
              <w:rPr>
                <w:rFonts w:hAnsi="Times New Roman"/>
                <w:sz w:val="24"/>
                <w:szCs w:val="24"/>
              </w:rPr>
              <w:t>表4-</w:t>
            </w:r>
            <w:r>
              <w:rPr>
                <w:rFonts w:hint="eastAsia" w:hAnsi="Times New Roman"/>
                <w:sz w:val="24"/>
                <w:szCs w:val="24"/>
                <w:lang w:val="en-US" w:eastAsia="zh-CN"/>
              </w:rPr>
              <w:t xml:space="preserve">5 </w:t>
            </w:r>
            <w:r>
              <w:rPr>
                <w:rFonts w:hAnsi="Times New Roman"/>
                <w:sz w:val="24"/>
                <w:szCs w:val="24"/>
              </w:rPr>
              <w:t xml:space="preserve"> 《工业企业厂界环境噪声排放标准》(GB12348-2008)</w:t>
            </w:r>
          </w:p>
          <w:tbl>
            <w:tblPr>
              <w:tblStyle w:val="75"/>
              <w:tblW w:w="793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1531"/>
              <w:gridCol w:w="327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664" w:type="dxa"/>
                  <w:gridSpan w:val="2"/>
                  <w:vMerge w:val="restart"/>
                  <w:vAlign w:val="center"/>
                </w:tcPr>
                <w:p>
                  <w:pPr>
                    <w:adjustRightInd w:val="0"/>
                    <w:snapToGrid w:val="0"/>
                    <w:jc w:val="center"/>
                    <w:rPr>
                      <w:color w:val="000000"/>
                      <w:szCs w:val="21"/>
                    </w:rPr>
                  </w:pPr>
                  <w:r>
                    <w:rPr>
                      <w:color w:val="000000"/>
                      <w:szCs w:val="21"/>
                    </w:rPr>
                    <w:t>执行标准</w:t>
                  </w:r>
                </w:p>
              </w:tc>
              <w:tc>
                <w:tcPr>
                  <w:tcW w:w="3273" w:type="dxa"/>
                  <w:vAlign w:val="center"/>
                </w:tcPr>
                <w:p>
                  <w:pPr>
                    <w:adjustRightInd w:val="0"/>
                    <w:snapToGrid w:val="0"/>
                    <w:jc w:val="center"/>
                    <w:rPr>
                      <w:color w:val="000000"/>
                      <w:szCs w:val="21"/>
                    </w:rPr>
                  </w:pPr>
                  <w:r>
                    <w:rPr>
                      <w:color w:val="000000"/>
                      <w:szCs w:val="21"/>
                    </w:rPr>
                    <w:t>标准值  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4664" w:type="dxa"/>
                  <w:gridSpan w:val="2"/>
                  <w:vMerge w:val="continue"/>
                  <w:vAlign w:val="center"/>
                </w:tcPr>
                <w:p>
                  <w:pPr>
                    <w:adjustRightInd w:val="0"/>
                    <w:snapToGrid w:val="0"/>
                    <w:jc w:val="center"/>
                    <w:rPr>
                      <w:color w:val="000000"/>
                      <w:szCs w:val="21"/>
                    </w:rPr>
                  </w:pPr>
                </w:p>
              </w:tc>
              <w:tc>
                <w:tcPr>
                  <w:tcW w:w="3273" w:type="dxa"/>
                  <w:vAlign w:val="center"/>
                </w:tcPr>
                <w:p>
                  <w:pPr>
                    <w:adjustRightInd w:val="0"/>
                    <w:snapToGrid w:val="0"/>
                    <w:jc w:val="center"/>
                    <w:rPr>
                      <w:color w:val="000000"/>
                      <w:szCs w:val="21"/>
                    </w:rPr>
                  </w:pPr>
                  <w:r>
                    <w:rPr>
                      <w:color w:val="000000"/>
                      <w:szCs w:val="21"/>
                    </w:rPr>
                    <w:t>昼间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33" w:type="dxa"/>
                  <w:vAlign w:val="center"/>
                </w:tcPr>
                <w:p>
                  <w:pPr>
                    <w:adjustRightInd w:val="0"/>
                    <w:snapToGrid w:val="0"/>
                    <w:jc w:val="center"/>
                    <w:rPr>
                      <w:color w:val="000000"/>
                      <w:szCs w:val="21"/>
                    </w:rPr>
                  </w:pPr>
                  <w:r>
                    <w:rPr>
                      <w:color w:val="000000"/>
                      <w:szCs w:val="21"/>
                    </w:rPr>
                    <w:t>《工业企业厂界环境噪声排放标准》(GB12348-2008)</w:t>
                  </w:r>
                </w:p>
              </w:tc>
              <w:tc>
                <w:tcPr>
                  <w:tcW w:w="1531" w:type="dxa"/>
                  <w:vAlign w:val="center"/>
                </w:tcPr>
                <w:p>
                  <w:pPr>
                    <w:adjustRightInd w:val="0"/>
                    <w:snapToGrid w:val="0"/>
                    <w:jc w:val="center"/>
                    <w:rPr>
                      <w:color w:val="000000"/>
                      <w:szCs w:val="21"/>
                    </w:rPr>
                  </w:pPr>
                  <w:r>
                    <w:rPr>
                      <w:rFonts w:hint="eastAsia"/>
                      <w:color w:val="000000"/>
                      <w:szCs w:val="21"/>
                    </w:rPr>
                    <w:t>3</w:t>
                  </w:r>
                  <w:r>
                    <w:rPr>
                      <w:color w:val="000000"/>
                      <w:szCs w:val="21"/>
                    </w:rPr>
                    <w:t>类区标准</w:t>
                  </w:r>
                </w:p>
              </w:tc>
              <w:tc>
                <w:tcPr>
                  <w:tcW w:w="3273" w:type="dxa"/>
                  <w:vAlign w:val="center"/>
                </w:tcPr>
                <w:p>
                  <w:pPr>
                    <w:adjustRightInd w:val="0"/>
                    <w:snapToGrid w:val="0"/>
                    <w:jc w:val="center"/>
                    <w:rPr>
                      <w:color w:val="000000"/>
                      <w:szCs w:val="21"/>
                    </w:rPr>
                  </w:pPr>
                  <w:r>
                    <w:rPr>
                      <w:color w:val="000000"/>
                      <w:szCs w:val="21"/>
                    </w:rPr>
                    <w:t>6</w:t>
                  </w:r>
                  <w:r>
                    <w:rPr>
                      <w:rFonts w:hint="eastAsia"/>
                      <w:color w:val="000000"/>
                      <w:szCs w:val="21"/>
                    </w:rPr>
                    <w:t>5</w:t>
                  </w:r>
                </w:p>
              </w:tc>
            </w:tr>
          </w:tbl>
          <w:p>
            <w:pPr>
              <w:autoSpaceDE w:val="0"/>
              <w:autoSpaceDN w:val="0"/>
              <w:adjustRightInd w:val="0"/>
              <w:jc w:val="left"/>
              <w:rPr>
                <w:rFonts w:eastAsiaTheme="minorEastAsia"/>
                <w:bCs/>
                <w:kern w:val="0"/>
                <w:sz w:val="24"/>
                <w:szCs w:val="24"/>
              </w:rPr>
            </w:pPr>
            <w:r>
              <w:rPr>
                <w:b/>
                <w:kern w:val="0"/>
                <w:szCs w:val="21"/>
                <w:lang w:val="en-US"/>
              </w:rPr>
              <w:t>注：</w:t>
            </w:r>
            <w:r>
              <w:rPr>
                <w:kern w:val="0"/>
                <w:szCs w:val="21"/>
                <w:lang w:val="en-US"/>
              </w:rPr>
              <w:t>“昼间”是指6:00至22:00之间的时段，“夜间”是指22:00至次日6:00之间的时段。夜间噪声最大声级超过限值的幅度不得高于15dB（A）</w:t>
            </w:r>
            <w:r>
              <w:rPr>
                <w:rFonts w:hint="eastAsia"/>
                <w:kern w:val="0"/>
                <w:szCs w:val="21"/>
                <w:lang w:val="en-US"/>
              </w:rPr>
              <w:t>。</w:t>
            </w:r>
          </w:p>
          <w:p>
            <w:pPr>
              <w:numPr>
                <w:ilvl w:val="0"/>
                <w:numId w:val="15"/>
              </w:numPr>
              <w:autoSpaceDE w:val="0"/>
              <w:autoSpaceDN w:val="0"/>
              <w:adjustRightInd w:val="0"/>
              <w:snapToGrid w:val="0"/>
              <w:spacing w:before="120" w:beforeLines="50" w:line="360" w:lineRule="auto"/>
              <w:ind w:firstLine="480" w:firstLineChars="200"/>
              <w:jc w:val="left"/>
              <w:rPr>
                <w:rFonts w:eastAsiaTheme="minorEastAsia"/>
                <w:bCs/>
                <w:kern w:val="0"/>
                <w:sz w:val="24"/>
                <w:szCs w:val="24"/>
              </w:rPr>
            </w:pPr>
            <w:r>
              <w:rPr>
                <w:rFonts w:hint="eastAsia" w:eastAsiaTheme="minorEastAsia"/>
                <w:bCs/>
                <w:kern w:val="0"/>
                <w:sz w:val="24"/>
                <w:szCs w:val="24"/>
              </w:rPr>
              <w:t>废气</w:t>
            </w:r>
            <w:r>
              <w:rPr>
                <w:rFonts w:hint="eastAsia" w:eastAsiaTheme="minorEastAsia"/>
                <w:bCs/>
                <w:kern w:val="0"/>
                <w:sz w:val="24"/>
                <w:szCs w:val="24"/>
                <w:lang w:val="en-US"/>
              </w:rPr>
              <w:t xml:space="preserve">           </w:t>
            </w:r>
          </w:p>
          <w:p>
            <w:pPr>
              <w:snapToGrid w:val="0"/>
              <w:spacing w:line="360" w:lineRule="auto"/>
              <w:ind w:firstLine="480" w:firstLineChars="200"/>
              <w:rPr>
                <w:rFonts w:hAnsi="宋体"/>
                <w:bCs/>
                <w:sz w:val="24"/>
              </w:rPr>
            </w:pPr>
            <w:r>
              <w:rPr>
                <w:rFonts w:hint="eastAsia" w:hAnsi="宋体"/>
                <w:bCs/>
                <w:sz w:val="24"/>
              </w:rPr>
              <w:t>本项目废气主要为陶瓷制品毛坯和陶瓷模具毛坯打磨时产生的颗粒物。</w:t>
            </w:r>
          </w:p>
          <w:p>
            <w:pPr>
              <w:snapToGrid w:val="0"/>
              <w:spacing w:line="360" w:lineRule="auto"/>
              <w:ind w:firstLine="480" w:firstLineChars="200"/>
              <w:rPr>
                <w:rFonts w:hAnsi="宋体"/>
                <w:bCs/>
                <w:sz w:val="24"/>
                <w:lang w:val="en-US"/>
              </w:rPr>
            </w:pPr>
            <w:r>
              <w:rPr>
                <w:rFonts w:hint="eastAsia" w:hAnsi="宋体"/>
                <w:bCs/>
                <w:sz w:val="24"/>
                <w:lang w:val="en-US"/>
              </w:rPr>
              <w:t>生产过程中产生的颗粒物执行</w:t>
            </w:r>
            <w:r>
              <w:rPr>
                <w:rFonts w:hint="eastAsia" w:hAnsi="宋体"/>
                <w:bCs/>
                <w:sz w:val="24"/>
              </w:rPr>
              <w:t>《陶瓷工业污染物排放标准》（GB25464-2010）中表6</w:t>
            </w:r>
            <w:r>
              <w:rPr>
                <w:rFonts w:hint="eastAsia" w:hAnsi="宋体"/>
                <w:bCs/>
                <w:sz w:val="24"/>
                <w:lang w:val="en-US"/>
              </w:rPr>
              <w:t>中限值。详见表 4-</w:t>
            </w:r>
            <w:r>
              <w:rPr>
                <w:rFonts w:hint="eastAsia" w:hAnsi="宋体"/>
                <w:bCs/>
                <w:sz w:val="24"/>
                <w:lang w:val="en-US" w:eastAsia="zh-CN"/>
              </w:rPr>
              <w:t>6</w:t>
            </w:r>
            <w:r>
              <w:rPr>
                <w:rFonts w:hint="eastAsia" w:hAnsi="宋体"/>
                <w:bCs/>
                <w:sz w:val="24"/>
                <w:lang w:val="en-US"/>
              </w:rPr>
              <w:t>。</w:t>
            </w:r>
          </w:p>
          <w:p>
            <w:pPr>
              <w:pStyle w:val="134"/>
              <w:numPr>
                <w:ilvl w:val="0"/>
                <w:numId w:val="0"/>
              </w:numPr>
              <w:spacing w:line="400" w:lineRule="exact"/>
              <w:rPr>
                <w:rFonts w:hAnsi="Times New Roman"/>
                <w:bCs/>
                <w:sz w:val="24"/>
                <w:szCs w:val="24"/>
              </w:rPr>
            </w:pPr>
            <w:r>
              <w:rPr>
                <w:rFonts w:hAnsi="Times New Roman"/>
                <w:bCs/>
                <w:sz w:val="24"/>
                <w:szCs w:val="24"/>
              </w:rPr>
              <w:t>表4-</w:t>
            </w:r>
            <w:r>
              <w:rPr>
                <w:rFonts w:hint="eastAsia" w:hAnsi="Times New Roman"/>
                <w:bCs/>
                <w:sz w:val="24"/>
                <w:szCs w:val="24"/>
                <w:lang w:val="en-US" w:eastAsia="zh-CN"/>
              </w:rPr>
              <w:t>6</w:t>
            </w:r>
            <w:r>
              <w:rPr>
                <w:rFonts w:hint="eastAsia" w:hAnsi="Times New Roman"/>
                <w:bCs/>
                <w:sz w:val="24"/>
                <w:szCs w:val="24"/>
              </w:rPr>
              <w:t xml:space="preserve"> 颗粒物排放标准</w:t>
            </w:r>
          </w:p>
          <w:tbl>
            <w:tblPr>
              <w:tblStyle w:val="75"/>
              <w:tblW w:w="7877"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870"/>
              <w:gridCol w:w="349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8" w:type="dxa"/>
                  <w:vMerge w:val="restart"/>
                  <w:vAlign w:val="center"/>
                </w:tcPr>
                <w:p>
                  <w:pPr>
                    <w:jc w:val="center"/>
                    <w:rPr>
                      <w:b/>
                    </w:rPr>
                  </w:pPr>
                  <w:r>
                    <w:rPr>
                      <w:rFonts w:hAnsi="宋体"/>
                      <w:b/>
                    </w:rPr>
                    <w:t>污染物名称</w:t>
                  </w:r>
                </w:p>
              </w:tc>
              <w:tc>
                <w:tcPr>
                  <w:tcW w:w="2870" w:type="dxa"/>
                  <w:vMerge w:val="restart"/>
                  <w:vAlign w:val="center"/>
                </w:tcPr>
                <w:p>
                  <w:pPr>
                    <w:jc w:val="center"/>
                    <w:rPr>
                      <w:rFonts w:hAnsi="宋体"/>
                      <w:b/>
                    </w:rPr>
                  </w:pPr>
                  <w:r>
                    <w:rPr>
                      <w:rFonts w:hAnsi="宋体"/>
                      <w:b/>
                      <w:szCs w:val="22"/>
                    </w:rPr>
                    <w:t>监控点</w:t>
                  </w:r>
                </w:p>
              </w:tc>
              <w:tc>
                <w:tcPr>
                  <w:tcW w:w="3499" w:type="dxa"/>
                  <w:vMerge w:val="restart"/>
                  <w:vAlign w:val="center"/>
                </w:tcPr>
                <w:p>
                  <w:pPr>
                    <w:jc w:val="center"/>
                    <w:rPr>
                      <w:b/>
                    </w:rPr>
                  </w:pPr>
                  <w:r>
                    <w:rPr>
                      <w:rFonts w:hAnsi="宋体"/>
                      <w:b/>
                    </w:rPr>
                    <w:t>无组织排放监控浓度</w:t>
                  </w:r>
                  <w:r>
                    <w:rPr>
                      <w:rFonts w:hint="eastAsia" w:hAnsi="宋体"/>
                      <w:b/>
                    </w:rPr>
                    <w:t>限值</w:t>
                  </w:r>
                  <w:r>
                    <w:rPr>
                      <w:rFonts w:hAnsi="宋体"/>
                      <w:b/>
                    </w:rPr>
                    <w:t>（</w:t>
                  </w:r>
                  <w:r>
                    <w:rPr>
                      <w:b/>
                    </w:rPr>
                    <w:t>mg/m</w:t>
                  </w:r>
                  <w:r>
                    <w:rPr>
                      <w:b/>
                      <w:szCs w:val="21"/>
                      <w:vertAlign w:val="superscript"/>
                    </w:rPr>
                    <w:t>3</w:t>
                  </w:r>
                  <w:r>
                    <w:rPr>
                      <w:rFonts w:hAnsi="宋体"/>
                      <w:b/>
                    </w:rPr>
                    <w:t>）</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8" w:type="dxa"/>
                  <w:vMerge w:val="continue"/>
                  <w:vAlign w:val="center"/>
                </w:tcPr>
                <w:p>
                  <w:pPr>
                    <w:jc w:val="center"/>
                  </w:pPr>
                </w:p>
              </w:tc>
              <w:tc>
                <w:tcPr>
                  <w:tcW w:w="2870" w:type="dxa"/>
                  <w:vMerge w:val="continue"/>
                  <w:vAlign w:val="center"/>
                </w:tcPr>
                <w:p>
                  <w:pPr>
                    <w:jc w:val="center"/>
                    <w:rPr>
                      <w:rFonts w:hAnsi="宋体"/>
                      <w:b/>
                    </w:rPr>
                  </w:pPr>
                </w:p>
              </w:tc>
              <w:tc>
                <w:tcPr>
                  <w:tcW w:w="3499" w:type="dxa"/>
                  <w:vMerge w:val="continue"/>
                  <w:vAlign w:val="center"/>
                </w:tcPr>
                <w:p>
                  <w:pPr>
                    <w:jc w:val="center"/>
                    <w:rPr>
                      <w:b/>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8" w:type="dxa"/>
                  <w:vAlign w:val="center"/>
                </w:tcPr>
                <w:p>
                  <w:pPr>
                    <w:jc w:val="center"/>
                  </w:pPr>
                  <w:r>
                    <w:rPr>
                      <w:rFonts w:hAnsi="宋体"/>
                    </w:rPr>
                    <w:t>颗粒物</w:t>
                  </w:r>
                </w:p>
              </w:tc>
              <w:tc>
                <w:tcPr>
                  <w:tcW w:w="2870" w:type="dxa"/>
                  <w:vAlign w:val="center"/>
                </w:tcPr>
                <w:p>
                  <w:pPr>
                    <w:jc w:val="center"/>
                    <w:rPr>
                      <w:szCs w:val="21"/>
                      <w:lang w:val="en-US"/>
                    </w:rPr>
                  </w:pPr>
                  <w:r>
                    <w:rPr>
                      <w:rFonts w:hAnsi="宋体"/>
                      <w:szCs w:val="21"/>
                    </w:rPr>
                    <w:t>周界外浓度最高点</w:t>
                  </w:r>
                </w:p>
              </w:tc>
              <w:tc>
                <w:tcPr>
                  <w:tcW w:w="3499" w:type="dxa"/>
                  <w:vAlign w:val="center"/>
                </w:tcPr>
                <w:p>
                  <w:pPr>
                    <w:jc w:val="center"/>
                  </w:pPr>
                  <w:r>
                    <w:t>1.0</w:t>
                  </w:r>
                </w:p>
              </w:tc>
            </w:tr>
          </w:tbl>
          <w:p>
            <w:pPr>
              <w:numPr>
                <w:ilvl w:val="0"/>
                <w:numId w:val="15"/>
              </w:numPr>
              <w:autoSpaceDE w:val="0"/>
              <w:autoSpaceDN w:val="0"/>
              <w:adjustRightInd w:val="0"/>
              <w:spacing w:line="360" w:lineRule="auto"/>
              <w:ind w:firstLine="480" w:firstLineChars="200"/>
              <w:rPr>
                <w:rFonts w:eastAsiaTheme="minorEastAsia"/>
                <w:bCs/>
                <w:kern w:val="0"/>
                <w:sz w:val="24"/>
                <w:szCs w:val="24"/>
                <w:lang w:val="en-US"/>
              </w:rPr>
            </w:pPr>
            <w:r>
              <w:rPr>
                <w:rFonts w:hint="eastAsia" w:eastAsiaTheme="minorEastAsia"/>
                <w:bCs/>
                <w:kern w:val="0"/>
                <w:sz w:val="24"/>
                <w:szCs w:val="24"/>
                <w:lang w:val="en-US"/>
              </w:rPr>
              <w:t>固废</w:t>
            </w: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r>
              <w:rPr>
                <w:rFonts w:hint="eastAsia" w:eastAsiaTheme="minorEastAsia"/>
                <w:bCs/>
                <w:kern w:val="0"/>
                <w:sz w:val="24"/>
                <w:szCs w:val="24"/>
                <w:lang w:val="en-US"/>
              </w:rPr>
              <w:t>一般工业固体废物临时堆场应满足《一般工业固体废物贮存、处置场污染控制标准》（GB18599-2001）及2013年修改单要求（环境保护部公告2013年第36号）。</w:t>
            </w: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numPr>
                <w:ilvl w:val="255"/>
                <w:numId w:val="0"/>
              </w:numPr>
              <w:autoSpaceDE w:val="0"/>
              <w:autoSpaceDN w:val="0"/>
              <w:adjustRightInd w:val="0"/>
              <w:spacing w:line="360" w:lineRule="auto"/>
              <w:ind w:firstLine="480" w:firstLineChars="200"/>
              <w:rPr>
                <w:rFonts w:eastAsiaTheme="minorEastAsia"/>
                <w:bCs/>
                <w:kern w:val="0"/>
                <w:sz w:val="24"/>
                <w:szCs w:val="24"/>
                <w:lang w:val="en-US"/>
              </w:rPr>
            </w:pPr>
          </w:p>
          <w:p>
            <w:pPr>
              <w:pStyle w:val="2"/>
              <w:rPr>
                <w:lang w:val="en-US"/>
              </w:rPr>
            </w:pPr>
          </w:p>
          <w:p>
            <w:pPr>
              <w:autoSpaceDE w:val="0"/>
              <w:autoSpaceDN w:val="0"/>
              <w:adjustRightInd w:val="0"/>
              <w:jc w:val="lef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6" w:type="dxa"/>
            <w:vAlign w:val="center"/>
          </w:tcPr>
          <w:p>
            <w:pPr>
              <w:pStyle w:val="156"/>
              <w:tabs>
                <w:tab w:val="left" w:pos="5400"/>
              </w:tabs>
              <w:spacing w:beforeLines="0" w:afterLines="0" w:line="360" w:lineRule="auto"/>
              <w:rPr>
                <w:rFonts w:eastAsia="宋体"/>
                <w:kern w:val="0"/>
              </w:rPr>
            </w:pPr>
            <w:r>
              <w:rPr>
                <w:rFonts w:eastAsia="宋体"/>
                <w:kern w:val="0"/>
              </w:rPr>
              <w:t>总</w:t>
            </w:r>
          </w:p>
          <w:p>
            <w:pPr>
              <w:pStyle w:val="156"/>
              <w:tabs>
                <w:tab w:val="left" w:pos="5400"/>
              </w:tabs>
              <w:spacing w:beforeLines="0" w:afterLines="0" w:line="360" w:lineRule="auto"/>
              <w:rPr>
                <w:rFonts w:eastAsia="宋体"/>
                <w:kern w:val="0"/>
              </w:rPr>
            </w:pPr>
            <w:r>
              <w:rPr>
                <w:rFonts w:eastAsia="宋体"/>
                <w:kern w:val="0"/>
              </w:rPr>
              <w:t>量</w:t>
            </w:r>
          </w:p>
          <w:p>
            <w:pPr>
              <w:pStyle w:val="156"/>
              <w:tabs>
                <w:tab w:val="left" w:pos="5400"/>
              </w:tabs>
              <w:spacing w:beforeLines="0" w:afterLines="0" w:line="360" w:lineRule="auto"/>
              <w:rPr>
                <w:rFonts w:eastAsia="宋体"/>
                <w:kern w:val="0"/>
              </w:rPr>
            </w:pPr>
            <w:r>
              <w:rPr>
                <w:rFonts w:eastAsia="宋体"/>
                <w:kern w:val="0"/>
              </w:rPr>
              <w:t>控</w:t>
            </w:r>
          </w:p>
          <w:p>
            <w:pPr>
              <w:pStyle w:val="156"/>
              <w:tabs>
                <w:tab w:val="left" w:pos="5400"/>
              </w:tabs>
              <w:spacing w:beforeLines="0" w:afterLines="0" w:line="360" w:lineRule="auto"/>
              <w:rPr>
                <w:rFonts w:eastAsia="宋体"/>
                <w:kern w:val="0"/>
              </w:rPr>
            </w:pPr>
            <w:r>
              <w:rPr>
                <w:rFonts w:eastAsia="宋体"/>
                <w:kern w:val="0"/>
              </w:rPr>
              <w:t>制</w:t>
            </w:r>
          </w:p>
          <w:p>
            <w:pPr>
              <w:pStyle w:val="156"/>
              <w:tabs>
                <w:tab w:val="left" w:pos="5400"/>
              </w:tabs>
              <w:spacing w:beforeLines="0" w:afterLines="0" w:line="360" w:lineRule="auto"/>
              <w:rPr>
                <w:rFonts w:eastAsia="宋体"/>
                <w:kern w:val="0"/>
              </w:rPr>
            </w:pPr>
            <w:r>
              <w:rPr>
                <w:rFonts w:eastAsia="宋体"/>
                <w:kern w:val="0"/>
              </w:rPr>
              <w:t>指</w:t>
            </w:r>
          </w:p>
          <w:p>
            <w:pPr>
              <w:pStyle w:val="156"/>
              <w:tabs>
                <w:tab w:val="left" w:pos="5400"/>
              </w:tabs>
              <w:spacing w:beforeLines="0" w:afterLines="0" w:line="360" w:lineRule="auto"/>
              <w:rPr>
                <w:rFonts w:eastAsia="宋体"/>
                <w:kern w:val="0"/>
              </w:rPr>
            </w:pPr>
            <w:r>
              <w:rPr>
                <w:rFonts w:eastAsia="宋体"/>
                <w:kern w:val="0"/>
              </w:rPr>
              <w:t>标</w:t>
            </w:r>
          </w:p>
        </w:tc>
        <w:tc>
          <w:tcPr>
            <w:tcW w:w="8073" w:type="dxa"/>
          </w:tcPr>
          <w:p>
            <w:pPr>
              <w:spacing w:line="360" w:lineRule="auto"/>
              <w:ind w:firstLine="482" w:firstLineChars="200"/>
              <w:rPr>
                <w:b/>
                <w:sz w:val="24"/>
                <w:szCs w:val="24"/>
              </w:rPr>
            </w:pPr>
            <w:r>
              <w:rPr>
                <w:b/>
                <w:sz w:val="24"/>
                <w:szCs w:val="24"/>
              </w:rPr>
              <w:t>1、总量控制原则</w:t>
            </w:r>
          </w:p>
          <w:p>
            <w:pPr>
              <w:spacing w:line="360" w:lineRule="auto"/>
              <w:ind w:firstLine="480" w:firstLineChars="200"/>
              <w:rPr>
                <w:bCs/>
                <w:sz w:val="24"/>
                <w:szCs w:val="24"/>
              </w:rPr>
            </w:pPr>
            <w:r>
              <w:rPr>
                <w:bCs/>
                <w:sz w:val="24"/>
                <w:szCs w:val="24"/>
              </w:rPr>
              <w:t>《</w:t>
            </w:r>
            <w:r>
              <w:rPr>
                <w:sz w:val="24"/>
                <w:szCs w:val="24"/>
              </w:rPr>
              <w:t>建设项目环境保护管理条例</w:t>
            </w:r>
            <w:r>
              <w:rPr>
                <w:bCs/>
                <w:sz w:val="24"/>
                <w:szCs w:val="24"/>
              </w:rPr>
              <w:t>》中规定：建设产生污染的建设项目，必须遵守污染物排放的国家标准和地方标准，在实施重点污染物排放总量控制的区域内，还必须符合重点污染物的排放总量控制的要求。</w:t>
            </w:r>
          </w:p>
          <w:p>
            <w:pPr>
              <w:spacing w:line="360" w:lineRule="auto"/>
              <w:ind w:firstLine="480" w:firstLineChars="200"/>
              <w:rPr>
                <w:rFonts w:hint="eastAsia"/>
                <w:bCs/>
                <w:sz w:val="24"/>
                <w:szCs w:val="24"/>
              </w:rPr>
            </w:pPr>
            <w:r>
              <w:rPr>
                <w:bCs/>
                <w:sz w:val="24"/>
                <w:szCs w:val="24"/>
              </w:rPr>
              <w:t>根据</w:t>
            </w:r>
            <w:r>
              <w:rPr>
                <w:rFonts w:hint="eastAsia"/>
                <w:bCs/>
                <w:sz w:val="24"/>
                <w:szCs w:val="24"/>
                <w:lang w:eastAsia="zh-CN"/>
              </w:rPr>
              <w:t>《</w:t>
            </w:r>
            <w:r>
              <w:rPr>
                <w:rFonts w:hint="eastAsia"/>
                <w:bCs/>
                <w:sz w:val="24"/>
                <w:szCs w:val="24"/>
              </w:rPr>
              <w:t>国务院关于印发“十三五”生态环境保护规划的通知</w:t>
            </w:r>
            <w:r>
              <w:rPr>
                <w:rFonts w:hint="eastAsia"/>
                <w:bCs/>
                <w:sz w:val="24"/>
                <w:szCs w:val="24"/>
                <w:lang w:eastAsia="zh-CN"/>
              </w:rPr>
              <w:t>》</w:t>
            </w:r>
            <w:r>
              <w:rPr>
                <w:rFonts w:hint="eastAsia"/>
                <w:bCs/>
                <w:sz w:val="24"/>
                <w:szCs w:val="24"/>
              </w:rPr>
              <w:t>（国发〔2016〕65号），</w:t>
            </w:r>
            <w:r>
              <w:rPr>
                <w:rFonts w:hint="eastAsia"/>
                <w:bCs/>
                <w:sz w:val="24"/>
                <w:szCs w:val="24"/>
                <w:lang w:eastAsia="zh-CN"/>
              </w:rPr>
              <w:t>“</w:t>
            </w:r>
            <w:r>
              <w:rPr>
                <w:bCs/>
                <w:sz w:val="24"/>
                <w:szCs w:val="24"/>
              </w:rPr>
              <w:t>十</w:t>
            </w:r>
            <w:r>
              <w:rPr>
                <w:rFonts w:hint="eastAsia"/>
                <w:bCs/>
                <w:sz w:val="24"/>
                <w:szCs w:val="24"/>
                <w:lang w:eastAsia="zh-CN"/>
              </w:rPr>
              <w:t>三</w:t>
            </w:r>
            <w:r>
              <w:rPr>
                <w:bCs/>
                <w:sz w:val="24"/>
                <w:szCs w:val="24"/>
              </w:rPr>
              <w:t>五</w:t>
            </w:r>
            <w:r>
              <w:rPr>
                <w:rFonts w:hint="eastAsia"/>
                <w:bCs/>
                <w:sz w:val="24"/>
                <w:szCs w:val="24"/>
                <w:lang w:eastAsia="zh-CN"/>
              </w:rPr>
              <w:t>”</w:t>
            </w:r>
            <w:r>
              <w:rPr>
                <w:bCs/>
                <w:sz w:val="24"/>
                <w:szCs w:val="24"/>
              </w:rPr>
              <w:t>期间国家对二氧化硫、化学需氧量、氨氮、氮氧化物四种主要污染物实行排放总量控制计划管理。</w:t>
            </w:r>
            <w:r>
              <w:rPr>
                <w:rFonts w:hint="eastAsia"/>
                <w:bCs/>
                <w:sz w:val="24"/>
                <w:szCs w:val="24"/>
              </w:rPr>
              <w:t>在重点地区、重点行业推进挥发性有机物总量控制，对沿海56个城市及29个富营养化湖库实施总氮总量控制，总磷超标的控制单元以及上游相关地区实施总磷总量控制。</w:t>
            </w:r>
          </w:p>
          <w:p>
            <w:pPr>
              <w:spacing w:line="360" w:lineRule="auto"/>
              <w:ind w:firstLine="482" w:firstLineChars="200"/>
              <w:rPr>
                <w:b/>
                <w:sz w:val="24"/>
                <w:szCs w:val="24"/>
              </w:rPr>
            </w:pPr>
            <w:r>
              <w:rPr>
                <w:b/>
                <w:sz w:val="24"/>
                <w:szCs w:val="24"/>
              </w:rPr>
              <w:t>2、总量控制建议值</w:t>
            </w:r>
          </w:p>
          <w:p>
            <w:pPr>
              <w:snapToGrid w:val="0"/>
              <w:spacing w:line="360" w:lineRule="auto"/>
              <w:ind w:firstLine="480" w:firstLineChars="200"/>
              <w:rPr>
                <w:rFonts w:hint="eastAsia" w:eastAsia="宋体"/>
                <w:kern w:val="0"/>
                <w:sz w:val="24"/>
                <w:szCs w:val="24"/>
                <w:lang w:eastAsia="zh-CN"/>
              </w:rPr>
            </w:pPr>
            <w:r>
              <w:rPr>
                <w:rFonts w:hint="eastAsia"/>
                <w:kern w:val="0"/>
                <w:sz w:val="24"/>
                <w:szCs w:val="24"/>
              </w:rPr>
              <w:t>本项目所在区域属于“双控区”中的酸雨控制区和太湖流域一级保护区</w:t>
            </w:r>
            <w:r>
              <w:rPr>
                <w:rFonts w:hint="eastAsia"/>
                <w:kern w:val="0"/>
                <w:sz w:val="24"/>
                <w:szCs w:val="24"/>
                <w:lang w:eastAsia="zh-CN"/>
              </w:rPr>
              <w:t>。</w:t>
            </w:r>
          </w:p>
          <w:p>
            <w:pPr>
              <w:snapToGrid w:val="0"/>
              <w:spacing w:line="360" w:lineRule="auto"/>
              <w:rPr>
                <w:rFonts w:hint="eastAsia" w:eastAsia="宋体"/>
                <w:kern w:val="0"/>
                <w:sz w:val="24"/>
                <w:szCs w:val="24"/>
                <w:lang w:val="en-US" w:eastAsia="zh-CN"/>
              </w:rPr>
            </w:pPr>
            <w:r>
              <w:rPr>
                <w:rFonts w:hint="eastAsia"/>
                <w:kern w:val="0"/>
                <w:sz w:val="24"/>
                <w:szCs w:val="24"/>
                <w:lang w:val="en-US" w:eastAsia="zh-CN"/>
              </w:rPr>
              <w:t xml:space="preserve">    废气：无组织：颗粒物</w:t>
            </w:r>
            <w:r>
              <w:rPr>
                <w:rFonts w:hint="eastAsia"/>
                <w:color w:val="000000"/>
                <w:sz w:val="24"/>
                <w:lang w:val="en-US" w:eastAsia="zh-CN"/>
              </w:rPr>
              <w:t>0.000725</w:t>
            </w:r>
            <w:r>
              <w:rPr>
                <w:rFonts w:hint="eastAsia"/>
                <w:color w:val="000000"/>
                <w:sz w:val="24"/>
                <w:lang w:val="en-US"/>
              </w:rPr>
              <w:t>t/a</w:t>
            </w:r>
            <w:r>
              <w:rPr>
                <w:rFonts w:hint="eastAsia"/>
                <w:color w:val="000000"/>
                <w:sz w:val="24"/>
                <w:lang w:val="en-US" w:eastAsia="zh-CN"/>
              </w:rPr>
              <w:t>；</w:t>
            </w:r>
          </w:p>
          <w:p>
            <w:pPr>
              <w:snapToGrid w:val="0"/>
              <w:spacing w:line="360" w:lineRule="auto"/>
              <w:ind w:firstLine="480" w:firstLineChars="200"/>
              <w:rPr>
                <w:kern w:val="0"/>
                <w:sz w:val="24"/>
                <w:szCs w:val="24"/>
              </w:rPr>
            </w:pPr>
            <w:r>
              <w:rPr>
                <w:rFonts w:hint="eastAsia"/>
                <w:kern w:val="0"/>
                <w:sz w:val="24"/>
                <w:szCs w:val="24"/>
              </w:rPr>
              <w:t>废水：本项目废水主要为生活污水，经</w:t>
            </w:r>
            <w:r>
              <w:rPr>
                <w:rFonts w:hint="eastAsia"/>
                <w:kern w:val="0"/>
                <w:sz w:val="24"/>
                <w:szCs w:val="24"/>
                <w:lang w:val="en-US"/>
              </w:rPr>
              <w:t>化粪池预处理后接入</w:t>
            </w:r>
            <w:r>
              <w:rPr>
                <w:rFonts w:hint="eastAsia"/>
                <w:kern w:val="0"/>
                <w:sz w:val="24"/>
                <w:szCs w:val="24"/>
              </w:rPr>
              <w:t>宜兴市华骐污水处理厂集中处理，</w:t>
            </w:r>
            <w:r>
              <w:rPr>
                <w:rFonts w:hint="eastAsia"/>
                <w:bCs/>
                <w:kern w:val="0"/>
                <w:sz w:val="24"/>
                <w:szCs w:val="24"/>
                <w:lang w:val="en-US"/>
              </w:rPr>
              <w:t>污水</w:t>
            </w:r>
            <w:r>
              <w:rPr>
                <w:rFonts w:hint="eastAsia"/>
                <w:kern w:val="0"/>
                <w:sz w:val="24"/>
                <w:szCs w:val="24"/>
                <w:lang w:val="en-US"/>
              </w:rPr>
              <w:t>量</w:t>
            </w:r>
            <w:r>
              <w:rPr>
                <w:rFonts w:hint="eastAsia"/>
                <w:kern w:val="0"/>
                <w:sz w:val="24"/>
                <w:szCs w:val="24"/>
              </w:rPr>
              <w:t>72</w:t>
            </w:r>
            <w:r>
              <w:rPr>
                <w:kern w:val="0"/>
                <w:sz w:val="24"/>
                <w:szCs w:val="24"/>
              </w:rPr>
              <w:t>t/a，</w:t>
            </w:r>
            <w:r>
              <w:rPr>
                <w:rFonts w:hint="eastAsia"/>
                <w:kern w:val="0"/>
                <w:sz w:val="24"/>
                <w:szCs w:val="24"/>
              </w:rPr>
              <w:t>COD 0.025t/a，</w:t>
            </w:r>
            <w:r>
              <w:rPr>
                <w:kern w:val="0"/>
                <w:sz w:val="24"/>
                <w:szCs w:val="24"/>
              </w:rPr>
              <w:t>SS</w:t>
            </w:r>
            <w:r>
              <w:rPr>
                <w:rFonts w:hint="eastAsia"/>
                <w:kern w:val="0"/>
                <w:sz w:val="24"/>
                <w:szCs w:val="24"/>
              </w:rPr>
              <w:t xml:space="preserve"> 0.014t/a， NH</w:t>
            </w:r>
            <w:r>
              <w:rPr>
                <w:rFonts w:hint="eastAsia"/>
                <w:kern w:val="0"/>
                <w:sz w:val="24"/>
                <w:szCs w:val="24"/>
                <w:vertAlign w:val="subscript"/>
              </w:rPr>
              <w:t>3</w:t>
            </w:r>
            <w:r>
              <w:rPr>
                <w:rFonts w:hint="eastAsia"/>
                <w:kern w:val="0"/>
                <w:sz w:val="24"/>
                <w:szCs w:val="24"/>
              </w:rPr>
              <w:t>-N</w:t>
            </w:r>
            <w:r>
              <w:rPr>
                <w:kern w:val="0"/>
                <w:sz w:val="24"/>
                <w:szCs w:val="24"/>
              </w:rPr>
              <w:t xml:space="preserve"> 0.0</w:t>
            </w:r>
            <w:r>
              <w:rPr>
                <w:rFonts w:hint="eastAsia"/>
                <w:kern w:val="0"/>
                <w:sz w:val="24"/>
                <w:szCs w:val="24"/>
              </w:rPr>
              <w:t xml:space="preserve">025t/a，TP </w:t>
            </w:r>
            <w:r>
              <w:rPr>
                <w:kern w:val="0"/>
                <w:sz w:val="24"/>
                <w:szCs w:val="24"/>
              </w:rPr>
              <w:t>0.00</w:t>
            </w:r>
            <w:r>
              <w:rPr>
                <w:rFonts w:hint="eastAsia"/>
                <w:kern w:val="0"/>
                <w:sz w:val="24"/>
                <w:szCs w:val="24"/>
              </w:rPr>
              <w:t>036t/a，TN 0.0032t/a</w:t>
            </w:r>
            <w:r>
              <w:rPr>
                <w:kern w:val="0"/>
                <w:sz w:val="24"/>
                <w:szCs w:val="24"/>
              </w:rPr>
              <w:t>；</w:t>
            </w:r>
            <w:r>
              <w:rPr>
                <w:rFonts w:hint="eastAsia"/>
                <w:kern w:val="0"/>
                <w:sz w:val="24"/>
                <w:szCs w:val="24"/>
                <w:lang w:val="en-US"/>
              </w:rPr>
              <w:t>经污水厂处理后排放量分别为</w:t>
            </w:r>
            <w:r>
              <w:rPr>
                <w:rFonts w:hint="eastAsia"/>
                <w:kern w:val="0"/>
                <w:sz w:val="24"/>
                <w:szCs w:val="24"/>
              </w:rPr>
              <w:t>：COD0.0036t/a，</w:t>
            </w:r>
            <w:r>
              <w:rPr>
                <w:kern w:val="0"/>
                <w:sz w:val="24"/>
                <w:szCs w:val="24"/>
              </w:rPr>
              <w:t>SS</w:t>
            </w:r>
            <w:r>
              <w:rPr>
                <w:rFonts w:hint="eastAsia"/>
                <w:kern w:val="0"/>
                <w:sz w:val="24"/>
                <w:szCs w:val="24"/>
              </w:rPr>
              <w:t xml:space="preserve"> 0.00072t/a，NH</w:t>
            </w:r>
            <w:r>
              <w:rPr>
                <w:rFonts w:hint="eastAsia"/>
                <w:kern w:val="0"/>
                <w:sz w:val="24"/>
                <w:szCs w:val="24"/>
                <w:vertAlign w:val="subscript"/>
              </w:rPr>
              <w:t>3</w:t>
            </w:r>
            <w:r>
              <w:rPr>
                <w:rFonts w:hint="eastAsia"/>
                <w:kern w:val="0"/>
                <w:sz w:val="24"/>
                <w:szCs w:val="24"/>
              </w:rPr>
              <w:t>-N</w:t>
            </w:r>
            <w:r>
              <w:rPr>
                <w:kern w:val="0"/>
                <w:sz w:val="24"/>
                <w:szCs w:val="24"/>
              </w:rPr>
              <w:t xml:space="preserve"> </w:t>
            </w:r>
            <w:r>
              <w:rPr>
                <w:rFonts w:hint="eastAsia"/>
                <w:kern w:val="0"/>
                <w:sz w:val="24"/>
                <w:szCs w:val="24"/>
              </w:rPr>
              <w:t xml:space="preserve">0.00036t/a，TP </w:t>
            </w:r>
            <w:r>
              <w:rPr>
                <w:kern w:val="0"/>
                <w:sz w:val="24"/>
                <w:szCs w:val="24"/>
              </w:rPr>
              <w:t>0.0</w:t>
            </w:r>
            <w:r>
              <w:rPr>
                <w:rFonts w:hint="eastAsia"/>
                <w:kern w:val="0"/>
                <w:sz w:val="24"/>
                <w:szCs w:val="24"/>
              </w:rPr>
              <w:t>00036t/a，TN 0.0011t/a</w:t>
            </w:r>
            <w:r>
              <w:rPr>
                <w:kern w:val="0"/>
                <w:sz w:val="24"/>
                <w:szCs w:val="24"/>
              </w:rPr>
              <w:t>。水污染物总量在宜兴市华骐污水处理厂内平衡。</w:t>
            </w:r>
          </w:p>
          <w:p>
            <w:pPr>
              <w:snapToGrid w:val="0"/>
              <w:spacing w:line="360" w:lineRule="auto"/>
              <w:ind w:firstLine="480" w:firstLineChars="200"/>
              <w:rPr>
                <w:kern w:val="0"/>
                <w:sz w:val="24"/>
                <w:szCs w:val="24"/>
              </w:rPr>
            </w:pPr>
            <w:r>
              <w:rPr>
                <w:rFonts w:hint="eastAsia"/>
                <w:kern w:val="0"/>
                <w:sz w:val="24"/>
                <w:szCs w:val="24"/>
              </w:rPr>
              <w:t>固废：本项目营运期的固废主要为废陶瓷、陶瓷泥料、废次品、废陶瓷粉、生活垃圾等，废陶瓷、陶瓷泥料、废次品、废陶瓷粉收集后外售处理；生活垃圾由环卫部门统一清运。</w:t>
            </w: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p>
            <w:pPr>
              <w:snapToGrid w:val="0"/>
              <w:spacing w:line="360" w:lineRule="auto"/>
              <w:rPr>
                <w:kern w:val="0"/>
                <w:sz w:val="24"/>
                <w:szCs w:val="24"/>
              </w:rPr>
            </w:pPr>
          </w:p>
        </w:tc>
      </w:tr>
    </w:tbl>
    <w:p>
      <w:pPr>
        <w:rPr>
          <w:kern w:val="0"/>
        </w:r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1" w:name="_Toc303260177"/>
      <w:bookmarkStart w:id="32" w:name="_Toc367970389"/>
      <w:bookmarkStart w:id="33" w:name="_Toc367970828"/>
      <w:bookmarkStart w:id="34" w:name="_Toc367970634"/>
      <w:bookmarkStart w:id="35" w:name="_Toc294082156"/>
      <w:bookmarkStart w:id="36" w:name="_Toc199814214"/>
    </w:p>
    <w:p>
      <w:pPr>
        <w:pStyle w:val="4"/>
        <w:jc w:val="both"/>
        <w:rPr>
          <w:bCs w:val="0"/>
          <w:spacing w:val="0"/>
          <w:kern w:val="0"/>
          <w:sz w:val="32"/>
          <w:szCs w:val="32"/>
        </w:rPr>
      </w:pPr>
      <w:bookmarkStart w:id="37" w:name="_Toc5147"/>
      <w:r>
        <w:rPr>
          <w:bCs w:val="0"/>
          <w:spacing w:val="0"/>
          <w:kern w:val="0"/>
          <w:sz w:val="32"/>
          <w:szCs w:val="32"/>
        </w:rPr>
        <w:t>5</w:t>
      </w:r>
      <w:r>
        <w:rPr>
          <w:rFonts w:hAnsi="宋体"/>
          <w:bCs w:val="0"/>
          <w:spacing w:val="0"/>
          <w:kern w:val="0"/>
          <w:sz w:val="32"/>
          <w:szCs w:val="32"/>
        </w:rPr>
        <w:t>、建设项目工程分析</w:t>
      </w:r>
      <w:bookmarkEnd w:id="31"/>
      <w:bookmarkEnd w:id="32"/>
      <w:bookmarkEnd w:id="33"/>
      <w:bookmarkEnd w:id="34"/>
      <w:bookmarkEnd w:id="35"/>
      <w:bookmarkEnd w:id="36"/>
      <w:bookmarkEnd w:id="37"/>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9" w:type="dxa"/>
            <w:vAlign w:val="center"/>
          </w:tcPr>
          <w:p>
            <w:pPr>
              <w:snapToGrid w:val="0"/>
              <w:spacing w:line="360" w:lineRule="auto"/>
              <w:ind w:firstLine="420" w:firstLineChars="200"/>
              <w:rPr>
                <w:kern w:val="0"/>
                <w:sz w:val="24"/>
                <w:szCs w:val="24"/>
              </w:rPr>
            </w:pPr>
            <w:r>
              <w:rPr>
                <w:rFonts w:hint="eastAsia"/>
                <w:lang w:val="en-US"/>
              </w:rPr>
              <w:t>5.1</w:t>
            </w:r>
            <w:r>
              <w:rPr>
                <w:kern w:val="0"/>
                <w:sz w:val="24"/>
                <w:szCs w:val="24"/>
                <w:lang w:val="en-US"/>
              </w:rPr>
              <w:t xml:space="preserve"> </w:t>
            </w:r>
            <w:r>
              <w:rPr>
                <w:rFonts w:hint="eastAsia"/>
                <w:kern w:val="0"/>
                <w:sz w:val="24"/>
                <w:szCs w:val="24"/>
              </w:rPr>
              <w:t>工艺流程简述</w:t>
            </w:r>
          </w:p>
          <w:p>
            <w:pPr>
              <w:snapToGrid w:val="0"/>
              <w:spacing w:line="360" w:lineRule="auto"/>
              <w:ind w:firstLine="480" w:firstLineChars="200"/>
              <w:rPr>
                <w:kern w:val="0"/>
                <w:sz w:val="24"/>
                <w:szCs w:val="24"/>
              </w:rPr>
            </w:pPr>
            <w:r>
              <w:rPr>
                <w:rFonts w:hint="eastAsia"/>
                <w:kern w:val="0"/>
                <w:sz w:val="24"/>
                <w:szCs w:val="24"/>
              </w:rPr>
              <w:t>建设项目属于工业加工项目，工程分析按施工期和营运期两方面进行。</w:t>
            </w:r>
          </w:p>
          <w:p>
            <w:pPr>
              <w:snapToGrid w:val="0"/>
              <w:spacing w:line="360" w:lineRule="auto"/>
              <w:ind w:firstLine="480" w:firstLineChars="200"/>
              <w:rPr>
                <w:kern w:val="0"/>
                <w:sz w:val="24"/>
                <w:szCs w:val="24"/>
              </w:rPr>
            </w:pPr>
            <w:r>
              <w:rPr>
                <w:kern w:val="0"/>
                <w:sz w:val="24"/>
                <w:szCs w:val="24"/>
                <w:lang w:val="en-US"/>
              </w:rPr>
              <w:t>5.1.1</w:t>
            </w:r>
            <w:r>
              <w:rPr>
                <w:rFonts w:hint="eastAsia"/>
                <w:kern w:val="0"/>
                <w:sz w:val="24"/>
                <w:szCs w:val="24"/>
              </w:rPr>
              <w:t>施工期</w:t>
            </w:r>
          </w:p>
          <w:p>
            <w:pPr>
              <w:snapToGrid w:val="0"/>
              <w:spacing w:before="120" w:line="360" w:lineRule="auto"/>
              <w:ind w:firstLine="480" w:firstLineChars="200"/>
              <w:rPr>
                <w:kern w:val="0"/>
                <w:sz w:val="24"/>
                <w:szCs w:val="24"/>
              </w:rPr>
            </w:pPr>
            <w:r>
              <w:rPr>
                <w:rFonts w:hint="eastAsia"/>
                <w:kern w:val="0"/>
                <w:sz w:val="24"/>
                <w:szCs w:val="24"/>
              </w:rPr>
              <w:t>本项目租用现有厂房进行生产，施工期仅进行设备安装、调试</w:t>
            </w:r>
            <w:r>
              <w:rPr>
                <w:rFonts w:hint="eastAsia"/>
                <w:kern w:val="0"/>
                <w:sz w:val="24"/>
                <w:szCs w:val="24"/>
                <w:lang w:eastAsia="zh-CN"/>
              </w:rPr>
              <w:t>，</w:t>
            </w:r>
            <w:r>
              <w:rPr>
                <w:rFonts w:hint="eastAsia" w:hAnsi="宋体"/>
                <w:sz w:val="24"/>
                <w:szCs w:val="24"/>
              </w:rPr>
              <w:t>不涉及土建，故施工期流程不做详细分析。</w:t>
            </w:r>
            <w:r>
              <w:rPr>
                <w:rFonts w:hint="eastAsia"/>
                <w:kern w:val="0"/>
                <w:sz w:val="24"/>
                <w:szCs w:val="24"/>
              </w:rPr>
              <w:t>。</w:t>
            </w:r>
          </w:p>
          <w:p>
            <w:pPr>
              <w:snapToGrid w:val="0"/>
              <w:spacing w:line="360" w:lineRule="auto"/>
              <w:ind w:firstLine="480" w:firstLineChars="200"/>
              <w:rPr>
                <w:kern w:val="0"/>
                <w:sz w:val="24"/>
                <w:szCs w:val="24"/>
              </w:rPr>
            </w:pPr>
            <w:r>
              <w:rPr>
                <w:rFonts w:hint="eastAsia"/>
                <w:kern w:val="0"/>
                <w:sz w:val="24"/>
                <w:szCs w:val="24"/>
                <w:lang w:val="en-US"/>
              </w:rPr>
              <w:t>5.1.2</w:t>
            </w:r>
            <w:r>
              <w:rPr>
                <w:rFonts w:hint="eastAsia"/>
                <w:kern w:val="0"/>
                <w:sz w:val="24"/>
                <w:szCs w:val="24"/>
              </w:rPr>
              <w:t>营运期</w:t>
            </w:r>
          </w:p>
          <w:p>
            <w:pPr>
              <w:snapToGrid w:val="0"/>
              <w:spacing w:line="360" w:lineRule="auto"/>
              <w:ind w:firstLine="480" w:firstLineChars="200"/>
              <w:rPr>
                <w:kern w:val="0"/>
                <w:sz w:val="24"/>
                <w:szCs w:val="24"/>
              </w:rPr>
            </w:pPr>
            <w:r>
              <w:rPr>
                <w:kern w:val="0"/>
                <w:sz w:val="24"/>
                <w:szCs w:val="24"/>
                <w:lang w:val="en-US"/>
              </w:rPr>
              <w:t>5.1.2.1</w:t>
            </w:r>
            <w:r>
              <w:rPr>
                <w:rFonts w:hint="eastAsia"/>
                <w:kern w:val="0"/>
                <w:sz w:val="24"/>
                <w:szCs w:val="24"/>
              </w:rPr>
              <w:t>工艺流程简述</w:t>
            </w:r>
          </w:p>
          <w:p>
            <w:pPr>
              <w:snapToGrid w:val="0"/>
              <w:spacing w:line="360" w:lineRule="auto"/>
              <w:ind w:firstLine="480" w:firstLineChars="200"/>
              <w:rPr>
                <w:kern w:val="0"/>
                <w:sz w:val="24"/>
                <w:szCs w:val="24"/>
              </w:rPr>
            </w:pPr>
            <w:r>
              <w:rPr>
                <w:rFonts w:hAnsi="宋体"/>
                <w:bCs/>
                <w:sz w:val="24"/>
              </w:rPr>
              <w:t>本项目从</w:t>
            </w:r>
            <w:r>
              <w:rPr>
                <w:rFonts w:hint="eastAsia" w:hAnsi="宋体"/>
                <w:bCs/>
                <w:sz w:val="24"/>
              </w:rPr>
              <w:t>事陶瓷制品和陶瓷磨具的加工制造</w:t>
            </w:r>
            <w:r>
              <w:rPr>
                <w:rFonts w:hAnsi="宋体"/>
                <w:bCs/>
                <w:sz w:val="24"/>
              </w:rPr>
              <w:t>，具体工艺流程如下（</w:t>
            </w:r>
            <w:r>
              <w:rPr>
                <w:bCs/>
                <w:sz w:val="24"/>
              </w:rPr>
              <w:t>G--</w:t>
            </w:r>
            <w:r>
              <w:rPr>
                <w:rFonts w:hAnsi="宋体"/>
                <w:bCs/>
                <w:sz w:val="24"/>
              </w:rPr>
              <w:t>废气，</w:t>
            </w:r>
            <w:r>
              <w:rPr>
                <w:bCs/>
                <w:sz w:val="24"/>
              </w:rPr>
              <w:t>S--</w:t>
            </w:r>
            <w:r>
              <w:rPr>
                <w:rFonts w:hAnsi="宋体"/>
                <w:bCs/>
                <w:sz w:val="24"/>
              </w:rPr>
              <w:t>固废，</w:t>
            </w:r>
            <w:r>
              <w:rPr>
                <w:bCs/>
                <w:sz w:val="24"/>
              </w:rPr>
              <w:t>N--</w:t>
            </w:r>
            <w:r>
              <w:rPr>
                <w:rFonts w:hAnsi="宋体"/>
                <w:bCs/>
                <w:sz w:val="24"/>
              </w:rPr>
              <w:t>噪声）</w:t>
            </w:r>
            <w:r>
              <w:rPr>
                <w:rFonts w:hint="eastAsia"/>
                <w:kern w:val="0"/>
                <w:sz w:val="24"/>
                <w:szCs w:val="24"/>
              </w:rPr>
              <w:t>：</w:t>
            </w:r>
          </w:p>
          <w:p>
            <w:pPr>
              <w:snapToGrid w:val="0"/>
              <w:spacing w:line="360" w:lineRule="auto"/>
              <w:ind w:firstLine="420" w:firstLineChars="200"/>
              <w:rPr>
                <w:kern w:val="0"/>
                <w:sz w:val="24"/>
                <w:szCs w:val="24"/>
              </w:rPr>
            </w:pPr>
            <w:r>
              <w:rPr>
                <w:lang w:val="en-US"/>
              </w:rPr>
              <mc:AlternateContent>
                <mc:Choice Requires="wps">
                  <w:drawing>
                    <wp:anchor distT="0" distB="0" distL="114300" distR="114300" simplePos="0" relativeHeight="251621376" behindDoc="0" locked="0" layoutInCell="1" allowOverlap="1">
                      <wp:simplePos x="0" y="0"/>
                      <wp:positionH relativeFrom="column">
                        <wp:posOffset>2396490</wp:posOffset>
                      </wp:positionH>
                      <wp:positionV relativeFrom="paragraph">
                        <wp:posOffset>245110</wp:posOffset>
                      </wp:positionV>
                      <wp:extent cx="635" cy="295275"/>
                      <wp:effectExtent l="53340" t="6985" r="60325" b="21590"/>
                      <wp:wrapNone/>
                      <wp:docPr id="5180" name="Line 2"/>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line">
                                <a:avLst/>
                              </a:prstGeom>
                              <a:noFill/>
                              <a:ln w="3175">
                                <a:solidFill>
                                  <a:srgbClr val="000000"/>
                                </a:solidFill>
                                <a:round/>
                                <a:tailEnd type="triangle" w="med" len="med"/>
                              </a:ln>
                            </wps:spPr>
                            <wps:bodyPr/>
                          </wps:wsp>
                        </a:graphicData>
                      </a:graphic>
                    </wp:anchor>
                  </w:drawing>
                </mc:Choice>
                <mc:Fallback>
                  <w:pict>
                    <v:line id="Line 2" o:spid="_x0000_s1026" o:spt="20" style="position:absolute;left:0pt;margin-left:188.7pt;margin-top:19.3pt;height:23.25pt;width:0.05pt;z-index:251621376;mso-width-relative:page;mso-height-relative:page;" filled="f" stroked="t" coordsize="21600,21600" o:gfxdata="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J3N/vZAAAACQEAAA8AAAAAAAAAAQAgAAAAIgAAAGRy&#10;cy9kb3ducmV2LnhtbFBLAQIUABQAAAAIAIdO4kC7MZ1NywEAAIMDAAAOAAAAAAAAAAEAIAAAACgB&#10;AABkcnMvZTJvRG9jLnhtbFBLBQYAAAAABgAGAFkBAABlBQAAAAA=&#10;">
                      <v:fill on="f" focussize="0,0"/>
                      <v:stroke weight="0.25pt" color="#000000" joinstyle="round" endarrow="block"/>
                      <v:imagedata o:title=""/>
                      <o:lock v:ext="edit" aspectratio="f"/>
                    </v:line>
                  </w:pict>
                </mc:Fallback>
              </mc:AlternateContent>
            </w:r>
            <w:r>
              <w:rPr>
                <w:sz w:val="24"/>
                <w:lang w:val="en-US"/>
              </w:rPr>
              <mc:AlternateContent>
                <mc:Choice Requires="wps">
                  <w:drawing>
                    <wp:anchor distT="0" distB="0" distL="114300" distR="114300" simplePos="0" relativeHeight="251618304" behindDoc="0" locked="0" layoutInCell="1" allowOverlap="1">
                      <wp:simplePos x="0" y="0"/>
                      <wp:positionH relativeFrom="column">
                        <wp:posOffset>1463040</wp:posOffset>
                      </wp:positionH>
                      <wp:positionV relativeFrom="paragraph">
                        <wp:posOffset>7620</wp:posOffset>
                      </wp:positionV>
                      <wp:extent cx="2018030" cy="276225"/>
                      <wp:effectExtent l="0" t="0" r="0" b="1905"/>
                      <wp:wrapNone/>
                      <wp:docPr id="5179" name="Rectangle 3"/>
                      <wp:cNvGraphicFramePr/>
                      <a:graphic xmlns:a="http://schemas.openxmlformats.org/drawingml/2006/main">
                        <a:graphicData uri="http://schemas.microsoft.com/office/word/2010/wordprocessingShape">
                          <wps:wsp>
                            <wps:cNvSpPr>
                              <a:spLocks noChangeArrowheads="1"/>
                            </wps:cNvSpPr>
                            <wps:spPr bwMode="auto">
                              <a:xfrm>
                                <a:off x="0" y="0"/>
                                <a:ext cx="2018030" cy="276225"/>
                              </a:xfrm>
                              <a:prstGeom prst="rect">
                                <a:avLst/>
                              </a:prstGeom>
                              <a:solidFill>
                                <a:srgbClr val="FFFFFF"/>
                              </a:solidFill>
                              <a:ln>
                                <a:noFill/>
                              </a:ln>
                            </wps:spPr>
                            <wps:txbx>
                              <w:txbxContent>
                                <w:p>
                                  <w:r>
                                    <w:rPr>
                                      <w:rFonts w:hint="eastAsia"/>
                                    </w:rPr>
                                    <w:t>陶瓷制品毛坯、陶瓷模具毛坯</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15.2pt;margin-top:0.6pt;height:21.75pt;width:158.9pt;z-index:251618304;mso-width-relative:page;mso-height-relative:page;" fillcolor="#FFFFFF" filled="t" stroked="f" coordsize="21600,21600" o:gfxdata="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NNlFzWAAAACAEAAA8AAAAAAAAAAQAgAAAAIgAAAGRycy9kb3ducmV2&#10;LnhtbFBLAQIUABQAAAAIAIdO4kChZeHp/gEAAOkDAAAOAAAAAAAAAAEAIAAAACUBAABkcnMvZTJv&#10;RG9jLnhtbFBLBQYAAAAABgAGAFkBAACVBQAAAAA=&#10;">
                      <v:fill on="t" focussize="0,0"/>
                      <v:stroke on="f"/>
                      <v:imagedata o:title=""/>
                      <o:lock v:ext="edit" aspectratio="f"/>
                      <v:textbox>
                        <w:txbxContent>
                          <w:p>
                            <w:r>
                              <w:rPr>
                                <w:rFonts w:hint="eastAsia"/>
                              </w:rPr>
                              <w:t>陶瓷制品毛坯、陶瓷模具毛坯</w:t>
                            </w:r>
                          </w:p>
                        </w:txbxContent>
                      </v:textbox>
                    </v:rect>
                  </w:pict>
                </mc:Fallback>
              </mc:AlternateContent>
            </w:r>
          </w:p>
          <w:p/>
          <w:p>
            <w:r>
              <w:rPr>
                <w:sz w:val="24"/>
                <w:lang w:val="en-US"/>
              </w:rPr>
              <mc:AlternateContent>
                <mc:Choice Requires="wps">
                  <w:drawing>
                    <wp:anchor distT="0" distB="0" distL="114300" distR="114300" simplePos="0" relativeHeight="251684864" behindDoc="0" locked="0" layoutInCell="1" allowOverlap="1">
                      <wp:simplePos x="0" y="0"/>
                      <wp:positionH relativeFrom="column">
                        <wp:posOffset>3225165</wp:posOffset>
                      </wp:positionH>
                      <wp:positionV relativeFrom="paragraph">
                        <wp:posOffset>125095</wp:posOffset>
                      </wp:positionV>
                      <wp:extent cx="1170305" cy="276225"/>
                      <wp:effectExtent l="0" t="1270" r="0" b="0"/>
                      <wp:wrapNone/>
                      <wp:docPr id="5178" name="Rectangle 4"/>
                      <wp:cNvGraphicFramePr/>
                      <a:graphic xmlns:a="http://schemas.openxmlformats.org/drawingml/2006/main">
                        <a:graphicData uri="http://schemas.microsoft.com/office/word/2010/wordprocessingShape">
                          <wps:wsp>
                            <wps:cNvSpPr>
                              <a:spLocks noChangeArrowheads="1"/>
                            </wps:cNvSpPr>
                            <wps:spPr bwMode="auto">
                              <a:xfrm>
                                <a:off x="0" y="0"/>
                                <a:ext cx="1170305" cy="276225"/>
                              </a:xfrm>
                              <a:prstGeom prst="rect">
                                <a:avLst/>
                              </a:prstGeom>
                              <a:noFill/>
                              <a:ln>
                                <a:noFill/>
                              </a:ln>
                            </wps:spPr>
                            <wps:txbx>
                              <w:txbxContent>
                                <w:p>
                                  <w:pPr>
                                    <w:rPr>
                                      <w:lang w:val="en-US"/>
                                    </w:rPr>
                                  </w:pPr>
                                  <w:r>
                                    <w:rPr>
                                      <w:rFonts w:hint="eastAsia"/>
                                      <w:lang w:val="en-US"/>
                                    </w:rPr>
                                    <w:t>N</w:t>
                                  </w:r>
                                  <w:r>
                                    <w:rPr>
                                      <w:vertAlign w:val="subscript"/>
                                      <w:lang w:val="en-US"/>
                                    </w:rPr>
                                    <w:t>1</w:t>
                                  </w:r>
                                  <w:r>
                                    <w:rPr>
                                      <w:rFonts w:hint="eastAsia"/>
                                      <w:lang w:val="en-US"/>
                                    </w:rPr>
                                    <w:t>、S</w:t>
                                  </w:r>
                                  <w:r>
                                    <w:rPr>
                                      <w:vertAlign w:val="subscript"/>
                                      <w:lang w:val="en-US"/>
                                    </w:rPr>
                                    <w:t>1</w:t>
                                  </w:r>
                                  <w:r>
                                    <w:rPr>
                                      <w:rFonts w:hint="eastAsia"/>
                                      <w:lang w:val="en-US"/>
                                    </w:rPr>
                                    <w:t>、S</w:t>
                                  </w:r>
                                  <w:r>
                                    <w:rPr>
                                      <w:rFonts w:hint="eastAsia"/>
                                      <w:vertAlign w:val="subscript"/>
                                      <w:lang w:val="en-US"/>
                                    </w:rPr>
                                    <w:t>2</w:t>
                                  </w:r>
                                  <w:r>
                                    <w:rPr>
                                      <w:rFonts w:hint="eastAsia"/>
                                      <w:lang w:val="en-US"/>
                                    </w:rPr>
                                    <w:t>、G</w:t>
                                  </w:r>
                                  <w:r>
                                    <w:rPr>
                                      <w:vertAlign w:val="subscript"/>
                                      <w:lang w:val="en-US"/>
                                    </w:rPr>
                                    <w:t>1</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53.95pt;margin-top:9.85pt;height:21.75pt;width:92.15pt;z-index:251684864;mso-width-relative:page;mso-height-relative:page;" filled="f" stroked="f" coordsize="21600,21600" o:gfxdata="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IpGDaAAAACQEAAA8AAAAAAAAAAQAgAAAAIgAAAGRycy9kb3ducmV2LnhtbFBLAQIUABQAAAAI&#10;AIdO4kBpI6Jy6wEAAMADAAAOAAAAAAAAAAEAIAAAACkBAABkcnMvZTJvRG9jLnhtbFBLBQYAAAAA&#10;BgAGAFkBAACGBQAAAAA=&#10;">
                      <v:fill on="f" focussize="0,0"/>
                      <v:stroke on="f"/>
                      <v:imagedata o:title=""/>
                      <o:lock v:ext="edit" aspectratio="f"/>
                      <v:textbox>
                        <w:txbxContent>
                          <w:p>
                            <w:pPr>
                              <w:rPr>
                                <w:lang w:val="en-US"/>
                              </w:rPr>
                            </w:pPr>
                            <w:r>
                              <w:rPr>
                                <w:rFonts w:hint="eastAsia"/>
                                <w:lang w:val="en-US"/>
                              </w:rPr>
                              <w:t>N</w:t>
                            </w:r>
                            <w:r>
                              <w:rPr>
                                <w:vertAlign w:val="subscript"/>
                                <w:lang w:val="en-US"/>
                              </w:rPr>
                              <w:t>1</w:t>
                            </w:r>
                            <w:r>
                              <w:rPr>
                                <w:rFonts w:hint="eastAsia"/>
                                <w:lang w:val="en-US"/>
                              </w:rPr>
                              <w:t>、S</w:t>
                            </w:r>
                            <w:r>
                              <w:rPr>
                                <w:vertAlign w:val="subscript"/>
                                <w:lang w:val="en-US"/>
                              </w:rPr>
                              <w:t>1</w:t>
                            </w:r>
                            <w:r>
                              <w:rPr>
                                <w:rFonts w:hint="eastAsia"/>
                                <w:lang w:val="en-US"/>
                              </w:rPr>
                              <w:t>、S</w:t>
                            </w:r>
                            <w:r>
                              <w:rPr>
                                <w:rFonts w:hint="eastAsia"/>
                                <w:vertAlign w:val="subscript"/>
                                <w:lang w:val="en-US"/>
                              </w:rPr>
                              <w:t>2</w:t>
                            </w:r>
                            <w:r>
                              <w:rPr>
                                <w:rFonts w:hint="eastAsia"/>
                                <w:lang w:val="en-US"/>
                              </w:rPr>
                              <w:t>、G</w:t>
                            </w:r>
                            <w:r>
                              <w:rPr>
                                <w:vertAlign w:val="subscript"/>
                                <w:lang w:val="en-US"/>
                              </w:rPr>
                              <w:t>1</w:t>
                            </w:r>
                          </w:p>
                        </w:txbxContent>
                      </v:textbox>
                    </v:rect>
                  </w:pict>
                </mc:Fallback>
              </mc:AlternateContent>
            </w:r>
            <w:r>
              <w:rPr>
                <w:sz w:val="24"/>
                <w:lang w:val="en-US"/>
              </w:rPr>
              <mc:AlternateContent>
                <mc:Choice Requires="wps">
                  <w:drawing>
                    <wp:anchor distT="0" distB="0" distL="114300" distR="114300" simplePos="0" relativeHeight="251693056" behindDoc="0" locked="0" layoutInCell="1" allowOverlap="1">
                      <wp:simplePos x="0" y="0"/>
                      <wp:positionH relativeFrom="column">
                        <wp:posOffset>1501140</wp:posOffset>
                      </wp:positionH>
                      <wp:positionV relativeFrom="paragraph">
                        <wp:posOffset>115570</wp:posOffset>
                      </wp:positionV>
                      <wp:extent cx="579755" cy="294640"/>
                      <wp:effectExtent l="0" t="1270" r="0" b="0"/>
                      <wp:wrapNone/>
                      <wp:docPr id="5177" name="Rectangle 5"/>
                      <wp:cNvGraphicFramePr/>
                      <a:graphic xmlns:a="http://schemas.openxmlformats.org/drawingml/2006/main">
                        <a:graphicData uri="http://schemas.microsoft.com/office/word/2010/wordprocessingShape">
                          <wps:wsp>
                            <wps:cNvSpPr>
                              <a:spLocks noChangeArrowheads="1"/>
                            </wps:cNvSpPr>
                            <wps:spPr bwMode="auto">
                              <a:xfrm>
                                <a:off x="0" y="0"/>
                                <a:ext cx="579755" cy="294640"/>
                              </a:xfrm>
                              <a:prstGeom prst="rect">
                                <a:avLst/>
                              </a:prstGeom>
                              <a:noFill/>
                              <a:ln>
                                <a:noFill/>
                              </a:ln>
                            </wps:spPr>
                            <wps:txbx>
                              <w:txbxContent>
                                <w:p>
                                  <w:pPr>
                                    <w:jc w:val="center"/>
                                  </w:pPr>
                                  <w:r>
                                    <w:rPr>
                                      <w:rFonts w:hint="eastAsia"/>
                                    </w:rPr>
                                    <w:t>水</w:t>
                                  </w: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118.2pt;margin-top:9.1pt;height:23.2pt;width:45.65pt;z-index:251693056;mso-width-relative:page;mso-height-relative:page;" filled="f" stroked="f" coordsize="21600,21600" o:gfxdata="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e6qZdoAAAAJAQAADwAAAAAAAAABACAAAAAiAAAAZHJzL2Rvd25yZXYueG1sUEsBAhQAFAAAAAgA&#10;h07iQIScg+/qAQAAvwMAAA4AAAAAAAAAAQAgAAAAKQEAAGRycy9lMm9Eb2MueG1sUEsFBgAAAAAG&#10;AAYAWQEAAIUFAAAAAA==&#10;">
                      <v:fill on="f" focussize="0,0"/>
                      <v:stroke on="f"/>
                      <v:imagedata o:title=""/>
                      <o:lock v:ext="edit" aspectratio="f"/>
                      <v:textbox>
                        <w:txbxContent>
                          <w:p>
                            <w:pPr>
                              <w:jc w:val="center"/>
                            </w:pPr>
                            <w:r>
                              <w:rPr>
                                <w:rFonts w:hint="eastAsia"/>
                              </w:rPr>
                              <w:t>水</w:t>
                            </w:r>
                          </w:p>
                        </w:txbxContent>
                      </v:textbox>
                    </v:rect>
                  </w:pict>
                </mc:Fallback>
              </mc:AlternateContent>
            </w:r>
            <w:r>
              <w:rPr>
                <w:lang w:val="en-US"/>
              </w:rPr>
              <mc:AlternateContent>
                <mc:Choice Requires="wps">
                  <w:drawing>
                    <wp:anchor distT="0" distB="0" distL="114300" distR="114300" simplePos="0" relativeHeight="251691008" behindDoc="0" locked="0" layoutInCell="1" allowOverlap="1">
                      <wp:simplePos x="0" y="0"/>
                      <wp:positionH relativeFrom="column">
                        <wp:posOffset>1653540</wp:posOffset>
                      </wp:positionH>
                      <wp:positionV relativeFrom="paragraph">
                        <wp:posOffset>22225</wp:posOffset>
                      </wp:positionV>
                      <wp:extent cx="542925" cy="418465"/>
                      <wp:effectExtent l="15240" t="12700" r="13335" b="6985"/>
                      <wp:wrapNone/>
                      <wp:docPr id="5176" name="Freeform 6"/>
                      <wp:cNvGraphicFramePr/>
                      <a:graphic xmlns:a="http://schemas.openxmlformats.org/drawingml/2006/main">
                        <a:graphicData uri="http://schemas.microsoft.com/office/word/2010/wordprocessingShape">
                          <wps:wsp>
                            <wps:cNvSpPr/>
                            <wps:spPr bwMode="auto">
                              <a:xfrm>
                                <a:off x="0" y="0"/>
                                <a:ext cx="542925" cy="418465"/>
                              </a:xfrm>
                              <a:custGeom>
                                <a:avLst/>
                                <a:gdLst>
                                  <a:gd name="T0" fmla="*/ 720 w 885"/>
                                  <a:gd name="T1" fmla="*/ 540 h 645"/>
                                  <a:gd name="T2" fmla="*/ 720 w 885"/>
                                  <a:gd name="T3" fmla="*/ 645 h 645"/>
                                  <a:gd name="T4" fmla="*/ 15 w 885"/>
                                  <a:gd name="T5" fmla="*/ 645 h 645"/>
                                  <a:gd name="T6" fmla="*/ 0 w 885"/>
                                  <a:gd name="T7" fmla="*/ 0 h 645"/>
                                  <a:gd name="T8" fmla="*/ 885 w 885"/>
                                  <a:gd name="T9" fmla="*/ 0 h 645"/>
                                  <a:gd name="T10" fmla="*/ 870 w 885"/>
                                  <a:gd name="T11" fmla="*/ 120 h 645"/>
                                </a:gdLst>
                                <a:ahLst/>
                                <a:cxnLst>
                                  <a:cxn ang="0">
                                    <a:pos x="T0" y="T1"/>
                                  </a:cxn>
                                  <a:cxn ang="0">
                                    <a:pos x="T2" y="T3"/>
                                  </a:cxn>
                                  <a:cxn ang="0">
                                    <a:pos x="T4" y="T5"/>
                                  </a:cxn>
                                  <a:cxn ang="0">
                                    <a:pos x="T6" y="T7"/>
                                  </a:cxn>
                                  <a:cxn ang="0">
                                    <a:pos x="T8" y="T9"/>
                                  </a:cxn>
                                  <a:cxn ang="0">
                                    <a:pos x="T10" y="T11"/>
                                  </a:cxn>
                                </a:cxnLst>
                                <a:rect l="0" t="0" r="r" b="b"/>
                                <a:pathLst>
                                  <a:path w="885" h="645">
                                    <a:moveTo>
                                      <a:pt x="720" y="540"/>
                                    </a:moveTo>
                                    <a:lnTo>
                                      <a:pt x="720" y="645"/>
                                    </a:lnTo>
                                    <a:lnTo>
                                      <a:pt x="15" y="645"/>
                                    </a:lnTo>
                                    <a:lnTo>
                                      <a:pt x="0" y="0"/>
                                    </a:lnTo>
                                    <a:lnTo>
                                      <a:pt x="885" y="0"/>
                                    </a:lnTo>
                                    <a:lnTo>
                                      <a:pt x="870" y="120"/>
                                    </a:lnTo>
                                  </a:path>
                                </a:pathLst>
                              </a:custGeom>
                              <a:noFill/>
                              <a:ln w="3175">
                                <a:solidFill>
                                  <a:srgbClr val="000000"/>
                                </a:solidFill>
                                <a:prstDash val="dash"/>
                                <a:round/>
                              </a:ln>
                            </wps:spPr>
                            <wps:bodyPr rot="0" vert="horz" wrap="square" lIns="91440" tIns="45720" rIns="91440" bIns="45720" anchor="t" anchorCtr="0" upright="1">
                              <a:noAutofit/>
                            </wps:bodyPr>
                          </wps:wsp>
                        </a:graphicData>
                      </a:graphic>
                    </wp:anchor>
                  </w:drawing>
                </mc:Choice>
                <mc:Fallback>
                  <w:pict>
                    <v:shape id="Freeform 6" o:spid="_x0000_s1026" o:spt="100" style="position:absolute;left:0pt;margin-left:130.2pt;margin-top:1.75pt;height:32.95pt;width:42.75pt;z-index:251691008;mso-width-relative:page;mso-height-relative:page;" filled="f" stroked="t" coordsize="885,645" o:gfxdata="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Pyf1J9gAAAAIAQAADwAAAAAAAAABACAAAAAiAAAAZHJzL2Rvd25yZXYueG1sUEsB&#10;AhQAFAAAAAgAh07iQGNWFAESAwAACggAAA4AAAAAAAAAAQAgAAAAJwEAAGRycy9lMm9Eb2MueG1s&#10;UEsFBgAAAAAGAAYAWQEAAKsGAAAAAA==&#10;" path="m720,540l720,645,15,645,0,0,885,0,870,120e">
                      <v:path o:connectlocs="441701,350342;441701,418465;9202,418465;0,0;542925,0;533722,77853" o:connectangles="0,0,0,0,0,0"/>
                      <v:fill on="f" focussize="0,0"/>
                      <v:stroke weight="0.25pt" color="#000000" joinstyle="round" dashstyle="dash"/>
                      <v:imagedata o:title=""/>
                      <o:lock v:ext="edit" aspectratio="f"/>
                    </v:shape>
                  </w:pict>
                </mc:Fallback>
              </mc:AlternateContent>
            </w:r>
            <w:r>
              <w:rPr>
                <w:lang w:val="en-US"/>
              </w:rPr>
              <mc:AlternateContent>
                <mc:Choice Requires="wps">
                  <w:drawing>
                    <wp:anchor distT="0" distB="0" distL="114300" distR="114300" simplePos="0" relativeHeight="251692032" behindDoc="0" locked="0" layoutInCell="1" allowOverlap="1">
                      <wp:simplePos x="0" y="0"/>
                      <wp:positionH relativeFrom="column">
                        <wp:posOffset>2189480</wp:posOffset>
                      </wp:positionH>
                      <wp:positionV relativeFrom="paragraph">
                        <wp:posOffset>28575</wp:posOffset>
                      </wp:positionV>
                      <wp:extent cx="7620" cy="116205"/>
                      <wp:effectExtent l="55880" t="9525" r="50800" b="26670"/>
                      <wp:wrapNone/>
                      <wp:docPr id="5175" name="Line 7"/>
                      <wp:cNvGraphicFramePr/>
                      <a:graphic xmlns:a="http://schemas.openxmlformats.org/drawingml/2006/main">
                        <a:graphicData uri="http://schemas.microsoft.com/office/word/2010/wordprocessingShape">
                          <wps:wsp>
                            <wps:cNvCnPr>
                              <a:cxnSpLocks noChangeShapeType="1"/>
                            </wps:cNvCnPr>
                            <wps:spPr bwMode="auto">
                              <a:xfrm flipH="1">
                                <a:off x="0" y="0"/>
                                <a:ext cx="7620" cy="116205"/>
                              </a:xfrm>
                              <a:prstGeom prst="line">
                                <a:avLst/>
                              </a:prstGeom>
                              <a:noFill/>
                              <a:ln w="3175">
                                <a:solidFill>
                                  <a:srgbClr val="000000"/>
                                </a:solidFill>
                                <a:prstDash val="dash"/>
                                <a:round/>
                                <a:tailEnd type="triangle" w="med" len="med"/>
                              </a:ln>
                            </wps:spPr>
                            <wps:bodyPr/>
                          </wps:wsp>
                        </a:graphicData>
                      </a:graphic>
                    </wp:anchor>
                  </w:drawing>
                </mc:Choice>
                <mc:Fallback>
                  <w:pict>
                    <v:line id="Line 7" o:spid="_x0000_s1026" o:spt="20" style="position:absolute;left:0pt;flip:x;margin-left:172.4pt;margin-top:2.25pt;height:9.15pt;width:0.6pt;z-index:251692032;mso-width-relative:page;mso-height-relative:page;" filled="f" stroked="t" coordsize="21600,21600" o:gfxdata="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qZYh7VAAAACAEAAA8AAAAAAAAA&#10;AQAgAAAAIgAAAGRycy9kb3ducmV2LnhtbFBLAQIUABQAAAAIAIdO4kBN2Oqc2wEAAKYDAAAOAAAA&#10;AAAAAAEAIAAAACQBAABkcnMvZTJvRG9jLnhtbFBLBQYAAAAABgAGAFkBAABxBQAAAAA=&#10;">
                      <v:fill on="f" focussize="0,0"/>
                      <v:stroke weight="0.25pt" color="#000000" joinstyle="round" dashstyle="dash" endarrow="block"/>
                      <v:imagedata o:title=""/>
                      <o:lock v:ext="edit" aspectratio="f"/>
                    </v:line>
                  </w:pict>
                </mc:Fallback>
              </mc:AlternateContent>
            </w:r>
            <w:r>
              <w:rPr>
                <w:lang w:val="en-US"/>
              </w:rPr>
              <mc:AlternateContent>
                <mc:Choice Requires="wps">
                  <w:drawing>
                    <wp:anchor distT="0" distB="0" distL="114300" distR="114300" simplePos="0" relativeHeight="251623424" behindDoc="0" locked="0" layoutInCell="1" allowOverlap="1">
                      <wp:simplePos x="0" y="0"/>
                      <wp:positionH relativeFrom="column">
                        <wp:posOffset>1986915</wp:posOffset>
                      </wp:positionH>
                      <wp:positionV relativeFrom="paragraph">
                        <wp:posOffset>133985</wp:posOffset>
                      </wp:positionV>
                      <wp:extent cx="791845" cy="248285"/>
                      <wp:effectExtent l="5715" t="10160" r="12065" b="8255"/>
                      <wp:wrapNone/>
                      <wp:docPr id="5174" name="Rectangle 8"/>
                      <wp:cNvGraphicFramePr/>
                      <a:graphic xmlns:a="http://schemas.openxmlformats.org/drawingml/2006/main">
                        <a:graphicData uri="http://schemas.microsoft.com/office/word/2010/wordprocessingShape">
                          <wps:wsp>
                            <wps:cNvSpPr>
                              <a:spLocks noChangeArrowheads="1"/>
                            </wps:cNvSpPr>
                            <wps:spPr bwMode="auto">
                              <a:xfrm>
                                <a:off x="0" y="0"/>
                                <a:ext cx="791845" cy="248285"/>
                              </a:xfrm>
                              <a:prstGeom prst="rect">
                                <a:avLst/>
                              </a:prstGeom>
                              <a:solidFill>
                                <a:srgbClr val="FFFFFF"/>
                              </a:solidFill>
                              <a:ln w="3175">
                                <a:solidFill>
                                  <a:srgbClr val="000000"/>
                                </a:solidFill>
                                <a:miter lim="800000"/>
                              </a:ln>
                            </wps:spPr>
                            <wps:txbx>
                              <w:txbxContent>
                                <w:p>
                                  <w:pPr>
                                    <w:jc w:val="center"/>
                                  </w:pPr>
                                  <w:r>
                                    <w:rPr>
                                      <w:rFonts w:hint="eastAsia"/>
                                    </w:rPr>
                                    <w:t>打孔</w:t>
                                  </w: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56.45pt;margin-top:10.55pt;height:19.55pt;width:62.35pt;z-index:251623424;mso-width-relative:page;mso-height-relative:page;" fillcolor="#FFFFFF" filled="t" stroked="t" coordsize="21600,21600" o:gfxdata="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ydjLjWAAAACQEAAA8AAAAAAAAA&#10;AQAgAAAAIgAAAGRycy9kb3ducmV2LnhtbFBLAQIUABQAAAAIAIdO4kDDTyyuEwIAADEEAAAOAAAA&#10;AAAAAAEAIAAAACUBAABkcnMvZTJvRG9jLnhtbFBLBQYAAAAABgAGAFkBAACqBQAAAAA=&#10;">
                      <v:fill on="t" focussize="0,0"/>
                      <v:stroke weight="0.25pt" color="#000000" miterlimit="8" joinstyle="miter"/>
                      <v:imagedata o:title=""/>
                      <o:lock v:ext="edit" aspectratio="f"/>
                      <v:textbox>
                        <w:txbxContent>
                          <w:p>
                            <w:pPr>
                              <w:jc w:val="center"/>
                            </w:pPr>
                            <w:r>
                              <w:rPr>
                                <w:rFonts w:hint="eastAsia"/>
                              </w:rPr>
                              <w:t>打孔</w:t>
                            </w:r>
                          </w:p>
                        </w:txbxContent>
                      </v:textbox>
                    </v:rect>
                  </w:pict>
                </mc:Fallback>
              </mc:AlternateContent>
            </w:r>
          </w:p>
          <w:p>
            <w:r>
              <w:rPr>
                <w:lang w:val="en-US"/>
              </w:rPr>
              <mc:AlternateContent>
                <mc:Choice Requires="wps">
                  <w:drawing>
                    <wp:anchor distT="0" distB="0" distL="114300" distR="114300" simplePos="0" relativeHeight="251682816" behindDoc="0" locked="0" layoutInCell="1" allowOverlap="1">
                      <wp:simplePos x="0" y="0"/>
                      <wp:positionH relativeFrom="column">
                        <wp:posOffset>2796540</wp:posOffset>
                      </wp:positionH>
                      <wp:positionV relativeFrom="paragraph">
                        <wp:posOffset>104775</wp:posOffset>
                      </wp:positionV>
                      <wp:extent cx="400685" cy="10160"/>
                      <wp:effectExtent l="5715" t="47625" r="22225" b="56515"/>
                      <wp:wrapNone/>
                      <wp:docPr id="5173" name="Line 9"/>
                      <wp:cNvGraphicFramePr/>
                      <a:graphic xmlns:a="http://schemas.openxmlformats.org/drawingml/2006/main">
                        <a:graphicData uri="http://schemas.microsoft.com/office/word/2010/wordprocessingShape">
                          <wps:wsp>
                            <wps:cNvCnPr>
                              <a:cxnSpLocks noChangeShapeType="1"/>
                            </wps:cNvCnPr>
                            <wps:spPr bwMode="auto">
                              <a:xfrm>
                                <a:off x="0" y="0"/>
                                <a:ext cx="400685" cy="10160"/>
                              </a:xfrm>
                              <a:prstGeom prst="line">
                                <a:avLst/>
                              </a:prstGeom>
                              <a:noFill/>
                              <a:ln w="3175">
                                <a:solidFill>
                                  <a:srgbClr val="000000"/>
                                </a:solidFill>
                                <a:prstDash val="dashDot"/>
                                <a:round/>
                                <a:tailEnd type="triangle" w="med" len="med"/>
                              </a:ln>
                            </wps:spPr>
                            <wps:bodyPr/>
                          </wps:wsp>
                        </a:graphicData>
                      </a:graphic>
                    </wp:anchor>
                  </w:drawing>
                </mc:Choice>
                <mc:Fallback>
                  <w:pict>
                    <v:line id="Line 9" o:spid="_x0000_s1026" o:spt="20" style="position:absolute;left:0pt;margin-left:220.2pt;margin-top:8.25pt;height:0.8pt;width:31.55pt;z-index:251682816;mso-width-relative:page;mso-height-relative:page;" filled="f" stroked="t" coordsize="21600,21600" o:gfxdata="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4gR/ZAAAACQEAAA8A&#10;AAAAAAAAAQAgAAAAIgAAAGRycy9kb3ducmV2LnhtbFBLAQIUABQAAAAIAIdO4kAedhCf3QEAAKAD&#10;AAAOAAAAAAAAAAEAIAAAACgBAABkcnMvZTJvRG9jLnhtbFBLBQYAAAAABgAGAFkBAAB3BQAAAAA=&#10;">
                      <v:fill on="f" focussize="0,0"/>
                      <v:stroke weight="0.25pt" color="#000000" joinstyle="round" dashstyle="dashDot" endarrow="block"/>
                      <v:imagedata o:title=""/>
                      <o:lock v:ext="edit" aspectratio="f"/>
                    </v:line>
                  </w:pict>
                </mc:Fallback>
              </mc:AlternateContent>
            </w:r>
          </w:p>
          <w:p>
            <w:r>
              <w:rPr>
                <w:lang w:val="en-US"/>
              </w:rPr>
              <mc:AlternateContent>
                <mc:Choice Requires="wps">
                  <w:drawing>
                    <wp:anchor distT="0" distB="0" distL="114300" distR="114300" simplePos="0" relativeHeight="251665408" behindDoc="0" locked="0" layoutInCell="1" allowOverlap="1">
                      <wp:simplePos x="0" y="0"/>
                      <wp:positionH relativeFrom="column">
                        <wp:posOffset>2386965</wp:posOffset>
                      </wp:positionH>
                      <wp:positionV relativeFrom="paragraph">
                        <wp:posOffset>93980</wp:posOffset>
                      </wp:positionV>
                      <wp:extent cx="635" cy="295275"/>
                      <wp:effectExtent l="53340" t="8255" r="60325" b="20320"/>
                      <wp:wrapNone/>
                      <wp:docPr id="5172" name="Line 10"/>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line">
                                <a:avLst/>
                              </a:prstGeom>
                              <a:noFill/>
                              <a:ln w="3175">
                                <a:solidFill>
                                  <a:schemeClr val="tx1">
                                    <a:lumMod val="100000"/>
                                    <a:lumOff val="0"/>
                                  </a:schemeClr>
                                </a:solidFill>
                                <a:round/>
                                <a:tailEnd type="triangle" w="med" len="med"/>
                              </a:ln>
                            </wps:spPr>
                            <wps:bodyPr/>
                          </wps:wsp>
                        </a:graphicData>
                      </a:graphic>
                    </wp:anchor>
                  </w:drawing>
                </mc:Choice>
                <mc:Fallback>
                  <w:pict>
                    <v:line id="Line 10" o:spid="_x0000_s1026" o:spt="20" style="position:absolute;left:0pt;margin-left:187.95pt;margin-top:7.4pt;height:23.25pt;width:0.05pt;z-index:251665408;mso-width-relative:page;mso-height-relative:page;" filled="f" stroked="t" coordsize="21600,21600" o:gfxdata="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cRyUPaAAAA&#10;CQEAAA8AAAAAAAAAAQAgAAAAIgAAAGRycy9kb3ducmV2LnhtbFBLAQIUABQAAAAIAIdO4kBqEPM0&#10;4gEAALoDAAAOAAAAAAAAAAEAIAAAACkBAABkcnMvZTJvRG9jLnhtbFBLBQYAAAAABgAGAFkBAAB9&#10;BQAAAAA=&#10;">
                      <v:fill on="f" focussize="0,0"/>
                      <v:stroke weight="0.25pt" color="#000000 [3229]" joinstyle="round" endarrow="block"/>
                      <v:imagedata o:title=""/>
                      <o:lock v:ext="edit" aspectratio="f"/>
                    </v:line>
                  </w:pict>
                </mc:Fallback>
              </mc:AlternateContent>
            </w:r>
          </w:p>
          <w:p>
            <w:r>
              <w:rPr>
                <w:lang w:val="en-US"/>
              </w:rPr>
              <mc:AlternateContent>
                <mc:Choice Requires="wps">
                  <w:drawing>
                    <wp:anchor distT="0" distB="0" distL="114300" distR="114300" simplePos="0" relativeHeight="251619328" behindDoc="0" locked="0" layoutInCell="1" allowOverlap="1">
                      <wp:simplePos x="0" y="0"/>
                      <wp:positionH relativeFrom="column">
                        <wp:posOffset>1624965</wp:posOffset>
                      </wp:positionH>
                      <wp:positionV relativeFrom="paragraph">
                        <wp:posOffset>143510</wp:posOffset>
                      </wp:positionV>
                      <wp:extent cx="542925" cy="418465"/>
                      <wp:effectExtent l="15240" t="10160" r="13335" b="9525"/>
                      <wp:wrapNone/>
                      <wp:docPr id="5171" name="Freeform 11"/>
                      <wp:cNvGraphicFramePr/>
                      <a:graphic xmlns:a="http://schemas.openxmlformats.org/drawingml/2006/main">
                        <a:graphicData uri="http://schemas.microsoft.com/office/word/2010/wordprocessingShape">
                          <wps:wsp>
                            <wps:cNvSpPr/>
                            <wps:spPr bwMode="auto">
                              <a:xfrm>
                                <a:off x="0" y="0"/>
                                <a:ext cx="542925" cy="418465"/>
                              </a:xfrm>
                              <a:custGeom>
                                <a:avLst/>
                                <a:gdLst>
                                  <a:gd name="T0" fmla="*/ 720 w 885"/>
                                  <a:gd name="T1" fmla="*/ 540 h 645"/>
                                  <a:gd name="T2" fmla="*/ 720 w 885"/>
                                  <a:gd name="T3" fmla="*/ 645 h 645"/>
                                  <a:gd name="T4" fmla="*/ 15 w 885"/>
                                  <a:gd name="T5" fmla="*/ 645 h 645"/>
                                  <a:gd name="T6" fmla="*/ 0 w 885"/>
                                  <a:gd name="T7" fmla="*/ 0 h 645"/>
                                  <a:gd name="T8" fmla="*/ 885 w 885"/>
                                  <a:gd name="T9" fmla="*/ 0 h 645"/>
                                  <a:gd name="T10" fmla="*/ 870 w 885"/>
                                  <a:gd name="T11" fmla="*/ 120 h 645"/>
                                </a:gdLst>
                                <a:ahLst/>
                                <a:cxnLst>
                                  <a:cxn ang="0">
                                    <a:pos x="T0" y="T1"/>
                                  </a:cxn>
                                  <a:cxn ang="0">
                                    <a:pos x="T2" y="T3"/>
                                  </a:cxn>
                                  <a:cxn ang="0">
                                    <a:pos x="T4" y="T5"/>
                                  </a:cxn>
                                  <a:cxn ang="0">
                                    <a:pos x="T6" y="T7"/>
                                  </a:cxn>
                                  <a:cxn ang="0">
                                    <a:pos x="T8" y="T9"/>
                                  </a:cxn>
                                  <a:cxn ang="0">
                                    <a:pos x="T10" y="T11"/>
                                  </a:cxn>
                                </a:cxnLst>
                                <a:rect l="0" t="0" r="r" b="b"/>
                                <a:pathLst>
                                  <a:path w="885" h="645">
                                    <a:moveTo>
                                      <a:pt x="720" y="540"/>
                                    </a:moveTo>
                                    <a:lnTo>
                                      <a:pt x="720" y="645"/>
                                    </a:lnTo>
                                    <a:lnTo>
                                      <a:pt x="15" y="645"/>
                                    </a:lnTo>
                                    <a:lnTo>
                                      <a:pt x="0" y="0"/>
                                    </a:lnTo>
                                    <a:lnTo>
                                      <a:pt x="885" y="0"/>
                                    </a:lnTo>
                                    <a:lnTo>
                                      <a:pt x="870" y="120"/>
                                    </a:lnTo>
                                  </a:path>
                                </a:pathLst>
                              </a:custGeom>
                              <a:noFill/>
                              <a:ln w="3175">
                                <a:solidFill>
                                  <a:srgbClr val="000000"/>
                                </a:solidFill>
                                <a:prstDash val="dash"/>
                                <a:round/>
                              </a:ln>
                            </wps:spPr>
                            <wps:bodyPr rot="0" vert="horz" wrap="square" lIns="91440" tIns="45720" rIns="91440" bIns="45720" anchor="t" anchorCtr="0" upright="1">
                              <a:noAutofit/>
                            </wps:bodyPr>
                          </wps:wsp>
                        </a:graphicData>
                      </a:graphic>
                    </wp:anchor>
                  </w:drawing>
                </mc:Choice>
                <mc:Fallback>
                  <w:pict>
                    <v:shape id="Freeform 11" o:spid="_x0000_s1026" o:spt="100" style="position:absolute;left:0pt;margin-left:127.95pt;margin-top:11.3pt;height:32.95pt;width:42.75pt;z-index:251619328;mso-width-relative:page;mso-height-relative:page;" filled="f" stroked="t" coordsize="885,645" o:gfxdata="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BIvtxu2AAAAAkBAAAPAAAAAAAAAAEAIAAAACIAAABkcnMvZG93bnJldi54bWxQ&#10;SwECFAAUAAAACACHTuJAZmAKbhQDAAALCAAADgAAAAAAAAABACAAAAAnAQAAZHJzL2Uyb0RvYy54&#10;bWxQSwUGAAAAAAYABgBZAQAArQYAAAAA&#10;" path="m720,540l720,645,15,645,0,0,885,0,870,120e">
                      <v:path o:connectlocs="441701,350342;441701,418465;9202,418465;0,0;542925,0;533722,77853" o:connectangles="0,0,0,0,0,0"/>
                      <v:fill on="f" focussize="0,0"/>
                      <v:stroke weight="0.25pt" color="#000000" joinstyle="round" dashstyle="dash"/>
                      <v:imagedata o:title=""/>
                      <o:lock v:ext="edit" aspectratio="f"/>
                    </v:shape>
                  </w:pict>
                </mc:Fallback>
              </mc:AlternateContent>
            </w:r>
          </w:p>
          <w:p>
            <w:r>
              <w:rPr>
                <w:lang w:val="en-US"/>
              </w:rPr>
              <mc:AlternateContent>
                <mc:Choice Requires="wps">
                  <w:drawing>
                    <wp:anchor distT="0" distB="0" distL="114300" distR="114300" simplePos="0" relativeHeight="251680768" behindDoc="0" locked="0" layoutInCell="1" allowOverlap="1">
                      <wp:simplePos x="0" y="0"/>
                      <wp:positionH relativeFrom="column">
                        <wp:posOffset>2168525</wp:posOffset>
                      </wp:positionH>
                      <wp:positionV relativeFrom="paragraph">
                        <wp:posOffset>16510</wp:posOffset>
                      </wp:positionV>
                      <wp:extent cx="635" cy="85725"/>
                      <wp:effectExtent l="53975" t="6985" r="59690" b="21590"/>
                      <wp:wrapNone/>
                      <wp:docPr id="5170" name="Line 12"/>
                      <wp:cNvGraphicFramePr/>
                      <a:graphic xmlns:a="http://schemas.openxmlformats.org/drawingml/2006/main">
                        <a:graphicData uri="http://schemas.microsoft.com/office/word/2010/wordprocessingShape">
                          <wps:wsp>
                            <wps:cNvCnPr>
                              <a:cxnSpLocks noChangeShapeType="1"/>
                            </wps:cNvCnPr>
                            <wps:spPr bwMode="auto">
                              <a:xfrm>
                                <a:off x="0" y="0"/>
                                <a:ext cx="635" cy="85725"/>
                              </a:xfrm>
                              <a:prstGeom prst="line">
                                <a:avLst/>
                              </a:prstGeom>
                              <a:noFill/>
                              <a:ln w="3175">
                                <a:solidFill>
                                  <a:srgbClr val="000000"/>
                                </a:solidFill>
                                <a:prstDash val="dash"/>
                                <a:round/>
                                <a:tailEnd type="triangle" w="med" len="med"/>
                              </a:ln>
                            </wps:spPr>
                            <wps:bodyPr/>
                          </wps:wsp>
                        </a:graphicData>
                      </a:graphic>
                    </wp:anchor>
                  </w:drawing>
                </mc:Choice>
                <mc:Fallback>
                  <w:pict>
                    <v:line id="Line 12" o:spid="_x0000_s1026" o:spt="20" style="position:absolute;left:0pt;margin-left:170.75pt;margin-top:1.3pt;height:6.75pt;width:0.05pt;z-index:251680768;mso-width-relative:page;mso-height-relative:page;" filled="f" stroked="t" coordsize="21600,21600" o:gfxdata="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hG6sd0wAAAAgBAAAPAAAAAAAAAAEAIAAA&#10;ACIAAABkcnMvZG93bnJldi54bWxQSwECFAAUAAAACACHTuJAWsBhYNgBAACbAwAADgAAAAAAAAAB&#10;ACAAAAAiAQAAZHJzL2Uyb0RvYy54bWxQSwUGAAAAAAYABgBZAQAAbAUAAAAA&#10;">
                      <v:fill on="f" focussize="0,0"/>
                      <v:stroke weight="0.25pt" color="#000000" joinstyle="round" dashstyle="dash" endarrow="block"/>
                      <v:imagedata o:title=""/>
                      <o:lock v:ext="edit" aspectratio="f"/>
                    </v:line>
                  </w:pict>
                </mc:Fallback>
              </mc:AlternateContent>
            </w:r>
            <w:r>
              <w:rPr>
                <w:sz w:val="24"/>
                <w:lang w:val="en-US"/>
              </w:rPr>
              <mc:AlternateContent>
                <mc:Choice Requires="wps">
                  <w:drawing>
                    <wp:anchor distT="0" distB="0" distL="114300" distR="114300" simplePos="0" relativeHeight="251687936" behindDoc="0" locked="0" layoutInCell="1" allowOverlap="1">
                      <wp:simplePos x="0" y="0"/>
                      <wp:positionH relativeFrom="column">
                        <wp:posOffset>3234690</wp:posOffset>
                      </wp:positionH>
                      <wp:positionV relativeFrom="paragraph">
                        <wp:posOffset>102235</wp:posOffset>
                      </wp:positionV>
                      <wp:extent cx="942340" cy="257810"/>
                      <wp:effectExtent l="0" t="0" r="4445" b="1905"/>
                      <wp:wrapNone/>
                      <wp:docPr id="5169" name="Rectangle 13"/>
                      <wp:cNvGraphicFramePr/>
                      <a:graphic xmlns:a="http://schemas.openxmlformats.org/drawingml/2006/main">
                        <a:graphicData uri="http://schemas.microsoft.com/office/word/2010/wordprocessingShape">
                          <wps:wsp>
                            <wps:cNvSpPr>
                              <a:spLocks noChangeArrowheads="1"/>
                            </wps:cNvSpPr>
                            <wps:spPr bwMode="auto">
                              <a:xfrm>
                                <a:off x="0" y="0"/>
                                <a:ext cx="942340" cy="257810"/>
                              </a:xfrm>
                              <a:prstGeom prst="rect">
                                <a:avLst/>
                              </a:prstGeom>
                              <a:noFill/>
                              <a:ln>
                                <a:noFill/>
                              </a:ln>
                            </wps:spPr>
                            <wps:txbx>
                              <w:txbxContent>
                                <w:p>
                                  <w:pPr>
                                    <w:rPr>
                                      <w:lang w:val="en-US"/>
                                    </w:rPr>
                                  </w:pPr>
                                  <w:r>
                                    <w:rPr>
                                      <w:rFonts w:hint="eastAsia"/>
                                      <w:lang w:val="en-US"/>
                                    </w:rPr>
                                    <w:t>N</w:t>
                                  </w:r>
                                  <w:r>
                                    <w:rPr>
                                      <w:vertAlign w:val="subscript"/>
                                      <w:lang w:val="en-US"/>
                                    </w:rPr>
                                    <w:t>2</w:t>
                                  </w:r>
                                  <w:r>
                                    <w:rPr>
                                      <w:rFonts w:hint="eastAsia"/>
                                      <w:lang w:val="en-US"/>
                                    </w:rPr>
                                    <w:t>、S</w:t>
                                  </w:r>
                                  <w:r>
                                    <w:rPr>
                                      <w:rFonts w:hint="eastAsia"/>
                                      <w:vertAlign w:val="subscript"/>
                                      <w:lang w:val="en-US"/>
                                    </w:rPr>
                                    <w:t>3</w:t>
                                  </w: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254.7pt;margin-top:8.05pt;height:20.3pt;width:74.2pt;z-index:251687936;mso-width-relative:page;mso-height-relative:page;" filled="f" stroked="f" coordsize="21600,21600" o:gfxdata="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2myl2QAAAAkBAAAPAAAAAAAAAAEAIAAAACIAAABkcnMvZG93bnJldi54bWxQSwECFAAUAAAACACH&#10;TuJAZBEreuoBAADAAwAADgAAAAAAAAABACAAAAAoAQAAZHJzL2Uyb0RvYy54bWxQSwUGAAAAAAYA&#10;BgBZAQAAhAUAAAAA&#10;">
                      <v:fill on="f" focussize="0,0"/>
                      <v:stroke on="f"/>
                      <v:imagedata o:title=""/>
                      <o:lock v:ext="edit" aspectratio="f"/>
                      <v:textbox>
                        <w:txbxContent>
                          <w:p>
                            <w:pPr>
                              <w:rPr>
                                <w:lang w:val="en-US"/>
                              </w:rPr>
                            </w:pPr>
                            <w:r>
                              <w:rPr>
                                <w:rFonts w:hint="eastAsia"/>
                                <w:lang w:val="en-US"/>
                              </w:rPr>
                              <w:t>N</w:t>
                            </w:r>
                            <w:r>
                              <w:rPr>
                                <w:vertAlign w:val="subscript"/>
                                <w:lang w:val="en-US"/>
                              </w:rPr>
                              <w:t>2</w:t>
                            </w:r>
                            <w:r>
                              <w:rPr>
                                <w:rFonts w:hint="eastAsia"/>
                                <w:lang w:val="en-US"/>
                              </w:rPr>
                              <w:t>、S</w:t>
                            </w:r>
                            <w:r>
                              <w:rPr>
                                <w:rFonts w:hint="eastAsia"/>
                                <w:vertAlign w:val="subscript"/>
                                <w:lang w:val="en-US"/>
                              </w:rPr>
                              <w:t>3</w:t>
                            </w:r>
                          </w:p>
                        </w:txbxContent>
                      </v:textbox>
                    </v:rect>
                  </w:pict>
                </mc:Fallback>
              </mc:AlternateContent>
            </w:r>
            <w:r>
              <w:rPr>
                <w:sz w:val="24"/>
                <w:lang w:val="en-US"/>
              </w:rPr>
              <mc:AlternateContent>
                <mc:Choice Requires="wps">
                  <w:drawing>
                    <wp:anchor distT="0" distB="0" distL="114300" distR="114300" simplePos="0" relativeHeight="251681792" behindDoc="0" locked="0" layoutInCell="1" allowOverlap="1">
                      <wp:simplePos x="0" y="0"/>
                      <wp:positionH relativeFrom="column">
                        <wp:posOffset>1463040</wp:posOffset>
                      </wp:positionH>
                      <wp:positionV relativeFrom="paragraph">
                        <wp:posOffset>54610</wp:posOffset>
                      </wp:positionV>
                      <wp:extent cx="579755" cy="294640"/>
                      <wp:effectExtent l="0" t="0" r="0" b="3175"/>
                      <wp:wrapNone/>
                      <wp:docPr id="5168" name="Rectangle 14"/>
                      <wp:cNvGraphicFramePr/>
                      <a:graphic xmlns:a="http://schemas.openxmlformats.org/drawingml/2006/main">
                        <a:graphicData uri="http://schemas.microsoft.com/office/word/2010/wordprocessingShape">
                          <wps:wsp>
                            <wps:cNvSpPr>
                              <a:spLocks noChangeArrowheads="1"/>
                            </wps:cNvSpPr>
                            <wps:spPr bwMode="auto">
                              <a:xfrm>
                                <a:off x="0" y="0"/>
                                <a:ext cx="579755" cy="294640"/>
                              </a:xfrm>
                              <a:prstGeom prst="rect">
                                <a:avLst/>
                              </a:prstGeom>
                              <a:noFill/>
                              <a:ln>
                                <a:noFill/>
                              </a:ln>
                            </wps:spPr>
                            <wps:txbx>
                              <w:txbxContent>
                                <w:p>
                                  <w:pPr>
                                    <w:jc w:val="center"/>
                                  </w:pPr>
                                  <w:r>
                                    <w:rPr>
                                      <w:rFonts w:hint="eastAsia"/>
                                    </w:rPr>
                                    <w:t>水</w:t>
                                  </w: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115.2pt;margin-top:4.3pt;height:23.2pt;width:45.65pt;z-index:251681792;mso-width-relative:page;mso-height-relative:page;" filled="f" stroked="f" coordsize="21600,21600" o:gfxdata="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lLF/aAAAACAEAAA8AAAAAAAAAAQAgAAAAIgAAAGRycy9kb3ducmV2LnhtbFBLAQIUABQAAAAI&#10;AIdO4kC+RYBT6wEAAMADAAAOAAAAAAAAAAEAIAAAACkBAABkcnMvZTJvRG9jLnhtbFBLBQYAAAAA&#10;BgAGAFkBAACGBQAAAAA=&#10;">
                      <v:fill on="f" focussize="0,0"/>
                      <v:stroke on="f"/>
                      <v:imagedata o:title=""/>
                      <o:lock v:ext="edit" aspectratio="f"/>
                      <v:textbox>
                        <w:txbxContent>
                          <w:p>
                            <w:pPr>
                              <w:jc w:val="center"/>
                            </w:pPr>
                            <w:r>
                              <w:rPr>
                                <w:rFonts w:hint="eastAsia"/>
                              </w:rPr>
                              <w:t>水</w:t>
                            </w:r>
                          </w:p>
                        </w:txbxContent>
                      </v:textbox>
                    </v:rect>
                  </w:pict>
                </mc:Fallback>
              </mc:AlternateContent>
            </w:r>
            <w:r>
              <w:rPr>
                <w:lang w:val="en-US"/>
              </w:rPr>
              <mc:AlternateContent>
                <mc:Choice Requires="wps">
                  <w:drawing>
                    <wp:anchor distT="0" distB="0" distL="114300" distR="114300" simplePos="0" relativeHeight="251667456" behindDoc="0" locked="0" layoutInCell="1" allowOverlap="1">
                      <wp:simplePos x="0" y="0"/>
                      <wp:positionH relativeFrom="column">
                        <wp:posOffset>1986915</wp:posOffset>
                      </wp:positionH>
                      <wp:positionV relativeFrom="paragraph">
                        <wp:posOffset>92075</wp:posOffset>
                      </wp:positionV>
                      <wp:extent cx="791845" cy="248285"/>
                      <wp:effectExtent l="5715" t="6350" r="12065" b="12065"/>
                      <wp:wrapNone/>
                      <wp:docPr id="5167" name="Rectangle 15"/>
                      <wp:cNvGraphicFramePr/>
                      <a:graphic xmlns:a="http://schemas.openxmlformats.org/drawingml/2006/main">
                        <a:graphicData uri="http://schemas.microsoft.com/office/word/2010/wordprocessingShape">
                          <wps:wsp>
                            <wps:cNvSpPr>
                              <a:spLocks noChangeArrowheads="1"/>
                            </wps:cNvSpPr>
                            <wps:spPr bwMode="auto">
                              <a:xfrm>
                                <a:off x="0" y="0"/>
                                <a:ext cx="791845" cy="248285"/>
                              </a:xfrm>
                              <a:prstGeom prst="rect">
                                <a:avLst/>
                              </a:prstGeom>
                              <a:solidFill>
                                <a:srgbClr val="FFFFFF"/>
                              </a:solidFill>
                              <a:ln w="3175">
                                <a:solidFill>
                                  <a:srgbClr val="000000"/>
                                </a:solidFill>
                                <a:miter lim="800000"/>
                              </a:ln>
                            </wps:spPr>
                            <wps:txbx>
                              <w:txbxContent>
                                <w:p>
                                  <w:pPr>
                                    <w:jc w:val="center"/>
                                  </w:pPr>
                                  <w:r>
                                    <w:rPr>
                                      <w:rFonts w:hint="eastAsia"/>
                                    </w:rPr>
                                    <w:t>水磨</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156.45pt;margin-top:7.25pt;height:19.55pt;width:62.35pt;z-index:251667456;mso-width-relative:page;mso-height-relative:page;" fillcolor="#FFFFFF" filled="t" stroked="t" coordsize="21600,21600" o:gfxdata="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0ZIHtYAAAAJAQAADwAAAAAA&#10;AAABACAAAAAiAAAAZHJzL2Rvd25yZXYueG1sUEsBAhQAFAAAAAgAh07iQBlYPycVAgAAMgQAAA4A&#10;AAAAAAAAAQAgAAAAJQEAAGRycy9lMm9Eb2MueG1sUEsFBgAAAAAGAAYAWQEAAKwFAAAAAA==&#10;">
                      <v:fill on="t" focussize="0,0"/>
                      <v:stroke weight="0.25pt" color="#000000" miterlimit="8" joinstyle="miter"/>
                      <v:imagedata o:title=""/>
                      <o:lock v:ext="edit" aspectratio="f"/>
                      <v:textbox>
                        <w:txbxContent>
                          <w:p>
                            <w:pPr>
                              <w:jc w:val="center"/>
                            </w:pPr>
                            <w:r>
                              <w:rPr>
                                <w:rFonts w:hint="eastAsia"/>
                              </w:rPr>
                              <w:t>水磨</w:t>
                            </w:r>
                          </w:p>
                        </w:txbxContent>
                      </v:textbox>
                    </v:rect>
                  </w:pict>
                </mc:Fallback>
              </mc:AlternateContent>
            </w:r>
          </w:p>
          <w:p>
            <w:r>
              <w:rPr>
                <w:lang w:val="en-US"/>
              </w:rPr>
              <mc:AlternateContent>
                <mc:Choice Requires="wps">
                  <w:drawing>
                    <wp:anchor distT="0" distB="0" distL="114300" distR="114300" simplePos="0" relativeHeight="251686912" behindDoc="0" locked="0" layoutInCell="1" allowOverlap="1">
                      <wp:simplePos x="0" y="0"/>
                      <wp:positionH relativeFrom="column">
                        <wp:posOffset>2806065</wp:posOffset>
                      </wp:positionH>
                      <wp:positionV relativeFrom="paragraph">
                        <wp:posOffset>72390</wp:posOffset>
                      </wp:positionV>
                      <wp:extent cx="400685" cy="10160"/>
                      <wp:effectExtent l="5715" t="43815" r="22225" b="60325"/>
                      <wp:wrapNone/>
                      <wp:docPr id="5166" name="Line 16"/>
                      <wp:cNvGraphicFramePr/>
                      <a:graphic xmlns:a="http://schemas.openxmlformats.org/drawingml/2006/main">
                        <a:graphicData uri="http://schemas.microsoft.com/office/word/2010/wordprocessingShape">
                          <wps:wsp>
                            <wps:cNvCnPr>
                              <a:cxnSpLocks noChangeShapeType="1"/>
                            </wps:cNvCnPr>
                            <wps:spPr bwMode="auto">
                              <a:xfrm>
                                <a:off x="0" y="0"/>
                                <a:ext cx="400685" cy="10160"/>
                              </a:xfrm>
                              <a:prstGeom prst="line">
                                <a:avLst/>
                              </a:prstGeom>
                              <a:noFill/>
                              <a:ln w="3175">
                                <a:solidFill>
                                  <a:schemeClr val="tx1">
                                    <a:lumMod val="100000"/>
                                    <a:lumOff val="0"/>
                                  </a:schemeClr>
                                </a:solidFill>
                                <a:prstDash val="dashDot"/>
                                <a:round/>
                                <a:tailEnd type="triangle" w="med" len="med"/>
                              </a:ln>
                            </wps:spPr>
                            <wps:bodyPr/>
                          </wps:wsp>
                        </a:graphicData>
                      </a:graphic>
                    </wp:anchor>
                  </w:drawing>
                </mc:Choice>
                <mc:Fallback>
                  <w:pict>
                    <v:line id="Line 16" o:spid="_x0000_s1026" o:spt="20" style="position:absolute;left:0pt;margin-left:220.95pt;margin-top:5.7pt;height:0.8pt;width:31.55pt;z-index:251686912;mso-width-relative:page;mso-height-relative:page;" filled="f" stroked="t" coordsize="21600,21600" o:gfxdata="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RUDPrYAAAACQEAAA8AAAAAAAAAAQAgAAAAIgAAAGRycy9kb3ducmV2LnhtbFBLAQIUABQA&#10;AAAIAIdO4kAAfWU+8AEAANcDAAAOAAAAAAAAAAEAIAAAACcBAABkcnMvZTJvRG9jLnhtbFBLBQYA&#10;AAAABgAGAFkBAACJBQAAAAA=&#10;">
                      <v:fill on="f" focussize="0,0"/>
                      <v:stroke weight="0.25pt" color="#000000 [3229]" joinstyle="round" dashstyle="dashDot" endarrow="block"/>
                      <v:imagedata o:title=""/>
                      <o:lock v:ext="edit" aspectratio="f"/>
                    </v:line>
                  </w:pict>
                </mc:Fallback>
              </mc:AlternateContent>
            </w:r>
          </w:p>
          <w:p>
            <w:r>
              <w:rPr>
                <w:lang w:val="en-US"/>
              </w:rPr>
              <mc:AlternateContent>
                <mc:Choice Requires="wps">
                  <w:drawing>
                    <wp:anchor distT="0" distB="0" distL="114300" distR="114300" simplePos="0" relativeHeight="251679744" behindDoc="0" locked="0" layoutInCell="1" allowOverlap="1">
                      <wp:simplePos x="0" y="0"/>
                      <wp:positionH relativeFrom="column">
                        <wp:posOffset>2386965</wp:posOffset>
                      </wp:positionH>
                      <wp:positionV relativeFrom="paragraph">
                        <wp:posOffset>52070</wp:posOffset>
                      </wp:positionV>
                      <wp:extent cx="635" cy="295275"/>
                      <wp:effectExtent l="53340" t="13970" r="60325" b="14605"/>
                      <wp:wrapNone/>
                      <wp:docPr id="5165" name="Line 17"/>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line">
                                <a:avLst/>
                              </a:prstGeom>
                              <a:noFill/>
                              <a:ln w="3175">
                                <a:solidFill>
                                  <a:schemeClr val="tx1">
                                    <a:lumMod val="100000"/>
                                    <a:lumOff val="0"/>
                                  </a:schemeClr>
                                </a:solidFill>
                                <a:round/>
                                <a:tailEnd type="triangle" w="med" len="med"/>
                              </a:ln>
                            </wps:spPr>
                            <wps:bodyPr/>
                          </wps:wsp>
                        </a:graphicData>
                      </a:graphic>
                    </wp:anchor>
                  </w:drawing>
                </mc:Choice>
                <mc:Fallback>
                  <w:pict>
                    <v:line id="Line 17" o:spid="_x0000_s1026" o:spt="20" style="position:absolute;left:0pt;margin-left:187.95pt;margin-top:4.1pt;height:23.25pt;width:0.05pt;z-index:251679744;mso-width-relative:page;mso-height-relative:page;" filled="f" stroked="t" coordsize="21600,21600" o:gfxdata="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GgKQdoAAAAI&#10;AQAADwAAAAAAAAABACAAAAAiAAAAZHJzL2Rvd25yZXYueG1sUEsBAhQAFAAAAAgAh07iQOBhkBjh&#10;AQAAugMAAA4AAAAAAAAAAQAgAAAAKQEAAGRycy9lMm9Eb2MueG1sUEsFBgAAAAAGAAYAWQEAAHwF&#10;AAAAAA==&#10;">
                      <v:fill on="f" focussize="0,0"/>
                      <v:stroke weight="0.25pt" color="#000000 [3229]" joinstyle="round" endarrow="block"/>
                      <v:imagedata o:title=""/>
                      <o:lock v:ext="edit" aspectratio="f"/>
                    </v:line>
                  </w:pict>
                </mc:Fallback>
              </mc:AlternateContent>
            </w:r>
          </w:p>
          <w:p>
            <w:pPr>
              <w:pStyle w:val="2"/>
            </w:pPr>
            <w:r>
              <w:rPr>
                <w:lang w:val="en-US"/>
              </w:rPr>
              <mc:AlternateContent>
                <mc:Choice Requires="wps">
                  <w:drawing>
                    <wp:anchor distT="0" distB="0" distL="114300" distR="114300" simplePos="0" relativeHeight="251683840" behindDoc="0" locked="0" layoutInCell="1" allowOverlap="1">
                      <wp:simplePos x="0" y="0"/>
                      <wp:positionH relativeFrom="column">
                        <wp:posOffset>2005965</wp:posOffset>
                      </wp:positionH>
                      <wp:positionV relativeFrom="paragraph">
                        <wp:posOffset>203835</wp:posOffset>
                      </wp:positionV>
                      <wp:extent cx="791845" cy="248285"/>
                      <wp:effectExtent l="5715" t="13335" r="12065" b="5080"/>
                      <wp:wrapNone/>
                      <wp:docPr id="5164" name="Rectangle 18"/>
                      <wp:cNvGraphicFramePr/>
                      <a:graphic xmlns:a="http://schemas.openxmlformats.org/drawingml/2006/main">
                        <a:graphicData uri="http://schemas.microsoft.com/office/word/2010/wordprocessingShape">
                          <wps:wsp>
                            <wps:cNvSpPr>
                              <a:spLocks noChangeArrowheads="1"/>
                            </wps:cNvSpPr>
                            <wps:spPr bwMode="auto">
                              <a:xfrm>
                                <a:off x="0" y="0"/>
                                <a:ext cx="791845" cy="248285"/>
                              </a:xfrm>
                              <a:prstGeom prst="rect">
                                <a:avLst/>
                              </a:prstGeom>
                              <a:solidFill>
                                <a:srgbClr val="FFFFFF"/>
                              </a:solidFill>
                              <a:ln w="3175">
                                <a:solidFill>
                                  <a:srgbClr val="000000"/>
                                </a:solidFill>
                                <a:miter lim="800000"/>
                              </a:ln>
                            </wps:spPr>
                            <wps:txbx>
                              <w:txbxContent>
                                <w:p>
                                  <w:pPr>
                                    <w:jc w:val="center"/>
                                    <w:rPr>
                                      <w:rFonts w:hint="eastAsia" w:eastAsia="宋体"/>
                                      <w:color w:val="auto"/>
                                      <w:lang w:eastAsia="zh-CN"/>
                                    </w:rPr>
                                  </w:pPr>
                                  <w:r>
                                    <w:rPr>
                                      <w:rFonts w:hint="eastAsia"/>
                                      <w:color w:val="auto"/>
                                      <w:lang w:eastAsia="zh-CN"/>
                                    </w:rPr>
                                    <w:t>干燥</w:t>
                                  </w: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157.95pt;margin-top:16.05pt;height:19.55pt;width:62.35pt;z-index:251683840;mso-width-relative:page;mso-height-relative:page;" fillcolor="#FFFFFF" filled="t" stroked="t" coordsize="21600,21600" o:gfxdata="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si3v9cAAAAJAQAADwAAAAAA&#10;AAABACAAAAAiAAAAZHJzL2Rvd25yZXYueG1sUEsBAhQAFAAAAAgAh07iQEW/ygIUAgAAMgQAAA4A&#10;AAAAAAAAAQAgAAAAJgEAAGRycy9lMm9Eb2MueG1sUEsFBgAAAAAGAAYAWQEAAKwFAAAAAA==&#10;">
                      <v:fill on="t" focussize="0,0"/>
                      <v:stroke weight="0.25pt" color="#000000" miterlimit="8" joinstyle="miter"/>
                      <v:imagedata o:title=""/>
                      <o:lock v:ext="edit" aspectratio="f"/>
                      <v:textbox>
                        <w:txbxContent>
                          <w:p>
                            <w:pPr>
                              <w:jc w:val="center"/>
                              <w:rPr>
                                <w:rFonts w:hint="eastAsia" w:eastAsia="宋体"/>
                                <w:color w:val="auto"/>
                                <w:lang w:eastAsia="zh-CN"/>
                              </w:rPr>
                            </w:pPr>
                            <w:r>
                              <w:rPr>
                                <w:rFonts w:hint="eastAsia"/>
                                <w:color w:val="auto"/>
                                <w:lang w:eastAsia="zh-CN"/>
                              </w:rPr>
                              <w:t>干燥</w:t>
                            </w:r>
                          </w:p>
                        </w:txbxContent>
                      </v:textbox>
                    </v:rect>
                  </w:pict>
                </mc:Fallback>
              </mc:AlternateContent>
            </w:r>
          </w:p>
          <w:p>
            <w:pPr>
              <w:pStyle w:val="2"/>
            </w:pPr>
          </w:p>
          <w:p>
            <w:pPr>
              <w:pStyle w:val="2"/>
            </w:pPr>
            <w:r>
              <w:rPr>
                <w:lang w:val="en-US"/>
              </w:rPr>
              <mc:AlternateContent>
                <mc:Choice Requires="wps">
                  <w:drawing>
                    <wp:anchor distT="0" distB="0" distL="114300" distR="114300" simplePos="0" relativeHeight="251757568" behindDoc="0" locked="0" layoutInCell="1" allowOverlap="1">
                      <wp:simplePos x="0" y="0"/>
                      <wp:positionH relativeFrom="column">
                        <wp:posOffset>2402205</wp:posOffset>
                      </wp:positionH>
                      <wp:positionV relativeFrom="paragraph">
                        <wp:posOffset>24765</wp:posOffset>
                      </wp:positionV>
                      <wp:extent cx="635" cy="328295"/>
                      <wp:effectExtent l="37465" t="0" r="38100" b="14605"/>
                      <wp:wrapNone/>
                      <wp:docPr id="2" name="Line 17"/>
                      <wp:cNvGraphicFramePr/>
                      <a:graphic xmlns:a="http://schemas.openxmlformats.org/drawingml/2006/main">
                        <a:graphicData uri="http://schemas.microsoft.com/office/word/2010/wordprocessingShape">
                          <wps:wsp>
                            <wps:cNvCnPr>
                              <a:cxnSpLocks noChangeShapeType="1"/>
                            </wps:cNvCnPr>
                            <wps:spPr bwMode="auto">
                              <a:xfrm>
                                <a:off x="0" y="0"/>
                                <a:ext cx="635" cy="328295"/>
                              </a:xfrm>
                              <a:prstGeom prst="line">
                                <a:avLst/>
                              </a:prstGeom>
                              <a:noFill/>
                              <a:ln w="3175">
                                <a:solidFill>
                                  <a:schemeClr val="tx1">
                                    <a:lumMod val="100000"/>
                                    <a:lumOff val="0"/>
                                  </a:schemeClr>
                                </a:solidFill>
                                <a:round/>
                                <a:tailEnd type="triangle" w="med" len="med"/>
                              </a:ln>
                            </wps:spPr>
                            <wps:bodyPr/>
                          </wps:wsp>
                        </a:graphicData>
                      </a:graphic>
                    </wp:anchor>
                  </w:drawing>
                </mc:Choice>
                <mc:Fallback>
                  <w:pict>
                    <v:line id="Line 17" o:spid="_x0000_s1026" o:spt="20" style="position:absolute;left:0pt;margin-left:189.15pt;margin-top:1.95pt;height:25.85pt;width:0.05pt;z-index:251757568;mso-width-relative:page;mso-height-relative:page;" filled="f" stroked="t" coordsize="21600,21600" o:gfxdata="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1KydvZAAAACAEA&#10;AA8AAAAAAAAAAQAgAAAAIgAAAGRycy9kb3ducmV2LnhtbFBLAQIUABQAAAAIAIdO4kD41oGs4AEA&#10;ALcDAAAOAAAAAAAAAAEAIAAAACgBAABkcnMvZTJvRG9jLnhtbFBLBQYAAAAABgAGAFkBAAB6BQAA&#10;AAA=&#10;">
                      <v:fill on="f" focussize="0,0"/>
                      <v:stroke weight="0.25pt" color="#000000 [3229]" joinstyle="round" endarrow="block"/>
                      <v:imagedata o:title=""/>
                      <o:lock v:ext="edit" aspectratio="f"/>
                    </v:line>
                  </w:pict>
                </mc:Fallback>
              </mc:AlternateContent>
            </w:r>
          </w:p>
          <w:p>
            <w:pPr>
              <w:pStyle w:val="2"/>
            </w:pPr>
            <w:r>
              <w:rPr>
                <w:sz w:val="24"/>
                <w:lang w:val="en-US"/>
              </w:rPr>
              <mc:AlternateContent>
                <mc:Choice Requires="wps">
                  <w:drawing>
                    <wp:anchor distT="0" distB="0" distL="114300" distR="114300" simplePos="0" relativeHeight="251689984" behindDoc="0" locked="0" layoutInCell="1" allowOverlap="1">
                      <wp:simplePos x="0" y="0"/>
                      <wp:positionH relativeFrom="column">
                        <wp:posOffset>3277235</wp:posOffset>
                      </wp:positionH>
                      <wp:positionV relativeFrom="paragraph">
                        <wp:posOffset>64770</wp:posOffset>
                      </wp:positionV>
                      <wp:extent cx="942340" cy="257810"/>
                      <wp:effectExtent l="0" t="4445" r="4445" b="4445"/>
                      <wp:wrapNone/>
                      <wp:docPr id="5163" name="Rectangle 19"/>
                      <wp:cNvGraphicFramePr/>
                      <a:graphic xmlns:a="http://schemas.openxmlformats.org/drawingml/2006/main">
                        <a:graphicData uri="http://schemas.microsoft.com/office/word/2010/wordprocessingShape">
                          <wps:wsp>
                            <wps:cNvSpPr>
                              <a:spLocks noChangeArrowheads="1"/>
                            </wps:cNvSpPr>
                            <wps:spPr bwMode="auto">
                              <a:xfrm>
                                <a:off x="0" y="0"/>
                                <a:ext cx="942340" cy="257810"/>
                              </a:xfrm>
                              <a:prstGeom prst="rect">
                                <a:avLst/>
                              </a:prstGeom>
                              <a:noFill/>
                              <a:ln>
                                <a:noFill/>
                              </a:ln>
                            </wps:spPr>
                            <wps:txbx>
                              <w:txbxContent>
                                <w:p>
                                  <w:pPr>
                                    <w:rPr>
                                      <w:lang w:val="en-US"/>
                                    </w:rPr>
                                  </w:pPr>
                                  <w:r>
                                    <w:rPr>
                                      <w:rFonts w:hint="eastAsia"/>
                                      <w:lang w:val="en-US"/>
                                    </w:rPr>
                                    <w:t>S</w:t>
                                  </w:r>
                                  <w:r>
                                    <w:rPr>
                                      <w:rFonts w:hint="eastAsia"/>
                                      <w:vertAlign w:val="subscript"/>
                                      <w:lang w:val="en-US"/>
                                    </w:rPr>
                                    <w:t>4</w:t>
                                  </w: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58.05pt;margin-top:5.1pt;height:20.3pt;width:74.2pt;z-index:251689984;mso-width-relative:page;mso-height-relative:page;" filled="f" stroked="f" coordsize="21600,21600" o:gfxdata="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3Y&#10;zOXYAAAACQEAAA8AAAAAAAAAAQAgAAAAIgAAAGRycy9kb3ducmV2LnhtbFBLAQIUABQAAAAIAIdO&#10;4kCQ+GF86gEAAMADAAAOAAAAAAAAAAEAIAAAACcBAABkcnMvZTJvRG9jLnhtbFBLBQYAAAAABgAG&#10;AFkBAACDBQAAAAA=&#10;">
                      <v:fill on="f" focussize="0,0"/>
                      <v:stroke on="f"/>
                      <v:imagedata o:title=""/>
                      <o:lock v:ext="edit" aspectratio="f"/>
                      <v:textbox>
                        <w:txbxContent>
                          <w:p>
                            <w:pPr>
                              <w:rPr>
                                <w:lang w:val="en-US"/>
                              </w:rPr>
                            </w:pPr>
                            <w:r>
                              <w:rPr>
                                <w:rFonts w:hint="eastAsia"/>
                                <w:lang w:val="en-US"/>
                              </w:rPr>
                              <w:t>S</w:t>
                            </w:r>
                            <w:r>
                              <w:rPr>
                                <w:rFonts w:hint="eastAsia"/>
                                <w:vertAlign w:val="subscript"/>
                                <w:lang w:val="en-US"/>
                              </w:rPr>
                              <w:t>4</w:t>
                            </w:r>
                          </w:p>
                        </w:txbxContent>
                      </v:textbox>
                    </v:rect>
                  </w:pict>
                </mc:Fallback>
              </mc:AlternateContent>
            </w:r>
            <w:r>
              <w:rPr>
                <w:lang w:val="en-US"/>
              </w:rPr>
              <mc:AlternateContent>
                <mc:Choice Requires="wps">
                  <w:drawing>
                    <wp:anchor distT="0" distB="0" distL="114300" distR="114300" simplePos="0" relativeHeight="251688960" behindDoc="0" locked="0" layoutInCell="1" allowOverlap="1">
                      <wp:simplePos x="0" y="0"/>
                      <wp:positionH relativeFrom="column">
                        <wp:posOffset>2880360</wp:posOffset>
                      </wp:positionH>
                      <wp:positionV relativeFrom="paragraph">
                        <wp:posOffset>204470</wp:posOffset>
                      </wp:positionV>
                      <wp:extent cx="400685" cy="10160"/>
                      <wp:effectExtent l="5715" t="50165" r="22225" b="53975"/>
                      <wp:wrapNone/>
                      <wp:docPr id="5162" name="Line 20"/>
                      <wp:cNvGraphicFramePr/>
                      <a:graphic xmlns:a="http://schemas.openxmlformats.org/drawingml/2006/main">
                        <a:graphicData uri="http://schemas.microsoft.com/office/word/2010/wordprocessingShape">
                          <wps:wsp>
                            <wps:cNvCnPr>
                              <a:cxnSpLocks noChangeShapeType="1"/>
                            </wps:cNvCnPr>
                            <wps:spPr bwMode="auto">
                              <a:xfrm>
                                <a:off x="0" y="0"/>
                                <a:ext cx="400685" cy="10160"/>
                              </a:xfrm>
                              <a:prstGeom prst="line">
                                <a:avLst/>
                              </a:prstGeom>
                              <a:noFill/>
                              <a:ln w="3175">
                                <a:solidFill>
                                  <a:schemeClr val="tx1">
                                    <a:lumMod val="100000"/>
                                    <a:lumOff val="0"/>
                                  </a:schemeClr>
                                </a:solidFill>
                                <a:prstDash val="dashDot"/>
                                <a:round/>
                                <a:tailEnd type="triangle" w="med" len="med"/>
                              </a:ln>
                            </wps:spPr>
                            <wps:bodyPr/>
                          </wps:wsp>
                        </a:graphicData>
                      </a:graphic>
                    </wp:anchor>
                  </w:drawing>
                </mc:Choice>
                <mc:Fallback>
                  <w:pict>
                    <v:line id="Line 20" o:spid="_x0000_s1026" o:spt="20" style="position:absolute;left:0pt;margin-left:226.8pt;margin-top:16.1pt;height:0.8pt;width:31.55pt;z-index:251688960;mso-width-relative:page;mso-height-relative:page;" filled="f" stroked="t" coordsize="21600,21600" o:gfxdata="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UTYSNoAAAAJAQAADwAAAAAAAAABACAAAAAiAAAAZHJzL2Rvd25yZXYueG1sUEsBAhQA&#10;FAAAAAgAh07iQK8wNBTwAQAA1wMAAA4AAAAAAAAAAQAgAAAAKQEAAGRycy9lMm9Eb2MueG1sUEsF&#10;BgAAAAAGAAYAWQEAAIsFAAAAAA==&#10;">
                      <v:fill on="f" focussize="0,0"/>
                      <v:stroke weight="0.25pt" color="#000000 [3229]" joinstyle="round" dashstyle="dashDot" endarrow="block"/>
                      <v:imagedata o:title=""/>
                      <o:lock v:ext="edit" aspectratio="f"/>
                    </v:line>
                  </w:pict>
                </mc:Fallback>
              </mc:AlternateContent>
            </w:r>
            <w:r>
              <w:rPr>
                <w:lang w:val="en-US"/>
              </w:rPr>
              <mc:AlternateContent>
                <mc:Choice Requires="wps">
                  <w:drawing>
                    <wp:anchor distT="0" distB="0" distL="114300" distR="114300" simplePos="0" relativeHeight="251735040" behindDoc="0" locked="0" layoutInCell="1" allowOverlap="1">
                      <wp:simplePos x="0" y="0"/>
                      <wp:positionH relativeFrom="column">
                        <wp:posOffset>2020570</wp:posOffset>
                      </wp:positionH>
                      <wp:positionV relativeFrom="paragraph">
                        <wp:posOffset>100965</wp:posOffset>
                      </wp:positionV>
                      <wp:extent cx="791845" cy="248285"/>
                      <wp:effectExtent l="4445" t="4445" r="22860" b="13970"/>
                      <wp:wrapNone/>
                      <wp:docPr id="1" name="Rectangle 18"/>
                      <wp:cNvGraphicFramePr/>
                      <a:graphic xmlns:a="http://schemas.openxmlformats.org/drawingml/2006/main">
                        <a:graphicData uri="http://schemas.microsoft.com/office/word/2010/wordprocessingShape">
                          <wps:wsp>
                            <wps:cNvSpPr>
                              <a:spLocks noChangeArrowheads="1"/>
                            </wps:cNvSpPr>
                            <wps:spPr bwMode="auto">
                              <a:xfrm>
                                <a:off x="0" y="0"/>
                                <a:ext cx="791845" cy="248285"/>
                              </a:xfrm>
                              <a:prstGeom prst="rect">
                                <a:avLst/>
                              </a:prstGeom>
                              <a:solidFill>
                                <a:srgbClr val="FFFFFF"/>
                              </a:solidFill>
                              <a:ln w="3175">
                                <a:solidFill>
                                  <a:srgbClr val="000000"/>
                                </a:solidFill>
                                <a:miter lim="800000"/>
                              </a:ln>
                            </wps:spPr>
                            <wps:txbx>
                              <w:txbxContent>
                                <w:p>
                                  <w:pPr>
                                    <w:jc w:val="center"/>
                                  </w:pPr>
                                  <w:r>
                                    <w:rPr>
                                      <w:rFonts w:hint="eastAsia"/>
                                    </w:rPr>
                                    <w:t>检验</w:t>
                                  </w: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159.1pt;margin-top:7.95pt;height:19.55pt;width:62.35pt;z-index:251735040;mso-width-relative:page;mso-height-relative:page;" fillcolor="#FFFFFF" filled="t" stroked="t" coordsize="21600,21600" o:gfxdata="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NBde1gAAAAkBAAAPAAAAAAAAAAEA&#10;IAAAACIAAABkcnMvZG93bnJldi54bWxQSwECFAAUAAAACACHTuJAabUPkBECAAAvBAAADgAAAAAA&#10;AAABACAAAAAlAQAAZHJzL2Uyb0RvYy54bWxQSwUGAAAAAAYABgBZAQAAqAUAAAAA&#10;">
                      <v:fill on="t" focussize="0,0"/>
                      <v:stroke weight="0.25pt" color="#000000" miterlimit="8" joinstyle="miter"/>
                      <v:imagedata o:title=""/>
                      <o:lock v:ext="edit" aspectratio="f"/>
                      <v:textbox>
                        <w:txbxContent>
                          <w:p>
                            <w:pPr>
                              <w:jc w:val="center"/>
                            </w:pPr>
                            <w:r>
                              <w:rPr>
                                <w:rFonts w:hint="eastAsia"/>
                              </w:rPr>
                              <w:t>检验</w:t>
                            </w:r>
                          </w:p>
                        </w:txbxContent>
                      </v:textbox>
                    </v:rect>
                  </w:pict>
                </mc:Fallback>
              </mc:AlternateContent>
            </w:r>
          </w:p>
          <w:p>
            <w:pPr>
              <w:pStyle w:val="2"/>
            </w:pPr>
            <w:r>
              <w:rPr>
                <w:lang w:val="en-US"/>
              </w:rPr>
              <mc:AlternateContent>
                <mc:Choice Requires="wps">
                  <w:drawing>
                    <wp:anchor distT="0" distB="0" distL="114300" distR="114300" simplePos="0" relativeHeight="251685888" behindDoc="0" locked="0" layoutInCell="1" allowOverlap="1">
                      <wp:simplePos x="0" y="0"/>
                      <wp:positionH relativeFrom="column">
                        <wp:posOffset>2407920</wp:posOffset>
                      </wp:positionH>
                      <wp:positionV relativeFrom="paragraph">
                        <wp:posOffset>151130</wp:posOffset>
                      </wp:positionV>
                      <wp:extent cx="635" cy="295275"/>
                      <wp:effectExtent l="53340" t="11430" r="60325" b="17145"/>
                      <wp:wrapNone/>
                      <wp:docPr id="5161" name="Line 21"/>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line">
                                <a:avLst/>
                              </a:prstGeom>
                              <a:noFill/>
                              <a:ln w="3175">
                                <a:solidFill>
                                  <a:schemeClr val="tx1">
                                    <a:lumMod val="100000"/>
                                    <a:lumOff val="0"/>
                                  </a:schemeClr>
                                </a:solidFill>
                                <a:round/>
                                <a:tailEnd type="triangle" w="med" len="med"/>
                              </a:ln>
                            </wps:spPr>
                            <wps:bodyPr/>
                          </wps:wsp>
                        </a:graphicData>
                      </a:graphic>
                    </wp:anchor>
                  </w:drawing>
                </mc:Choice>
                <mc:Fallback>
                  <w:pict>
                    <v:line id="Line 21" o:spid="_x0000_s1026" o:spt="20" style="position:absolute;left:0pt;margin-left:189.6pt;margin-top:11.9pt;height:23.25pt;width:0.05pt;z-index:251685888;mso-width-relative:page;mso-height-relative:page;" filled="f" stroked="t" coordsize="21600,21600" o:gfxdata="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IH5cdkAAAAJAQAA&#10;DwAAAAAAAAABACAAAAAiAAAAZHJzL2Rvd25yZXYueG1sUEsBAhQAFAAAAAgAh07iQDxeYSTfAQAA&#10;ugMAAA4AAAAAAAAAAQAgAAAAKAEAAGRycy9lMm9Eb2MueG1sUEsFBgAAAAAGAAYAWQEAAHkFAAAA&#10;AA==&#10;">
                      <v:fill on="f" focussize="0,0"/>
                      <v:stroke weight="0.25pt" color="#000000 [3229]" joinstyle="round" endarrow="block"/>
                      <v:imagedata o:title=""/>
                      <o:lock v:ext="edit" aspectratio="f"/>
                    </v:line>
                  </w:pict>
                </mc:Fallback>
              </mc:AlternateContent>
            </w:r>
          </w:p>
          <w:p>
            <w:pPr>
              <w:pStyle w:val="2"/>
            </w:pPr>
          </w:p>
          <w:p>
            <w:pPr>
              <w:pStyle w:val="2"/>
            </w:pPr>
            <w:r>
              <w:rPr>
                <w:sz w:val="24"/>
                <w:lang w:val="en-US"/>
              </w:rPr>
              <mc:AlternateContent>
                <mc:Choice Requires="wps">
                  <w:drawing>
                    <wp:anchor distT="0" distB="0" distL="114300" distR="114300" simplePos="0" relativeHeight="251678720" behindDoc="0" locked="0" layoutInCell="1" allowOverlap="1">
                      <wp:simplePos x="0" y="0"/>
                      <wp:positionH relativeFrom="column">
                        <wp:posOffset>2122805</wp:posOffset>
                      </wp:positionH>
                      <wp:positionV relativeFrom="paragraph">
                        <wp:posOffset>12065</wp:posOffset>
                      </wp:positionV>
                      <wp:extent cx="579755" cy="294640"/>
                      <wp:effectExtent l="0" t="1270" r="0" b="0"/>
                      <wp:wrapNone/>
                      <wp:docPr id="5160" name="Rectangle 22"/>
                      <wp:cNvGraphicFramePr/>
                      <a:graphic xmlns:a="http://schemas.openxmlformats.org/drawingml/2006/main">
                        <a:graphicData uri="http://schemas.microsoft.com/office/word/2010/wordprocessingShape">
                          <wps:wsp>
                            <wps:cNvSpPr>
                              <a:spLocks noChangeArrowheads="1"/>
                            </wps:cNvSpPr>
                            <wps:spPr bwMode="auto">
                              <a:xfrm>
                                <a:off x="0" y="0"/>
                                <a:ext cx="579755" cy="294640"/>
                              </a:xfrm>
                              <a:prstGeom prst="rect">
                                <a:avLst/>
                              </a:prstGeom>
                              <a:solidFill>
                                <a:srgbClr val="FFFFFF"/>
                              </a:solidFill>
                              <a:ln>
                                <a:noFill/>
                              </a:ln>
                            </wps:spPr>
                            <wps:txbx>
                              <w:txbxContent>
                                <w:p>
                                  <w:pPr>
                                    <w:jc w:val="center"/>
                                  </w:pPr>
                                  <w:r>
                                    <w:rPr>
                                      <w:rFonts w:hint="eastAsia"/>
                                    </w:rPr>
                                    <w:t>成品</w:t>
                                  </w:r>
                                </w:p>
                              </w:txbxContent>
                            </wps:txbx>
                            <wps:bodyPr rot="0" vert="horz" wrap="square" lIns="91440" tIns="45720" rIns="91440" bIns="45720" anchor="t" anchorCtr="0" upright="1">
                              <a:noAutofit/>
                            </wps:bodyPr>
                          </wps:wsp>
                        </a:graphicData>
                      </a:graphic>
                    </wp:anchor>
                  </w:drawing>
                </mc:Choice>
                <mc:Fallback>
                  <w:pict>
                    <v:rect id="Rectangle 22" o:spid="_x0000_s1026" o:spt="1" style="position:absolute;left:0pt;margin-left:167.15pt;margin-top:0.95pt;height:23.2pt;width:45.65pt;z-index:251678720;mso-width-relative:page;mso-height-relative:page;" fillcolor="#FFFFFF" filled="t" stroked="f" coordsize="21600,21600" o:gfxdata="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SyZG3WAAAACAEAAA8AAAAAAAAAAQAgAAAAIgAAAGRycy9kb3ducmV2&#10;LnhtbFBLAQIUABQAAAAIAIdO4kBfulcD/gEAAOkDAAAOAAAAAAAAAAEAIAAAACUBAABkcnMvZTJv&#10;RG9jLnhtbFBLBQYAAAAABgAGAFkBAACVBQAAAAA=&#10;">
                      <v:fill on="t" focussize="0,0"/>
                      <v:stroke on="f"/>
                      <v:imagedata o:title=""/>
                      <o:lock v:ext="edit" aspectratio="f"/>
                      <v:textbox>
                        <w:txbxContent>
                          <w:p>
                            <w:pPr>
                              <w:jc w:val="center"/>
                            </w:pPr>
                            <w:r>
                              <w:rPr>
                                <w:rFonts w:hint="eastAsia"/>
                              </w:rPr>
                              <w:t>成品</w:t>
                            </w:r>
                          </w:p>
                        </w:txbxContent>
                      </v:textbox>
                    </v:rect>
                  </w:pict>
                </mc:Fallback>
              </mc:AlternateContent>
            </w:r>
          </w:p>
          <w:p>
            <w:pPr>
              <w:pStyle w:val="2"/>
              <w:rPr>
                <w:b/>
                <w:bCs/>
              </w:rPr>
            </w:pPr>
          </w:p>
          <w:p>
            <w:pPr>
              <w:snapToGrid w:val="0"/>
              <w:spacing w:line="360" w:lineRule="auto"/>
              <w:jc w:val="center"/>
              <w:rPr>
                <w:b/>
                <w:sz w:val="24"/>
              </w:rPr>
            </w:pPr>
            <w:r>
              <w:rPr>
                <w:rFonts w:hint="eastAsia"/>
                <w:b/>
                <w:bCs/>
                <w:kern w:val="10"/>
                <w:sz w:val="24"/>
              </w:rPr>
              <w:t>图5-1</w:t>
            </w:r>
            <w:r>
              <w:rPr>
                <w:b/>
                <w:bCs/>
                <w:kern w:val="10"/>
                <w:sz w:val="24"/>
              </w:rPr>
              <w:t xml:space="preserve">  </w:t>
            </w:r>
            <w:r>
              <w:rPr>
                <w:b/>
                <w:bCs/>
                <w:sz w:val="24"/>
              </w:rPr>
              <w:t>本项目</w:t>
            </w:r>
            <w:r>
              <w:rPr>
                <w:b/>
                <w:bCs/>
                <w:kern w:val="10"/>
                <w:sz w:val="24"/>
              </w:rPr>
              <w:t>生产工艺流程图</w:t>
            </w:r>
          </w:p>
          <w:p>
            <w:pPr>
              <w:spacing w:line="360" w:lineRule="auto"/>
              <w:ind w:firstLine="482" w:firstLineChars="200"/>
              <w:rPr>
                <w:sz w:val="24"/>
              </w:rPr>
            </w:pPr>
            <w:r>
              <w:rPr>
                <w:b/>
                <w:bCs/>
                <w:sz w:val="24"/>
              </w:rPr>
              <w:t>工艺流程说明：</w:t>
            </w:r>
          </w:p>
          <w:p>
            <w:pPr>
              <w:spacing w:line="360" w:lineRule="auto"/>
              <w:ind w:firstLine="480" w:firstLineChars="200"/>
              <w:rPr>
                <w:bCs/>
                <w:sz w:val="24"/>
              </w:rPr>
            </w:pPr>
            <w:r>
              <w:rPr>
                <w:rFonts w:hint="eastAsia"/>
                <w:bCs/>
                <w:sz w:val="24"/>
                <w:lang w:val="en-US"/>
              </w:rPr>
              <w:t>打孔</w:t>
            </w:r>
            <w:r>
              <w:rPr>
                <w:rFonts w:hint="eastAsia"/>
                <w:bCs/>
                <w:sz w:val="24"/>
              </w:rPr>
              <w:t>：将外购的陶瓷制品毛坯、陶瓷模具毛坯通过加工中心、铣床进行打孔，其中有一台加工中心（</w:t>
            </w:r>
            <w:r>
              <w:rPr>
                <w:rFonts w:hint="eastAsia"/>
                <w:bCs/>
                <w:sz w:val="24"/>
                <w:lang w:val="en-US"/>
              </w:rPr>
              <w:t>VE6060</w:t>
            </w:r>
            <w:r>
              <w:rPr>
                <w:rFonts w:hint="eastAsia"/>
                <w:bCs/>
                <w:sz w:val="24"/>
              </w:rPr>
              <w:t>）为干式加工，加工过程开放，过程中会产生废气颗粒物</w:t>
            </w:r>
            <w:r>
              <w:rPr>
                <w:rFonts w:hint="eastAsia"/>
                <w:bCs/>
                <w:sz w:val="24"/>
                <w:lang w:val="en-US"/>
              </w:rPr>
              <w:t>G</w:t>
            </w:r>
            <w:r>
              <w:rPr>
                <w:rFonts w:hint="eastAsia"/>
                <w:bCs/>
                <w:sz w:val="24"/>
                <w:vertAlign w:val="subscript"/>
                <w:lang w:val="en-US"/>
              </w:rPr>
              <w:t>1</w:t>
            </w:r>
            <w:r>
              <w:rPr>
                <w:rFonts w:hint="eastAsia"/>
                <w:bCs/>
                <w:sz w:val="24"/>
                <w:lang w:val="en-US"/>
              </w:rPr>
              <w:t>，集气收集后经除尘器处理排放。</w:t>
            </w:r>
            <w:r>
              <w:rPr>
                <w:rFonts w:hint="eastAsia"/>
                <w:bCs/>
                <w:sz w:val="24"/>
              </w:rPr>
              <w:t>其他加工中心及铣床均为湿式加工，打孔过程用水润滑，使用后的水经沉淀循环使用不外排，过程中无废气产生。此外，本工序过程中产生边角料</w:t>
            </w:r>
            <w:r>
              <w:rPr>
                <w:rFonts w:hint="eastAsia"/>
                <w:bCs/>
                <w:sz w:val="24"/>
                <w:lang w:val="en-US"/>
              </w:rPr>
              <w:t>S</w:t>
            </w:r>
            <w:r>
              <w:rPr>
                <w:rFonts w:hint="eastAsia"/>
                <w:bCs/>
                <w:sz w:val="24"/>
                <w:vertAlign w:val="subscript"/>
                <w:lang w:val="en-US"/>
              </w:rPr>
              <w:t>1</w:t>
            </w:r>
            <w:r>
              <w:rPr>
                <w:rFonts w:hint="eastAsia"/>
                <w:bCs/>
                <w:sz w:val="24"/>
                <w:lang w:val="en-US"/>
              </w:rPr>
              <w:t>、打磨废水沉淀的陶瓷泥料S</w:t>
            </w:r>
            <w:r>
              <w:rPr>
                <w:rFonts w:hint="eastAsia"/>
                <w:bCs/>
                <w:sz w:val="24"/>
                <w:vertAlign w:val="subscript"/>
                <w:lang w:val="en-US"/>
              </w:rPr>
              <w:t>2</w:t>
            </w:r>
            <w:r>
              <w:rPr>
                <w:rFonts w:hint="eastAsia"/>
                <w:bCs/>
                <w:sz w:val="24"/>
                <w:lang w:val="en-US"/>
              </w:rPr>
              <w:t>和机械噪声N</w:t>
            </w:r>
            <w:r>
              <w:rPr>
                <w:rFonts w:hint="eastAsia"/>
                <w:bCs/>
                <w:sz w:val="24"/>
                <w:vertAlign w:val="subscript"/>
                <w:lang w:val="en-US"/>
              </w:rPr>
              <w:t>1</w:t>
            </w:r>
            <w:r>
              <w:rPr>
                <w:rFonts w:hint="eastAsia"/>
                <w:bCs/>
                <w:sz w:val="24"/>
              </w:rPr>
              <w:t>。</w:t>
            </w:r>
          </w:p>
          <w:p>
            <w:pPr>
              <w:spacing w:line="360" w:lineRule="auto"/>
              <w:ind w:firstLine="480" w:firstLineChars="200"/>
              <w:rPr>
                <w:rFonts w:hint="eastAsia"/>
                <w:bCs/>
                <w:sz w:val="24"/>
                <w:lang w:val="en-US"/>
              </w:rPr>
            </w:pPr>
            <w:r>
              <w:rPr>
                <w:rFonts w:hint="eastAsia"/>
                <w:bCs/>
                <w:sz w:val="24"/>
              </w:rPr>
              <w:t>水磨：将打孔后的工件放入磨床进行打磨，打磨过程用水进行润滑，使孔内外径及工件外部光滑，无废气产生，使用后的水经沉淀循环使用不外排。打磨过程无需添加打磨剂。本工序过程中废渣陶瓷泥料</w:t>
            </w:r>
            <w:r>
              <w:rPr>
                <w:rFonts w:hint="eastAsia"/>
                <w:bCs/>
                <w:sz w:val="24"/>
                <w:lang w:val="en-US"/>
              </w:rPr>
              <w:t>S</w:t>
            </w:r>
            <w:r>
              <w:rPr>
                <w:rFonts w:hint="eastAsia"/>
                <w:bCs/>
                <w:sz w:val="24"/>
                <w:vertAlign w:val="subscript"/>
                <w:lang w:val="en-US"/>
              </w:rPr>
              <w:t>3</w:t>
            </w:r>
            <w:r>
              <w:rPr>
                <w:rFonts w:hint="eastAsia"/>
                <w:bCs/>
                <w:sz w:val="24"/>
                <w:lang w:val="en-US"/>
              </w:rPr>
              <w:t>和机械噪声N</w:t>
            </w:r>
            <w:r>
              <w:rPr>
                <w:rFonts w:hint="eastAsia"/>
                <w:bCs/>
                <w:sz w:val="24"/>
                <w:vertAlign w:val="subscript"/>
                <w:lang w:val="en-US"/>
              </w:rPr>
              <w:t>2</w:t>
            </w:r>
            <w:r>
              <w:rPr>
                <w:rFonts w:hint="eastAsia"/>
                <w:bCs/>
                <w:sz w:val="24"/>
                <w:lang w:val="en-US"/>
              </w:rPr>
              <w:t>。</w:t>
            </w:r>
          </w:p>
          <w:p>
            <w:pPr>
              <w:spacing w:line="360" w:lineRule="auto"/>
              <w:ind w:firstLine="480" w:firstLineChars="200"/>
              <w:rPr>
                <w:rFonts w:hint="eastAsia" w:ascii="Times New Roman" w:hAnsi="Times New Roman" w:cs="Times New Roman"/>
                <w:bCs/>
                <w:color w:val="auto"/>
                <w:sz w:val="24"/>
                <w:szCs w:val="22"/>
                <w:lang w:val="en-US" w:eastAsia="zh-CN"/>
              </w:rPr>
            </w:pPr>
            <w:r>
              <w:rPr>
                <w:rFonts w:hint="eastAsia" w:ascii="Times New Roman" w:hAnsi="Times New Roman" w:cs="Times New Roman"/>
                <w:bCs/>
                <w:color w:val="auto"/>
                <w:sz w:val="24"/>
                <w:szCs w:val="22"/>
                <w:lang w:val="en-US" w:eastAsia="zh-CN"/>
              </w:rPr>
              <w:t>干燥：将水磨后的工件放入干燥箱进行干燥。</w:t>
            </w:r>
          </w:p>
          <w:p>
            <w:pPr>
              <w:pStyle w:val="2"/>
              <w:ind w:firstLine="480"/>
              <w:rPr>
                <w:bCs/>
                <w:sz w:val="24"/>
                <w:lang w:val="en-US"/>
              </w:rPr>
            </w:pPr>
            <w:r>
              <w:rPr>
                <w:rFonts w:hint="eastAsia"/>
                <w:bCs/>
                <w:sz w:val="24"/>
                <w:lang w:val="en-US"/>
              </w:rPr>
              <w:t>检验：对加工完成的工件进行检验，合格即为成品，本工序过程中产生废次品S</w:t>
            </w:r>
            <w:r>
              <w:rPr>
                <w:rFonts w:hint="eastAsia"/>
                <w:bCs/>
                <w:sz w:val="24"/>
                <w:vertAlign w:val="subscript"/>
                <w:lang w:val="en-US"/>
              </w:rPr>
              <w:t>4</w:t>
            </w:r>
            <w:r>
              <w:rPr>
                <w:rFonts w:hint="eastAsia"/>
                <w:bCs/>
                <w:sz w:val="24"/>
                <w:lang w:val="en-US"/>
              </w:rPr>
              <w:t>。</w:t>
            </w:r>
          </w:p>
          <w:p>
            <w:pPr>
              <w:pStyle w:val="2"/>
              <w:ind w:firstLine="480"/>
              <w:rPr>
                <w:bCs/>
                <w:sz w:val="24"/>
                <w:lang w:val="en-US"/>
              </w:rPr>
            </w:pPr>
            <w:r>
              <w:rPr>
                <w:rFonts w:hint="eastAsia"/>
                <w:bCs/>
                <w:sz w:val="24"/>
                <w:lang w:val="en-US"/>
              </w:rPr>
              <w:t>成品：将成品入库。</w:t>
            </w:r>
          </w:p>
          <w:p>
            <w:pPr>
              <w:autoSpaceDE w:val="0"/>
              <w:autoSpaceDN w:val="0"/>
              <w:adjustRightInd w:val="0"/>
              <w:spacing w:line="360" w:lineRule="auto"/>
              <w:jc w:val="left"/>
              <w:rPr>
                <w:b/>
                <w:kern w:val="0"/>
                <w:sz w:val="24"/>
                <w:szCs w:val="24"/>
              </w:rPr>
            </w:pPr>
            <w:r>
              <w:rPr>
                <w:rFonts w:hint="eastAsia"/>
                <w:lang w:val="en-US"/>
              </w:rPr>
              <w:t xml:space="preserve">    </w:t>
            </w:r>
            <w:r>
              <w:rPr>
                <w:rFonts w:hint="eastAsia" w:hAnsi="宋体"/>
                <w:b/>
                <w:kern w:val="0"/>
                <w:sz w:val="24"/>
                <w:szCs w:val="24"/>
                <w:lang w:val="en-US"/>
              </w:rPr>
              <w:t>2、</w:t>
            </w:r>
            <w:r>
              <w:rPr>
                <w:rFonts w:hAnsi="宋体"/>
                <w:b/>
                <w:kern w:val="0"/>
                <w:sz w:val="24"/>
                <w:szCs w:val="24"/>
                <w:lang w:val="en-US"/>
              </w:rPr>
              <w:t>主要污染工序</w:t>
            </w:r>
            <w:r>
              <w:rPr>
                <w:rFonts w:hAnsi="宋体"/>
                <w:b/>
                <w:kern w:val="0"/>
                <w:sz w:val="24"/>
                <w:szCs w:val="24"/>
              </w:rPr>
              <w:t>：</w:t>
            </w:r>
            <w:r>
              <w:rPr>
                <w:b/>
                <w:kern w:val="0"/>
                <w:sz w:val="24"/>
                <w:szCs w:val="24"/>
              </w:rPr>
              <w:t xml:space="preserve"> </w:t>
            </w:r>
          </w:p>
          <w:p>
            <w:pPr>
              <w:autoSpaceDE w:val="0"/>
              <w:autoSpaceDN w:val="0"/>
              <w:adjustRightInd w:val="0"/>
              <w:spacing w:line="360" w:lineRule="auto"/>
              <w:ind w:firstLine="480" w:firstLineChars="200"/>
              <w:jc w:val="left"/>
              <w:rPr>
                <w:kern w:val="0"/>
                <w:sz w:val="24"/>
                <w:szCs w:val="24"/>
                <w:lang w:val="en-US"/>
              </w:rPr>
            </w:pPr>
            <w:r>
              <w:rPr>
                <w:rFonts w:hint="eastAsia" w:hAnsi="宋体"/>
                <w:kern w:val="0"/>
                <w:sz w:val="24"/>
                <w:szCs w:val="24"/>
                <w:lang w:val="en-US"/>
              </w:rPr>
              <w:t>（1）</w:t>
            </w:r>
            <w:r>
              <w:rPr>
                <w:rFonts w:hAnsi="宋体"/>
                <w:kern w:val="0"/>
                <w:sz w:val="24"/>
                <w:szCs w:val="24"/>
                <w:lang w:val="en-US"/>
              </w:rPr>
              <w:t>废气</w:t>
            </w:r>
            <w:r>
              <w:rPr>
                <w:kern w:val="0"/>
                <w:sz w:val="24"/>
                <w:szCs w:val="24"/>
                <w:lang w:val="en-US"/>
              </w:rPr>
              <w:t xml:space="preserve"> </w:t>
            </w:r>
          </w:p>
          <w:p>
            <w:pPr>
              <w:spacing w:line="360" w:lineRule="auto"/>
              <w:ind w:firstLine="480" w:firstLineChars="200"/>
              <w:rPr>
                <w:color w:val="000000"/>
                <w:sz w:val="24"/>
                <w:lang w:val="en-GB"/>
              </w:rPr>
            </w:pPr>
            <w:r>
              <w:rPr>
                <w:rFonts w:hint="eastAsia"/>
                <w:color w:val="000000"/>
                <w:sz w:val="24"/>
              </w:rPr>
              <w:t>本项目陶瓷制品、陶瓷模具使用的加工中心</w:t>
            </w:r>
            <w:r>
              <w:rPr>
                <w:rFonts w:hint="eastAsia"/>
                <w:color w:val="000000"/>
                <w:sz w:val="24"/>
                <w:lang w:val="en-US"/>
              </w:rPr>
              <w:t>VE6060</w:t>
            </w:r>
            <w:r>
              <w:rPr>
                <w:rFonts w:hint="eastAsia"/>
                <w:color w:val="000000"/>
                <w:sz w:val="24"/>
              </w:rPr>
              <w:t>打孔工序会产生粉尘，</w:t>
            </w:r>
            <w:r>
              <w:rPr>
                <w:rFonts w:hint="eastAsia"/>
                <w:color w:val="000000"/>
                <w:sz w:val="24"/>
                <w:lang w:eastAsia="zh-CN"/>
              </w:rPr>
              <w:t>类别同类企业，</w:t>
            </w:r>
            <w:r>
              <w:rPr>
                <w:rFonts w:hint="eastAsia"/>
                <w:color w:val="000000"/>
                <w:sz w:val="24"/>
              </w:rPr>
              <w:t>粉尘的产生量按原料总量的</w:t>
            </w:r>
            <w:r>
              <w:rPr>
                <w:rFonts w:hint="eastAsia"/>
                <w:color w:val="000000"/>
                <w:sz w:val="24"/>
                <w:lang w:val="en-US"/>
              </w:rPr>
              <w:t>1</w:t>
            </w:r>
            <w:r>
              <w:rPr>
                <w:rFonts w:hint="eastAsia"/>
                <w:color w:val="000000"/>
                <w:sz w:val="24"/>
              </w:rPr>
              <w:t>‰计，本项目原料陶瓷制品、陶瓷模具共</w:t>
            </w:r>
            <w:r>
              <w:rPr>
                <w:rFonts w:hint="eastAsia"/>
                <w:color w:val="000000"/>
                <w:sz w:val="24"/>
                <w:lang w:val="en-US"/>
              </w:rPr>
              <w:t>100万件，约5吨，粉尘产生量为0.005t/a，</w:t>
            </w:r>
            <w:r>
              <w:rPr>
                <w:rFonts w:hint="eastAsia"/>
                <w:color w:val="000000"/>
                <w:sz w:val="24"/>
              </w:rPr>
              <w:t>通过引风系统进行捕集，捕集率为</w:t>
            </w:r>
            <w:r>
              <w:rPr>
                <w:rFonts w:hint="eastAsia"/>
                <w:color w:val="000000"/>
                <w:sz w:val="24"/>
                <w:lang w:val="en-US"/>
              </w:rPr>
              <w:t>90%</w:t>
            </w:r>
            <w:r>
              <w:rPr>
                <w:rFonts w:hint="eastAsia"/>
                <w:color w:val="000000"/>
                <w:sz w:val="24"/>
              </w:rPr>
              <w:t>，无组织排放量为</w:t>
            </w:r>
            <w:r>
              <w:rPr>
                <w:rFonts w:hint="eastAsia"/>
                <w:color w:val="000000"/>
                <w:sz w:val="24"/>
                <w:lang w:val="en-US"/>
              </w:rPr>
              <w:t>0.0</w:t>
            </w:r>
            <w:bookmarkStart w:id="64" w:name="_GoBack"/>
            <w:bookmarkEnd w:id="64"/>
            <w:r>
              <w:rPr>
                <w:rFonts w:hint="eastAsia"/>
                <w:color w:val="000000"/>
                <w:sz w:val="24"/>
                <w:lang w:val="en-US"/>
              </w:rPr>
              <w:t>00</w:t>
            </w:r>
            <w:r>
              <w:rPr>
                <w:rFonts w:hint="eastAsia"/>
                <w:color w:val="000000"/>
                <w:sz w:val="24"/>
                <w:lang w:val="en-US" w:eastAsia="zh-CN"/>
              </w:rPr>
              <w:t>5</w:t>
            </w:r>
            <w:r>
              <w:rPr>
                <w:rFonts w:hint="eastAsia"/>
                <w:color w:val="000000"/>
                <w:sz w:val="24"/>
                <w:lang w:val="en-US"/>
              </w:rPr>
              <w:t>t/a，捕集后的粉尘</w:t>
            </w:r>
            <w:r>
              <w:rPr>
                <w:rFonts w:hint="eastAsia"/>
                <w:color w:val="000000"/>
                <w:sz w:val="24"/>
              </w:rPr>
              <w:t>通过风量为</w:t>
            </w:r>
            <w:r>
              <w:rPr>
                <w:rFonts w:hint="eastAsia"/>
                <w:color w:val="000000"/>
                <w:sz w:val="24"/>
                <w:lang w:val="en-US"/>
              </w:rPr>
              <w:t>2200m</w:t>
            </w:r>
            <w:r>
              <w:rPr>
                <w:rFonts w:hint="eastAsia"/>
                <w:color w:val="000000"/>
                <w:sz w:val="24"/>
                <w:vertAlign w:val="superscript"/>
                <w:lang w:val="en-US"/>
              </w:rPr>
              <w:t>3</w:t>
            </w:r>
            <w:r>
              <w:rPr>
                <w:rFonts w:hint="eastAsia"/>
                <w:color w:val="000000"/>
                <w:sz w:val="24"/>
                <w:lang w:val="en-US"/>
              </w:rPr>
              <w:t>/h的引风机引入</w:t>
            </w:r>
            <w:r>
              <w:rPr>
                <w:rFonts w:hint="eastAsia"/>
                <w:color w:val="000000"/>
                <w:sz w:val="24"/>
              </w:rPr>
              <w:t>布袋除尘装置后在地面无组织排放，布袋除尘</w:t>
            </w:r>
            <w:r>
              <w:rPr>
                <w:rFonts w:hint="eastAsia"/>
                <w:color w:val="000000"/>
                <w:sz w:val="24"/>
                <w:lang w:eastAsia="zh-CN"/>
              </w:rPr>
              <w:t>处理</w:t>
            </w:r>
            <w:r>
              <w:rPr>
                <w:rFonts w:hint="eastAsia"/>
                <w:color w:val="000000"/>
                <w:sz w:val="24"/>
              </w:rPr>
              <w:t>效率为</w:t>
            </w:r>
            <w:r>
              <w:rPr>
                <w:rFonts w:hint="eastAsia"/>
                <w:color w:val="000000"/>
                <w:sz w:val="24"/>
                <w:lang w:val="en-US"/>
              </w:rPr>
              <w:t>9</w:t>
            </w:r>
            <w:r>
              <w:rPr>
                <w:rFonts w:hint="eastAsia"/>
                <w:color w:val="000000"/>
                <w:sz w:val="24"/>
                <w:lang w:val="en-US" w:eastAsia="zh-CN"/>
              </w:rPr>
              <w:t>5</w:t>
            </w:r>
            <w:r>
              <w:rPr>
                <w:rFonts w:hint="eastAsia"/>
                <w:color w:val="000000"/>
                <w:sz w:val="24"/>
                <w:lang w:val="en-US"/>
              </w:rPr>
              <w:t>%，无组织粉尘排放量为</w:t>
            </w:r>
            <w:r>
              <w:rPr>
                <w:rFonts w:hint="eastAsia"/>
                <w:color w:val="000000"/>
                <w:sz w:val="24"/>
                <w:lang w:val="en-US" w:eastAsia="zh-CN"/>
              </w:rPr>
              <w:t>0.000225</w:t>
            </w:r>
            <w:r>
              <w:rPr>
                <w:rFonts w:hint="eastAsia"/>
                <w:color w:val="000000"/>
                <w:sz w:val="24"/>
                <w:lang w:val="en-US"/>
              </w:rPr>
              <w:t>t/a</w:t>
            </w:r>
            <w:r>
              <w:rPr>
                <w:rFonts w:hint="eastAsia"/>
                <w:color w:val="000000"/>
                <w:sz w:val="24"/>
              </w:rPr>
              <w:t>。故无组织粉尘排放共</w:t>
            </w:r>
            <w:r>
              <w:rPr>
                <w:rFonts w:hint="eastAsia"/>
                <w:color w:val="000000"/>
                <w:sz w:val="24"/>
                <w:lang w:val="en-US" w:eastAsia="zh-CN"/>
              </w:rPr>
              <w:t>0.000725</w:t>
            </w:r>
            <w:r>
              <w:rPr>
                <w:rFonts w:hint="eastAsia"/>
                <w:color w:val="000000"/>
                <w:sz w:val="24"/>
                <w:lang w:val="en-US"/>
              </w:rPr>
              <w:t>t/a。</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hAnsi="宋体"/>
                <w:b/>
                <w:kern w:val="0"/>
                <w:sz w:val="24"/>
                <w:szCs w:val="24"/>
              </w:rPr>
            </w:pPr>
            <w:r>
              <w:rPr>
                <w:rFonts w:hint="eastAsia" w:hAnsi="宋体"/>
                <w:b/>
                <w:kern w:val="0"/>
                <w:sz w:val="24"/>
                <w:szCs w:val="24"/>
              </w:rPr>
              <w:t>表5-</w:t>
            </w:r>
            <w:r>
              <w:rPr>
                <w:rFonts w:hint="eastAsia" w:hAnsi="宋体"/>
                <w:b/>
                <w:kern w:val="0"/>
                <w:sz w:val="24"/>
                <w:szCs w:val="24"/>
                <w:lang w:val="en-US" w:eastAsia="zh-CN"/>
              </w:rPr>
              <w:t>1</w:t>
            </w:r>
            <w:r>
              <w:rPr>
                <w:rFonts w:hint="eastAsia" w:hAnsi="宋体"/>
                <w:b/>
                <w:kern w:val="0"/>
                <w:sz w:val="24"/>
                <w:szCs w:val="24"/>
              </w:rPr>
              <w:t xml:space="preserve"> 粉尘无组织废气产生及排放情况</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76"/>
              <w:gridCol w:w="1430"/>
              <w:gridCol w:w="1161"/>
              <w:gridCol w:w="1068"/>
              <w:gridCol w:w="1377"/>
              <w:gridCol w:w="137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pPr>
                    <w:pStyle w:val="127"/>
                    <w:spacing w:line="240" w:lineRule="auto"/>
                    <w:rPr>
                      <w:rFonts w:ascii="Times New Roman" w:hAnsi="Times New Roman" w:cs="Times New Roman"/>
                      <w:b/>
                      <w:kern w:val="0"/>
                      <w:szCs w:val="21"/>
                    </w:rPr>
                  </w:pPr>
                  <w:r>
                    <w:rPr>
                      <w:rFonts w:hint="eastAsia" w:ascii="Times New Roman" w:hAnsi="Times New Roman" w:cs="Times New Roman"/>
                      <w:b/>
                      <w:kern w:val="0"/>
                      <w:szCs w:val="21"/>
                    </w:rPr>
                    <w:t>产生环节</w:t>
                  </w:r>
                </w:p>
              </w:tc>
              <w:tc>
                <w:tcPr>
                  <w:tcW w:w="976" w:type="dxa"/>
                  <w:vAlign w:val="center"/>
                </w:tcPr>
                <w:p>
                  <w:pPr>
                    <w:pStyle w:val="127"/>
                    <w:spacing w:line="240" w:lineRule="auto"/>
                    <w:rPr>
                      <w:rFonts w:ascii="Times New Roman" w:hAnsi="Times New Roman" w:cs="Times New Roman"/>
                      <w:b/>
                      <w:kern w:val="0"/>
                      <w:szCs w:val="21"/>
                    </w:rPr>
                  </w:pPr>
                  <w:r>
                    <w:rPr>
                      <w:rFonts w:hint="eastAsia" w:ascii="Times New Roman" w:hAnsi="Times New Roman" w:cs="Times New Roman"/>
                      <w:b/>
                      <w:kern w:val="0"/>
                      <w:szCs w:val="21"/>
                    </w:rPr>
                    <w:t>污染物名称</w:t>
                  </w:r>
                </w:p>
              </w:tc>
              <w:tc>
                <w:tcPr>
                  <w:tcW w:w="1430" w:type="dxa"/>
                  <w:vAlign w:val="center"/>
                </w:tcPr>
                <w:p>
                  <w:pPr>
                    <w:adjustRightInd w:val="0"/>
                    <w:jc w:val="center"/>
                    <w:rPr>
                      <w:rFonts w:ascii="Times New Roman" w:hAnsi="Times New Roman" w:cs="Times New Roman"/>
                      <w:b/>
                      <w:kern w:val="0"/>
                      <w:szCs w:val="21"/>
                    </w:rPr>
                  </w:pPr>
                  <w:r>
                    <w:rPr>
                      <w:rFonts w:ascii="Times New Roman" w:hAnsi="Times New Roman" w:cs="Times New Roman"/>
                      <w:b/>
                      <w:bCs/>
                      <w:sz w:val="21"/>
                      <w:szCs w:val="21"/>
                    </w:rPr>
                    <w:t>污染物产生量（t/a）</w:t>
                  </w:r>
                </w:p>
              </w:tc>
              <w:tc>
                <w:tcPr>
                  <w:tcW w:w="1161" w:type="dxa"/>
                  <w:vAlign w:val="center"/>
                </w:tcPr>
                <w:p>
                  <w:pPr>
                    <w:adjustRightInd w:val="0"/>
                    <w:jc w:val="center"/>
                    <w:rPr>
                      <w:rFonts w:ascii="Times New Roman" w:hAnsi="Times New Roman" w:cs="Times New Roman"/>
                      <w:b/>
                      <w:kern w:val="0"/>
                      <w:szCs w:val="21"/>
                    </w:rPr>
                  </w:pPr>
                  <w:r>
                    <w:rPr>
                      <w:rFonts w:ascii="Times New Roman" w:hAnsi="Times New Roman" w:cs="Times New Roman"/>
                      <w:b/>
                      <w:bCs/>
                      <w:sz w:val="21"/>
                      <w:szCs w:val="21"/>
                    </w:rPr>
                    <w:t>污染物排放量（t/a）</w:t>
                  </w:r>
                </w:p>
              </w:tc>
              <w:tc>
                <w:tcPr>
                  <w:tcW w:w="1068" w:type="dxa"/>
                  <w:vAlign w:val="center"/>
                </w:tcPr>
                <w:p>
                  <w:pPr>
                    <w:adjustRightInd w:val="0"/>
                    <w:jc w:val="center"/>
                    <w:rPr>
                      <w:rFonts w:ascii="Times New Roman" w:hAnsi="Times New Roman" w:cs="Times New Roman"/>
                      <w:b/>
                      <w:kern w:val="0"/>
                      <w:szCs w:val="21"/>
                    </w:rPr>
                  </w:pPr>
                  <w:r>
                    <w:rPr>
                      <w:rFonts w:ascii="Times New Roman" w:hAnsi="Times New Roman" w:cs="Times New Roman"/>
                      <w:b/>
                      <w:bCs/>
                      <w:sz w:val="21"/>
                      <w:szCs w:val="21"/>
                    </w:rPr>
                    <w:t>排放速率（kg/h）</w:t>
                  </w:r>
                </w:p>
              </w:tc>
              <w:tc>
                <w:tcPr>
                  <w:tcW w:w="1377" w:type="dxa"/>
                  <w:vAlign w:val="center"/>
                </w:tcPr>
                <w:p>
                  <w:pPr>
                    <w:adjustRightInd w:val="0"/>
                    <w:jc w:val="center"/>
                    <w:rPr>
                      <w:rFonts w:ascii="Times New Roman" w:hAnsi="Times New Roman" w:cs="Times New Roman"/>
                      <w:b/>
                      <w:bCs/>
                      <w:sz w:val="21"/>
                      <w:szCs w:val="21"/>
                    </w:rPr>
                  </w:pPr>
                  <w:r>
                    <w:rPr>
                      <w:rFonts w:ascii="Times New Roman" w:hAnsi="Times New Roman" w:cs="Times New Roman"/>
                      <w:b/>
                      <w:bCs/>
                      <w:sz w:val="21"/>
                      <w:szCs w:val="21"/>
                    </w:rPr>
                    <w:t>面源面积（m</w:t>
                  </w:r>
                  <w:r>
                    <w:rPr>
                      <w:rFonts w:ascii="Times New Roman" w:hAnsi="Times New Roman" w:cs="Times New Roman"/>
                      <w:b/>
                      <w:bCs/>
                      <w:sz w:val="21"/>
                      <w:szCs w:val="21"/>
                      <w:vertAlign w:val="superscript"/>
                    </w:rPr>
                    <w:t>2</w:t>
                  </w:r>
                  <w:r>
                    <w:rPr>
                      <w:rFonts w:ascii="Times New Roman" w:hAnsi="Times New Roman" w:cs="Times New Roman"/>
                      <w:b/>
                      <w:bCs/>
                      <w:sz w:val="21"/>
                      <w:szCs w:val="21"/>
                    </w:rPr>
                    <w:t>）</w:t>
                  </w:r>
                </w:p>
              </w:tc>
              <w:tc>
                <w:tcPr>
                  <w:tcW w:w="1378" w:type="dxa"/>
                  <w:vAlign w:val="center"/>
                </w:tcPr>
                <w:p>
                  <w:pPr>
                    <w:adjustRightInd w:val="0"/>
                    <w:jc w:val="center"/>
                    <w:rPr>
                      <w:rFonts w:ascii="Times New Roman" w:hAnsi="Times New Roman" w:cs="Times New Roman"/>
                      <w:b/>
                      <w:bCs/>
                      <w:sz w:val="21"/>
                      <w:szCs w:val="21"/>
                    </w:rPr>
                  </w:pPr>
                  <w:r>
                    <w:rPr>
                      <w:rFonts w:ascii="Times New Roman" w:hAnsi="Times New Roman" w:cs="Times New Roman"/>
                      <w:b/>
                      <w:bCs/>
                      <w:sz w:val="21"/>
                      <w:szCs w:val="21"/>
                    </w:rPr>
                    <w:t>面源高度（m）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3" w:type="dxa"/>
                  <w:vAlign w:val="center"/>
                </w:tcPr>
                <w:p>
                  <w:pPr>
                    <w:pStyle w:val="127"/>
                    <w:spacing w:line="240" w:lineRule="auto"/>
                    <w:rPr>
                      <w:rFonts w:ascii="Times New Roman" w:hAnsi="Times New Roman" w:cs="Times New Roman"/>
                      <w:kern w:val="0"/>
                      <w:szCs w:val="21"/>
                    </w:rPr>
                  </w:pPr>
                  <w:r>
                    <w:rPr>
                      <w:rFonts w:hint="eastAsia" w:ascii="Times New Roman" w:hAnsi="Times New Roman" w:cs="Times New Roman"/>
                      <w:kern w:val="0"/>
                      <w:szCs w:val="21"/>
                      <w:lang w:val="fi-FI"/>
                    </w:rPr>
                    <w:t>打孔</w:t>
                  </w:r>
                </w:p>
              </w:tc>
              <w:tc>
                <w:tcPr>
                  <w:tcW w:w="976" w:type="dxa"/>
                  <w:vAlign w:val="center"/>
                </w:tcPr>
                <w:p>
                  <w:pPr>
                    <w:pStyle w:val="127"/>
                    <w:spacing w:line="240" w:lineRule="auto"/>
                    <w:rPr>
                      <w:rFonts w:ascii="Times New Roman" w:hAnsi="Times New Roman" w:cs="Times New Roman"/>
                      <w:kern w:val="0"/>
                      <w:szCs w:val="21"/>
                    </w:rPr>
                  </w:pPr>
                  <w:r>
                    <w:rPr>
                      <w:rFonts w:hint="eastAsia" w:ascii="Times New Roman" w:hAnsi="Times New Roman" w:cs="Times New Roman"/>
                      <w:kern w:val="0"/>
                      <w:szCs w:val="21"/>
                    </w:rPr>
                    <w:t>粉尘</w:t>
                  </w:r>
                </w:p>
              </w:tc>
              <w:tc>
                <w:tcPr>
                  <w:tcW w:w="1430" w:type="dxa"/>
                  <w:vAlign w:val="center"/>
                </w:tcPr>
                <w:p>
                  <w:pPr>
                    <w:pStyle w:val="127"/>
                    <w:spacing w:line="240" w:lineRule="auto"/>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0.005</w:t>
                  </w:r>
                </w:p>
              </w:tc>
              <w:tc>
                <w:tcPr>
                  <w:tcW w:w="1161" w:type="dxa"/>
                  <w:vAlign w:val="center"/>
                </w:tcPr>
                <w:p>
                  <w:pPr>
                    <w:pStyle w:val="127"/>
                    <w:spacing w:line="240" w:lineRule="auto"/>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0.000725</w:t>
                  </w:r>
                </w:p>
              </w:tc>
              <w:tc>
                <w:tcPr>
                  <w:tcW w:w="1068" w:type="dxa"/>
                  <w:vAlign w:val="center"/>
                </w:tcPr>
                <w:p>
                  <w:pPr>
                    <w:pStyle w:val="127"/>
                    <w:spacing w:line="240" w:lineRule="auto"/>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0.0024</w:t>
                  </w:r>
                </w:p>
              </w:tc>
              <w:tc>
                <w:tcPr>
                  <w:tcW w:w="1377" w:type="dxa"/>
                  <w:vAlign w:val="center"/>
                </w:tcPr>
                <w:p>
                  <w:pPr>
                    <w:pStyle w:val="127"/>
                    <w:spacing w:line="240" w:lineRule="auto"/>
                    <w:rPr>
                      <w:rFonts w:hint="default"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460</w:t>
                  </w:r>
                </w:p>
              </w:tc>
              <w:tc>
                <w:tcPr>
                  <w:tcW w:w="1378" w:type="dxa"/>
                  <w:vAlign w:val="center"/>
                </w:tcPr>
                <w:p>
                  <w:pPr>
                    <w:pStyle w:val="127"/>
                    <w:spacing w:line="240" w:lineRule="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8</w:t>
                  </w:r>
                </w:p>
              </w:tc>
            </w:tr>
          </w:tbl>
          <w:p>
            <w:pPr>
              <w:adjustRightInd w:val="0"/>
              <w:snapToGrid w:val="0"/>
              <w:spacing w:line="360" w:lineRule="auto"/>
              <w:ind w:firstLine="480" w:firstLineChars="200"/>
              <w:rPr>
                <w:color w:val="000000"/>
                <w:sz w:val="24"/>
                <w:szCs w:val="22"/>
                <w:lang w:val="en-US"/>
              </w:rPr>
            </w:pPr>
            <w:r>
              <w:rPr>
                <w:rFonts w:hint="eastAsia"/>
                <w:color w:val="000000"/>
                <w:sz w:val="24"/>
                <w:szCs w:val="22"/>
                <w:lang w:val="en-US"/>
              </w:rPr>
              <w:t xml:space="preserve">（2）废水 </w:t>
            </w:r>
          </w:p>
          <w:p>
            <w:pPr>
              <w:adjustRightInd w:val="0"/>
              <w:snapToGrid w:val="0"/>
              <w:spacing w:line="360" w:lineRule="auto"/>
              <w:ind w:firstLine="480" w:firstLineChars="200"/>
              <w:rPr>
                <w:color w:val="000000"/>
                <w:sz w:val="24"/>
                <w:szCs w:val="22"/>
                <w:lang w:val="en-US"/>
              </w:rPr>
            </w:pPr>
            <w:r>
              <w:rPr>
                <w:rFonts w:hint="eastAsia"/>
                <w:color w:val="000000"/>
                <w:sz w:val="24"/>
                <w:szCs w:val="22"/>
              </w:rPr>
              <w:t>本项目机加工及打磨用水经沉淀后循环使用，不外排，</w:t>
            </w:r>
            <w:r>
              <w:rPr>
                <w:rFonts w:hint="eastAsia"/>
                <w:color w:val="000000"/>
                <w:sz w:val="24"/>
                <w:szCs w:val="22"/>
                <w:lang w:eastAsia="zh-CN"/>
              </w:rPr>
              <w:t>循环水量约</w:t>
            </w:r>
            <w:r>
              <w:rPr>
                <w:rFonts w:hint="eastAsia"/>
                <w:color w:val="000000"/>
                <w:sz w:val="24"/>
                <w:szCs w:val="22"/>
                <w:lang w:val="en-US" w:eastAsia="zh-CN"/>
              </w:rPr>
              <w:t>6.5t，</w:t>
            </w:r>
            <w:r>
              <w:rPr>
                <w:rFonts w:hint="eastAsia"/>
                <w:color w:val="000000"/>
                <w:sz w:val="24"/>
                <w:szCs w:val="22"/>
              </w:rPr>
              <w:t>年</w:t>
            </w:r>
            <w:r>
              <w:rPr>
                <w:rFonts w:hint="eastAsia"/>
                <w:color w:val="000000"/>
                <w:sz w:val="24"/>
                <w:szCs w:val="22"/>
                <w:lang w:eastAsia="zh-CN"/>
              </w:rPr>
              <w:t>补充水量</w:t>
            </w:r>
            <w:r>
              <w:rPr>
                <w:rFonts w:hint="eastAsia"/>
                <w:color w:val="000000"/>
                <w:sz w:val="24"/>
                <w:szCs w:val="22"/>
              </w:rPr>
              <w:t>约</w:t>
            </w:r>
            <w:r>
              <w:rPr>
                <w:rFonts w:hint="eastAsia"/>
                <w:color w:val="000000"/>
                <w:sz w:val="24"/>
                <w:szCs w:val="22"/>
                <w:lang w:val="en-US"/>
              </w:rPr>
              <w:t>150t/a，</w:t>
            </w:r>
            <w:r>
              <w:rPr>
                <w:rFonts w:hint="eastAsia"/>
                <w:color w:val="000000"/>
                <w:sz w:val="24"/>
                <w:szCs w:val="22"/>
              </w:rPr>
              <w:t>无生产废水排放，</w:t>
            </w:r>
            <w:r>
              <w:rPr>
                <w:rFonts w:hint="eastAsia"/>
                <w:color w:val="000000"/>
                <w:sz w:val="24"/>
                <w:szCs w:val="22"/>
                <w:lang w:val="en-US"/>
              </w:rPr>
              <w:t>产生的废水主要为员工生活污水。</w:t>
            </w:r>
          </w:p>
          <w:p>
            <w:pPr>
              <w:adjustRightInd w:val="0"/>
              <w:snapToGrid w:val="0"/>
              <w:spacing w:line="360" w:lineRule="auto"/>
              <w:ind w:firstLine="480" w:firstLineChars="200"/>
              <w:rPr>
                <w:rFonts w:ascii="宋体" w:hAnsi="宋体"/>
                <w:sz w:val="24"/>
              </w:rPr>
            </w:pPr>
            <w:r>
              <w:rPr>
                <w:rFonts w:hint="eastAsia"/>
                <w:color w:val="000000"/>
                <w:sz w:val="24"/>
              </w:rPr>
              <w:t>生活污水：</w:t>
            </w:r>
            <w:r>
              <w:rPr>
                <w:color w:val="000000"/>
                <w:sz w:val="24"/>
              </w:rPr>
              <w:t>本项目劳动定员</w:t>
            </w:r>
            <w:r>
              <w:rPr>
                <w:rFonts w:hint="eastAsia"/>
                <w:color w:val="000000"/>
                <w:sz w:val="24"/>
                <w:lang w:val="en-US"/>
              </w:rPr>
              <w:t>6</w:t>
            </w:r>
            <w:r>
              <w:rPr>
                <w:color w:val="000000"/>
                <w:sz w:val="24"/>
              </w:rPr>
              <w:t>人，年生产约300天，平均用水定额按</w:t>
            </w:r>
            <w:r>
              <w:rPr>
                <w:rFonts w:hint="eastAsia"/>
                <w:color w:val="000000"/>
                <w:sz w:val="24"/>
              </w:rPr>
              <w:t>50</w:t>
            </w:r>
            <w:r>
              <w:rPr>
                <w:color w:val="000000"/>
                <w:sz w:val="24"/>
              </w:rPr>
              <w:t>L/人.d计参照</w:t>
            </w:r>
            <w:r>
              <w:rPr>
                <w:sz w:val="24"/>
              </w:rPr>
              <w:t>《建筑给水排水设计规范（GB50015-2003）》（2009版）</w:t>
            </w:r>
            <w:r>
              <w:rPr>
                <w:color w:val="000000"/>
                <w:sz w:val="24"/>
              </w:rPr>
              <w:t>，年生活用水量为</w:t>
            </w:r>
            <w:r>
              <w:rPr>
                <w:rFonts w:hint="eastAsia"/>
                <w:color w:val="000000"/>
                <w:sz w:val="24"/>
                <w:lang w:val="en-US"/>
              </w:rPr>
              <w:t>90</w:t>
            </w:r>
            <w:r>
              <w:rPr>
                <w:color w:val="000000"/>
                <w:sz w:val="24"/>
              </w:rPr>
              <w:t>t/a，排放系数以0.80计，则每年产生的生活废水量为</w:t>
            </w:r>
            <w:r>
              <w:rPr>
                <w:rFonts w:hint="eastAsia"/>
                <w:color w:val="000000"/>
                <w:sz w:val="24"/>
                <w:lang w:val="en-US"/>
              </w:rPr>
              <w:t>72</w:t>
            </w:r>
            <w:r>
              <w:rPr>
                <w:color w:val="000000"/>
                <w:sz w:val="24"/>
              </w:rPr>
              <w:t>吨，</w:t>
            </w:r>
            <w:r>
              <w:rPr>
                <w:rFonts w:hint="eastAsia" w:ascii="宋体" w:hAnsi="宋体"/>
                <w:sz w:val="24"/>
              </w:rPr>
              <w:t>生活污水</w:t>
            </w:r>
            <w:r>
              <w:rPr>
                <w:rFonts w:hint="eastAsia" w:ascii="宋体" w:hAnsi="宋体"/>
                <w:sz w:val="24"/>
                <w:lang w:val="en-US"/>
              </w:rPr>
              <w:t>经化粪池预处理后</w:t>
            </w:r>
            <w:r>
              <w:rPr>
                <w:rFonts w:hint="eastAsia" w:ascii="宋体" w:hAnsi="宋体"/>
                <w:sz w:val="24"/>
              </w:rPr>
              <w:t>接入宜兴市华骐污水处理厂，达标尾水排入蠡河。</w:t>
            </w:r>
          </w:p>
          <w:p>
            <w:pPr>
              <w:adjustRightInd w:val="0"/>
              <w:snapToGrid w:val="0"/>
              <w:ind w:firstLine="482" w:firstLineChars="200"/>
              <w:jc w:val="center"/>
              <w:rPr>
                <w:b/>
                <w:color w:val="FF0000"/>
              </w:rPr>
            </w:pPr>
            <w:r>
              <w:rPr>
                <w:b/>
                <w:color w:val="000000"/>
                <w:sz w:val="24"/>
              </w:rPr>
              <w:t>表5-</w:t>
            </w:r>
            <w:r>
              <w:rPr>
                <w:rFonts w:hint="eastAsia"/>
                <w:b/>
                <w:color w:val="000000"/>
                <w:sz w:val="24"/>
                <w:lang w:val="en-US" w:eastAsia="zh-CN"/>
              </w:rPr>
              <w:t>2</w:t>
            </w:r>
            <w:r>
              <w:rPr>
                <w:b/>
                <w:color w:val="000000"/>
                <w:sz w:val="24"/>
              </w:rPr>
              <w:t xml:space="preserve">  废水产生源强</w:t>
            </w:r>
          </w:p>
          <w:tbl>
            <w:tblPr>
              <w:tblStyle w:val="75"/>
              <w:tblW w:w="834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004"/>
              <w:gridCol w:w="885"/>
              <w:gridCol w:w="1188"/>
              <w:gridCol w:w="989"/>
              <w:gridCol w:w="1121"/>
              <w:gridCol w:w="1735"/>
              <w:gridCol w:w="142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07" w:hRule="atLeast"/>
                <w:jc w:val="center"/>
              </w:trPr>
              <w:tc>
                <w:tcPr>
                  <w:tcW w:w="1004" w:type="dxa"/>
                  <w:vMerge w:val="restart"/>
                  <w:vAlign w:val="center"/>
                </w:tcPr>
                <w:p>
                  <w:pPr>
                    <w:spacing w:line="300" w:lineRule="exact"/>
                    <w:jc w:val="center"/>
                    <w:rPr>
                      <w:color w:val="000000"/>
                    </w:rPr>
                  </w:pPr>
                  <w:r>
                    <w:rPr>
                      <w:color w:val="000000"/>
                    </w:rPr>
                    <w:t>废水来源</w:t>
                  </w:r>
                </w:p>
              </w:tc>
              <w:tc>
                <w:tcPr>
                  <w:tcW w:w="885" w:type="dxa"/>
                  <w:vMerge w:val="restart"/>
                  <w:tcMar>
                    <w:left w:w="28" w:type="dxa"/>
                    <w:right w:w="28" w:type="dxa"/>
                  </w:tcMar>
                  <w:vAlign w:val="center"/>
                </w:tcPr>
                <w:p>
                  <w:pPr>
                    <w:spacing w:line="300" w:lineRule="exact"/>
                    <w:jc w:val="center"/>
                    <w:rPr>
                      <w:color w:val="000000"/>
                    </w:rPr>
                  </w:pPr>
                  <w:r>
                    <w:rPr>
                      <w:color w:val="000000"/>
                    </w:rPr>
                    <w:t>废水量</w:t>
                  </w:r>
                </w:p>
                <w:p>
                  <w:pPr>
                    <w:spacing w:line="300" w:lineRule="exact"/>
                    <w:jc w:val="center"/>
                    <w:rPr>
                      <w:color w:val="000000"/>
                    </w:rPr>
                  </w:pPr>
                  <w:r>
                    <w:rPr>
                      <w:color w:val="000000"/>
                    </w:rPr>
                    <w:t>m</w:t>
                  </w:r>
                  <w:r>
                    <w:rPr>
                      <w:color w:val="000000"/>
                      <w:vertAlign w:val="superscript"/>
                    </w:rPr>
                    <w:t>3</w:t>
                  </w:r>
                  <w:r>
                    <w:rPr>
                      <w:color w:val="000000"/>
                    </w:rPr>
                    <w:t>/a</w:t>
                  </w:r>
                </w:p>
              </w:tc>
              <w:tc>
                <w:tcPr>
                  <w:tcW w:w="1188" w:type="dxa"/>
                  <w:vMerge w:val="restart"/>
                  <w:tcMar>
                    <w:left w:w="57" w:type="dxa"/>
                    <w:right w:w="57" w:type="dxa"/>
                  </w:tcMar>
                  <w:vAlign w:val="center"/>
                </w:tcPr>
                <w:p>
                  <w:pPr>
                    <w:spacing w:line="300" w:lineRule="exact"/>
                    <w:jc w:val="center"/>
                    <w:rPr>
                      <w:color w:val="000000"/>
                    </w:rPr>
                  </w:pPr>
                  <w:r>
                    <w:rPr>
                      <w:color w:val="000000"/>
                    </w:rPr>
                    <w:t>污染物名称</w:t>
                  </w:r>
                </w:p>
              </w:tc>
              <w:tc>
                <w:tcPr>
                  <w:tcW w:w="2110" w:type="dxa"/>
                  <w:gridSpan w:val="2"/>
                  <w:vAlign w:val="center"/>
                </w:tcPr>
                <w:p>
                  <w:pPr>
                    <w:spacing w:line="300" w:lineRule="exact"/>
                    <w:jc w:val="center"/>
                    <w:rPr>
                      <w:color w:val="000000"/>
                    </w:rPr>
                  </w:pPr>
                  <w:r>
                    <w:rPr>
                      <w:color w:val="000000"/>
                    </w:rPr>
                    <w:t>污染物产生量</w:t>
                  </w:r>
                </w:p>
              </w:tc>
              <w:tc>
                <w:tcPr>
                  <w:tcW w:w="1735" w:type="dxa"/>
                  <w:vMerge w:val="restart"/>
                  <w:tcMar>
                    <w:left w:w="57" w:type="dxa"/>
                    <w:right w:w="57" w:type="dxa"/>
                  </w:tcMar>
                  <w:vAlign w:val="center"/>
                </w:tcPr>
                <w:p>
                  <w:pPr>
                    <w:spacing w:line="300" w:lineRule="exact"/>
                    <w:jc w:val="center"/>
                    <w:rPr>
                      <w:color w:val="000000"/>
                    </w:rPr>
                  </w:pPr>
                  <w:r>
                    <w:rPr>
                      <w:color w:val="000000"/>
                    </w:rPr>
                    <w:t>治理措施</w:t>
                  </w:r>
                </w:p>
              </w:tc>
              <w:tc>
                <w:tcPr>
                  <w:tcW w:w="1421" w:type="dxa"/>
                  <w:vMerge w:val="restart"/>
                  <w:vAlign w:val="center"/>
                </w:tcPr>
                <w:p>
                  <w:pPr>
                    <w:spacing w:line="300" w:lineRule="exact"/>
                    <w:jc w:val="center"/>
                    <w:rPr>
                      <w:color w:val="000000"/>
                    </w:rPr>
                  </w:pPr>
                  <w:r>
                    <w:rPr>
                      <w:color w:val="000000"/>
                    </w:rPr>
                    <w:t>排放去向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0" w:hRule="atLeast"/>
                <w:jc w:val="center"/>
              </w:trPr>
              <w:tc>
                <w:tcPr>
                  <w:tcW w:w="1004" w:type="dxa"/>
                  <w:vMerge w:val="continue"/>
                  <w:vAlign w:val="center"/>
                </w:tcPr>
                <w:p>
                  <w:pPr>
                    <w:spacing w:line="300" w:lineRule="exact"/>
                    <w:jc w:val="center"/>
                    <w:rPr>
                      <w:color w:val="000000"/>
                    </w:rPr>
                  </w:pPr>
                </w:p>
              </w:tc>
              <w:tc>
                <w:tcPr>
                  <w:tcW w:w="885" w:type="dxa"/>
                  <w:vMerge w:val="continue"/>
                  <w:tcMar>
                    <w:left w:w="28" w:type="dxa"/>
                    <w:right w:w="28" w:type="dxa"/>
                  </w:tcMar>
                  <w:vAlign w:val="center"/>
                </w:tcPr>
                <w:p>
                  <w:pPr>
                    <w:spacing w:line="300" w:lineRule="exact"/>
                    <w:jc w:val="center"/>
                    <w:rPr>
                      <w:color w:val="000000"/>
                    </w:rPr>
                  </w:pPr>
                </w:p>
              </w:tc>
              <w:tc>
                <w:tcPr>
                  <w:tcW w:w="1188" w:type="dxa"/>
                  <w:vMerge w:val="continue"/>
                  <w:tcMar>
                    <w:left w:w="57" w:type="dxa"/>
                    <w:right w:w="57" w:type="dxa"/>
                  </w:tcMar>
                  <w:vAlign w:val="center"/>
                </w:tcPr>
                <w:p>
                  <w:pPr>
                    <w:spacing w:line="300" w:lineRule="exact"/>
                    <w:jc w:val="center"/>
                    <w:rPr>
                      <w:color w:val="000000"/>
                    </w:rPr>
                  </w:pPr>
                </w:p>
              </w:tc>
              <w:tc>
                <w:tcPr>
                  <w:tcW w:w="989" w:type="dxa"/>
                  <w:vAlign w:val="center"/>
                </w:tcPr>
                <w:p>
                  <w:pPr>
                    <w:spacing w:line="300" w:lineRule="exact"/>
                    <w:jc w:val="center"/>
                    <w:rPr>
                      <w:color w:val="000000"/>
                    </w:rPr>
                  </w:pPr>
                  <w:r>
                    <w:rPr>
                      <w:color w:val="000000"/>
                    </w:rPr>
                    <w:t>浓度</w:t>
                  </w:r>
                </w:p>
                <w:p>
                  <w:pPr>
                    <w:spacing w:line="300" w:lineRule="exact"/>
                    <w:jc w:val="center"/>
                    <w:rPr>
                      <w:color w:val="000000"/>
                    </w:rPr>
                  </w:pPr>
                  <w:r>
                    <w:rPr>
                      <w:color w:val="000000"/>
                    </w:rPr>
                    <w:t>mg/L</w:t>
                  </w:r>
                </w:p>
              </w:tc>
              <w:tc>
                <w:tcPr>
                  <w:tcW w:w="1121" w:type="dxa"/>
                  <w:vAlign w:val="center"/>
                </w:tcPr>
                <w:p>
                  <w:pPr>
                    <w:spacing w:line="300" w:lineRule="exact"/>
                    <w:jc w:val="center"/>
                    <w:rPr>
                      <w:color w:val="000000"/>
                    </w:rPr>
                  </w:pPr>
                  <w:r>
                    <w:rPr>
                      <w:color w:val="000000"/>
                    </w:rPr>
                    <w:t>产生量t/a</w:t>
                  </w:r>
                </w:p>
              </w:tc>
              <w:tc>
                <w:tcPr>
                  <w:tcW w:w="1735" w:type="dxa"/>
                  <w:vMerge w:val="continue"/>
                  <w:vAlign w:val="center"/>
                </w:tcPr>
                <w:p>
                  <w:pPr>
                    <w:spacing w:line="300" w:lineRule="exact"/>
                    <w:jc w:val="center"/>
                    <w:rPr>
                      <w:color w:val="000000"/>
                    </w:rPr>
                  </w:pPr>
                </w:p>
              </w:tc>
              <w:tc>
                <w:tcPr>
                  <w:tcW w:w="1421" w:type="dxa"/>
                  <w:vMerge w:val="continue"/>
                  <w:vAlign w:val="center"/>
                </w:tcPr>
                <w:p>
                  <w:pPr>
                    <w:spacing w:line="300" w:lineRule="exact"/>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1004" w:type="dxa"/>
                  <w:vMerge w:val="restart"/>
                  <w:vAlign w:val="center"/>
                </w:tcPr>
                <w:p>
                  <w:pPr>
                    <w:spacing w:line="300" w:lineRule="exact"/>
                    <w:jc w:val="center"/>
                    <w:rPr>
                      <w:color w:val="000000"/>
                    </w:rPr>
                  </w:pPr>
                  <w:r>
                    <w:rPr>
                      <w:color w:val="000000"/>
                    </w:rPr>
                    <w:t>生活污水</w:t>
                  </w:r>
                </w:p>
              </w:tc>
              <w:tc>
                <w:tcPr>
                  <w:tcW w:w="885" w:type="dxa"/>
                  <w:vMerge w:val="restart"/>
                  <w:tcMar>
                    <w:left w:w="28" w:type="dxa"/>
                    <w:right w:w="28" w:type="dxa"/>
                  </w:tcMar>
                  <w:vAlign w:val="center"/>
                </w:tcPr>
                <w:p>
                  <w:pPr>
                    <w:spacing w:line="300" w:lineRule="exact"/>
                    <w:jc w:val="center"/>
                    <w:rPr>
                      <w:color w:val="000000"/>
                      <w:lang w:val="en-US"/>
                    </w:rPr>
                  </w:pPr>
                  <w:r>
                    <w:rPr>
                      <w:rFonts w:hint="eastAsia"/>
                      <w:color w:val="000000"/>
                      <w:lang w:val="en-US"/>
                    </w:rPr>
                    <w:t>72</w:t>
                  </w:r>
                </w:p>
              </w:tc>
              <w:tc>
                <w:tcPr>
                  <w:tcW w:w="1188" w:type="dxa"/>
                  <w:tcMar>
                    <w:left w:w="57" w:type="dxa"/>
                    <w:right w:w="57" w:type="dxa"/>
                  </w:tcMar>
                  <w:vAlign w:val="center"/>
                </w:tcPr>
                <w:p>
                  <w:pPr>
                    <w:spacing w:line="300" w:lineRule="exact"/>
                    <w:jc w:val="center"/>
                    <w:rPr>
                      <w:color w:val="000000"/>
                    </w:rPr>
                  </w:pPr>
                  <w:r>
                    <w:rPr>
                      <w:color w:val="000000"/>
                    </w:rPr>
                    <w:t>COD</w:t>
                  </w:r>
                </w:p>
              </w:tc>
              <w:tc>
                <w:tcPr>
                  <w:tcW w:w="989" w:type="dxa"/>
                  <w:vAlign w:val="center"/>
                </w:tcPr>
                <w:p>
                  <w:pPr>
                    <w:spacing w:line="300" w:lineRule="exact"/>
                    <w:jc w:val="center"/>
                    <w:rPr>
                      <w:color w:val="000000"/>
                    </w:rPr>
                  </w:pPr>
                  <w:r>
                    <w:rPr>
                      <w:rFonts w:hint="eastAsia"/>
                      <w:color w:val="000000"/>
                    </w:rPr>
                    <w:t>35</w:t>
                  </w:r>
                  <w:r>
                    <w:rPr>
                      <w:color w:val="000000"/>
                    </w:rPr>
                    <w:t>0</w:t>
                  </w:r>
                </w:p>
              </w:tc>
              <w:tc>
                <w:tcPr>
                  <w:tcW w:w="1121" w:type="dxa"/>
                  <w:vAlign w:val="center"/>
                </w:tcPr>
                <w:p>
                  <w:pPr>
                    <w:spacing w:line="300" w:lineRule="exact"/>
                    <w:jc w:val="center"/>
                    <w:rPr>
                      <w:color w:val="000000"/>
                      <w:lang w:val="en-US"/>
                    </w:rPr>
                  </w:pPr>
                  <w:r>
                    <w:rPr>
                      <w:rFonts w:hint="eastAsia"/>
                      <w:color w:val="000000"/>
                      <w:lang w:val="en-US"/>
                    </w:rPr>
                    <w:t>0.025</w:t>
                  </w:r>
                </w:p>
              </w:tc>
              <w:tc>
                <w:tcPr>
                  <w:tcW w:w="1735" w:type="dxa"/>
                  <w:vMerge w:val="restart"/>
                  <w:vAlign w:val="center"/>
                </w:tcPr>
                <w:p>
                  <w:pPr>
                    <w:spacing w:line="300" w:lineRule="exact"/>
                    <w:jc w:val="center"/>
                    <w:rPr>
                      <w:color w:val="000000"/>
                      <w:szCs w:val="21"/>
                    </w:rPr>
                  </w:pPr>
                  <w:r>
                    <w:rPr>
                      <w:rFonts w:hint="eastAsia" w:ascii="宋体" w:hAnsi="宋体"/>
                      <w:szCs w:val="21"/>
                      <w:lang w:val="en-US"/>
                    </w:rPr>
                    <w:t>经化粪池预处理后排入</w:t>
                  </w:r>
                  <w:r>
                    <w:rPr>
                      <w:rFonts w:hint="eastAsia" w:ascii="宋体" w:hAnsi="宋体"/>
                      <w:szCs w:val="21"/>
                    </w:rPr>
                    <w:t>接入宜兴市华骐污水处理厂</w:t>
                  </w:r>
                </w:p>
              </w:tc>
              <w:tc>
                <w:tcPr>
                  <w:tcW w:w="1421" w:type="dxa"/>
                  <w:vMerge w:val="restart"/>
                  <w:vAlign w:val="center"/>
                </w:tcPr>
                <w:p>
                  <w:pPr>
                    <w:spacing w:line="300" w:lineRule="exact"/>
                    <w:jc w:val="center"/>
                    <w:rPr>
                      <w:color w:val="000000"/>
                    </w:rPr>
                  </w:pPr>
                  <w:r>
                    <w:rPr>
                      <w:rFonts w:hint="eastAsia"/>
                      <w:color w:val="000000"/>
                      <w:szCs w:val="21"/>
                    </w:rPr>
                    <w:t>达标尾水排入蠡河</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1004" w:type="dxa"/>
                  <w:vMerge w:val="continue"/>
                  <w:vAlign w:val="center"/>
                </w:tcPr>
                <w:p>
                  <w:pPr>
                    <w:spacing w:line="300" w:lineRule="exact"/>
                    <w:jc w:val="center"/>
                    <w:rPr>
                      <w:color w:val="FF0000"/>
                    </w:rPr>
                  </w:pPr>
                </w:p>
              </w:tc>
              <w:tc>
                <w:tcPr>
                  <w:tcW w:w="885" w:type="dxa"/>
                  <w:vMerge w:val="continue"/>
                  <w:tcMar>
                    <w:left w:w="28" w:type="dxa"/>
                    <w:right w:w="28" w:type="dxa"/>
                  </w:tcMar>
                  <w:vAlign w:val="center"/>
                </w:tcPr>
                <w:p>
                  <w:pPr>
                    <w:spacing w:line="300" w:lineRule="exact"/>
                    <w:jc w:val="center"/>
                    <w:rPr>
                      <w:color w:val="FF0000"/>
                    </w:rPr>
                  </w:pPr>
                </w:p>
              </w:tc>
              <w:tc>
                <w:tcPr>
                  <w:tcW w:w="1188" w:type="dxa"/>
                  <w:tcMar>
                    <w:left w:w="57" w:type="dxa"/>
                    <w:right w:w="57" w:type="dxa"/>
                  </w:tcMar>
                  <w:vAlign w:val="center"/>
                </w:tcPr>
                <w:p>
                  <w:pPr>
                    <w:spacing w:line="300" w:lineRule="exact"/>
                    <w:jc w:val="center"/>
                    <w:rPr>
                      <w:color w:val="000000"/>
                    </w:rPr>
                  </w:pPr>
                  <w:r>
                    <w:rPr>
                      <w:color w:val="000000"/>
                    </w:rPr>
                    <w:t>SS</w:t>
                  </w:r>
                </w:p>
              </w:tc>
              <w:tc>
                <w:tcPr>
                  <w:tcW w:w="989" w:type="dxa"/>
                  <w:vAlign w:val="center"/>
                </w:tcPr>
                <w:p>
                  <w:pPr>
                    <w:spacing w:line="300" w:lineRule="exact"/>
                    <w:jc w:val="center"/>
                    <w:rPr>
                      <w:color w:val="000000"/>
                    </w:rPr>
                  </w:pPr>
                  <w:r>
                    <w:rPr>
                      <w:rFonts w:hint="eastAsia"/>
                      <w:color w:val="000000"/>
                    </w:rPr>
                    <w:t>2</w:t>
                  </w:r>
                  <w:r>
                    <w:rPr>
                      <w:color w:val="000000"/>
                    </w:rPr>
                    <w:t>00</w:t>
                  </w:r>
                </w:p>
              </w:tc>
              <w:tc>
                <w:tcPr>
                  <w:tcW w:w="1121" w:type="dxa"/>
                  <w:vAlign w:val="center"/>
                </w:tcPr>
                <w:p>
                  <w:pPr>
                    <w:spacing w:line="300" w:lineRule="exact"/>
                    <w:jc w:val="center"/>
                    <w:rPr>
                      <w:color w:val="000000"/>
                      <w:lang w:val="en-US"/>
                    </w:rPr>
                  </w:pPr>
                  <w:r>
                    <w:rPr>
                      <w:rFonts w:hint="eastAsia"/>
                      <w:color w:val="000000"/>
                      <w:lang w:val="en-US"/>
                    </w:rPr>
                    <w:t>0.014</w:t>
                  </w:r>
                </w:p>
              </w:tc>
              <w:tc>
                <w:tcPr>
                  <w:tcW w:w="1735" w:type="dxa"/>
                  <w:vMerge w:val="continue"/>
                  <w:vAlign w:val="center"/>
                </w:tcPr>
                <w:p>
                  <w:pPr>
                    <w:spacing w:line="300" w:lineRule="exact"/>
                    <w:jc w:val="center"/>
                    <w:rPr>
                      <w:color w:val="000000"/>
                    </w:rPr>
                  </w:pPr>
                </w:p>
              </w:tc>
              <w:tc>
                <w:tcPr>
                  <w:tcW w:w="1421" w:type="dxa"/>
                  <w:vMerge w:val="continue"/>
                  <w:vAlign w:val="center"/>
                </w:tcPr>
                <w:p>
                  <w:pPr>
                    <w:spacing w:line="300" w:lineRule="exact"/>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6" w:hRule="atLeast"/>
                <w:jc w:val="center"/>
              </w:trPr>
              <w:tc>
                <w:tcPr>
                  <w:tcW w:w="1004" w:type="dxa"/>
                  <w:vMerge w:val="continue"/>
                  <w:vAlign w:val="center"/>
                </w:tcPr>
                <w:p>
                  <w:pPr>
                    <w:spacing w:line="300" w:lineRule="exact"/>
                    <w:jc w:val="center"/>
                    <w:rPr>
                      <w:color w:val="FF0000"/>
                    </w:rPr>
                  </w:pPr>
                </w:p>
              </w:tc>
              <w:tc>
                <w:tcPr>
                  <w:tcW w:w="885" w:type="dxa"/>
                  <w:vMerge w:val="continue"/>
                  <w:tcMar>
                    <w:left w:w="28" w:type="dxa"/>
                    <w:right w:w="28" w:type="dxa"/>
                  </w:tcMar>
                  <w:vAlign w:val="center"/>
                </w:tcPr>
                <w:p>
                  <w:pPr>
                    <w:spacing w:line="300" w:lineRule="exact"/>
                    <w:jc w:val="center"/>
                    <w:rPr>
                      <w:color w:val="FF0000"/>
                    </w:rPr>
                  </w:pPr>
                </w:p>
              </w:tc>
              <w:tc>
                <w:tcPr>
                  <w:tcW w:w="1188" w:type="dxa"/>
                  <w:tcMar>
                    <w:left w:w="57" w:type="dxa"/>
                    <w:right w:w="57" w:type="dxa"/>
                  </w:tcMar>
                  <w:vAlign w:val="center"/>
                </w:tcPr>
                <w:p>
                  <w:pPr>
                    <w:spacing w:line="300" w:lineRule="exact"/>
                    <w:jc w:val="center"/>
                    <w:rPr>
                      <w:color w:val="000000"/>
                    </w:rPr>
                  </w:pPr>
                  <w:r>
                    <w:rPr>
                      <w:color w:val="000000"/>
                    </w:rPr>
                    <w:t>NH</w:t>
                  </w:r>
                  <w:r>
                    <w:rPr>
                      <w:color w:val="000000"/>
                      <w:vertAlign w:val="subscript"/>
                    </w:rPr>
                    <w:t>3</w:t>
                  </w:r>
                  <w:r>
                    <w:rPr>
                      <w:color w:val="000000"/>
                    </w:rPr>
                    <w:t>-N</w:t>
                  </w:r>
                </w:p>
              </w:tc>
              <w:tc>
                <w:tcPr>
                  <w:tcW w:w="989" w:type="dxa"/>
                  <w:vAlign w:val="center"/>
                </w:tcPr>
                <w:p>
                  <w:pPr>
                    <w:spacing w:line="300" w:lineRule="exact"/>
                    <w:jc w:val="center"/>
                    <w:rPr>
                      <w:color w:val="000000"/>
                    </w:rPr>
                  </w:pPr>
                  <w:r>
                    <w:rPr>
                      <w:rFonts w:hint="eastAsia"/>
                      <w:color w:val="000000"/>
                    </w:rPr>
                    <w:t>35</w:t>
                  </w:r>
                </w:p>
              </w:tc>
              <w:tc>
                <w:tcPr>
                  <w:tcW w:w="1121" w:type="dxa"/>
                  <w:vAlign w:val="center"/>
                </w:tcPr>
                <w:p>
                  <w:pPr>
                    <w:spacing w:line="300" w:lineRule="exact"/>
                    <w:jc w:val="center"/>
                    <w:rPr>
                      <w:color w:val="000000"/>
                      <w:lang w:val="en-US"/>
                    </w:rPr>
                  </w:pPr>
                  <w:r>
                    <w:rPr>
                      <w:rFonts w:hint="eastAsia"/>
                      <w:color w:val="000000"/>
                      <w:lang w:val="en-US"/>
                    </w:rPr>
                    <w:t>0.0025</w:t>
                  </w:r>
                </w:p>
              </w:tc>
              <w:tc>
                <w:tcPr>
                  <w:tcW w:w="1735" w:type="dxa"/>
                  <w:vMerge w:val="continue"/>
                  <w:vAlign w:val="center"/>
                </w:tcPr>
                <w:p>
                  <w:pPr>
                    <w:spacing w:line="300" w:lineRule="exact"/>
                    <w:jc w:val="center"/>
                    <w:rPr>
                      <w:color w:val="000000"/>
                    </w:rPr>
                  </w:pPr>
                </w:p>
              </w:tc>
              <w:tc>
                <w:tcPr>
                  <w:tcW w:w="1421" w:type="dxa"/>
                  <w:vMerge w:val="continue"/>
                  <w:vAlign w:val="center"/>
                </w:tcPr>
                <w:p>
                  <w:pPr>
                    <w:spacing w:line="300" w:lineRule="exact"/>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30" w:hRule="atLeast"/>
                <w:jc w:val="center"/>
              </w:trPr>
              <w:tc>
                <w:tcPr>
                  <w:tcW w:w="1004" w:type="dxa"/>
                  <w:vMerge w:val="continue"/>
                  <w:vAlign w:val="center"/>
                </w:tcPr>
                <w:p>
                  <w:pPr>
                    <w:spacing w:line="300" w:lineRule="exact"/>
                    <w:jc w:val="center"/>
                    <w:rPr>
                      <w:color w:val="FF0000"/>
                    </w:rPr>
                  </w:pPr>
                </w:p>
              </w:tc>
              <w:tc>
                <w:tcPr>
                  <w:tcW w:w="885" w:type="dxa"/>
                  <w:vMerge w:val="continue"/>
                  <w:tcMar>
                    <w:left w:w="28" w:type="dxa"/>
                    <w:right w:w="28" w:type="dxa"/>
                  </w:tcMar>
                  <w:vAlign w:val="center"/>
                </w:tcPr>
                <w:p>
                  <w:pPr>
                    <w:spacing w:line="300" w:lineRule="exact"/>
                    <w:jc w:val="center"/>
                    <w:rPr>
                      <w:color w:val="FF0000"/>
                    </w:rPr>
                  </w:pPr>
                </w:p>
              </w:tc>
              <w:tc>
                <w:tcPr>
                  <w:tcW w:w="1188" w:type="dxa"/>
                  <w:tcMar>
                    <w:left w:w="57" w:type="dxa"/>
                    <w:right w:w="57" w:type="dxa"/>
                  </w:tcMar>
                  <w:vAlign w:val="center"/>
                </w:tcPr>
                <w:p>
                  <w:pPr>
                    <w:spacing w:line="300" w:lineRule="exact"/>
                    <w:jc w:val="center"/>
                    <w:rPr>
                      <w:color w:val="000000"/>
                    </w:rPr>
                  </w:pPr>
                  <w:r>
                    <w:rPr>
                      <w:color w:val="000000"/>
                    </w:rPr>
                    <w:t>TP</w:t>
                  </w:r>
                </w:p>
              </w:tc>
              <w:tc>
                <w:tcPr>
                  <w:tcW w:w="989" w:type="dxa"/>
                  <w:vAlign w:val="center"/>
                </w:tcPr>
                <w:p>
                  <w:pPr>
                    <w:spacing w:line="300" w:lineRule="exact"/>
                    <w:jc w:val="center"/>
                    <w:rPr>
                      <w:color w:val="000000"/>
                    </w:rPr>
                  </w:pPr>
                  <w:r>
                    <w:rPr>
                      <w:rFonts w:hint="eastAsia"/>
                      <w:color w:val="000000"/>
                    </w:rPr>
                    <w:t>5</w:t>
                  </w:r>
                </w:p>
              </w:tc>
              <w:tc>
                <w:tcPr>
                  <w:tcW w:w="1121" w:type="dxa"/>
                  <w:vAlign w:val="center"/>
                </w:tcPr>
                <w:p>
                  <w:pPr>
                    <w:spacing w:line="300" w:lineRule="exact"/>
                    <w:jc w:val="center"/>
                    <w:rPr>
                      <w:color w:val="000000"/>
                      <w:lang w:val="en-US"/>
                    </w:rPr>
                  </w:pPr>
                  <w:r>
                    <w:rPr>
                      <w:rFonts w:hint="eastAsia"/>
                      <w:color w:val="000000"/>
                    </w:rPr>
                    <w:t>0.0</w:t>
                  </w:r>
                  <w:r>
                    <w:rPr>
                      <w:rFonts w:hint="eastAsia"/>
                      <w:color w:val="000000"/>
                      <w:lang w:val="en-US"/>
                    </w:rPr>
                    <w:t>0036</w:t>
                  </w:r>
                </w:p>
              </w:tc>
              <w:tc>
                <w:tcPr>
                  <w:tcW w:w="1735" w:type="dxa"/>
                  <w:vMerge w:val="continue"/>
                  <w:vAlign w:val="center"/>
                </w:tcPr>
                <w:p>
                  <w:pPr>
                    <w:spacing w:line="300" w:lineRule="exact"/>
                    <w:jc w:val="center"/>
                    <w:rPr>
                      <w:color w:val="000000"/>
                    </w:rPr>
                  </w:pPr>
                </w:p>
              </w:tc>
              <w:tc>
                <w:tcPr>
                  <w:tcW w:w="1421" w:type="dxa"/>
                  <w:vMerge w:val="continue"/>
                  <w:vAlign w:val="center"/>
                </w:tcPr>
                <w:p>
                  <w:pPr>
                    <w:spacing w:line="300" w:lineRule="exact"/>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75" w:hRule="atLeast"/>
                <w:jc w:val="center"/>
              </w:trPr>
              <w:tc>
                <w:tcPr>
                  <w:tcW w:w="1004" w:type="dxa"/>
                  <w:vMerge w:val="continue"/>
                  <w:vAlign w:val="center"/>
                </w:tcPr>
                <w:p>
                  <w:pPr>
                    <w:spacing w:line="300" w:lineRule="exact"/>
                    <w:jc w:val="center"/>
                    <w:rPr>
                      <w:color w:val="FF0000"/>
                    </w:rPr>
                  </w:pPr>
                </w:p>
              </w:tc>
              <w:tc>
                <w:tcPr>
                  <w:tcW w:w="885" w:type="dxa"/>
                  <w:vMerge w:val="continue"/>
                  <w:tcMar>
                    <w:left w:w="28" w:type="dxa"/>
                    <w:right w:w="28" w:type="dxa"/>
                  </w:tcMar>
                  <w:vAlign w:val="center"/>
                </w:tcPr>
                <w:p>
                  <w:pPr>
                    <w:spacing w:line="300" w:lineRule="exact"/>
                    <w:jc w:val="center"/>
                    <w:rPr>
                      <w:color w:val="FF0000"/>
                    </w:rPr>
                  </w:pPr>
                </w:p>
              </w:tc>
              <w:tc>
                <w:tcPr>
                  <w:tcW w:w="1188" w:type="dxa"/>
                  <w:tcMar>
                    <w:left w:w="57" w:type="dxa"/>
                    <w:right w:w="57" w:type="dxa"/>
                  </w:tcMar>
                  <w:vAlign w:val="center"/>
                </w:tcPr>
                <w:p>
                  <w:pPr>
                    <w:spacing w:line="300" w:lineRule="exact"/>
                    <w:jc w:val="center"/>
                    <w:rPr>
                      <w:color w:val="000000"/>
                    </w:rPr>
                  </w:pPr>
                  <w:r>
                    <w:rPr>
                      <w:rFonts w:hint="eastAsia"/>
                      <w:kern w:val="0"/>
                      <w:szCs w:val="21"/>
                    </w:rPr>
                    <w:t>TN</w:t>
                  </w:r>
                </w:p>
              </w:tc>
              <w:tc>
                <w:tcPr>
                  <w:tcW w:w="989" w:type="dxa"/>
                  <w:vAlign w:val="center"/>
                </w:tcPr>
                <w:p>
                  <w:pPr>
                    <w:jc w:val="center"/>
                  </w:pPr>
                  <w:r>
                    <w:rPr>
                      <w:rFonts w:hint="eastAsia"/>
                    </w:rPr>
                    <w:t>45</w:t>
                  </w:r>
                </w:p>
              </w:tc>
              <w:tc>
                <w:tcPr>
                  <w:tcW w:w="1121" w:type="dxa"/>
                  <w:vAlign w:val="center"/>
                </w:tcPr>
                <w:p>
                  <w:pPr>
                    <w:spacing w:line="300" w:lineRule="exact"/>
                    <w:jc w:val="center"/>
                    <w:rPr>
                      <w:color w:val="000000"/>
                      <w:lang w:val="en-US"/>
                    </w:rPr>
                  </w:pPr>
                  <w:r>
                    <w:rPr>
                      <w:rFonts w:hint="eastAsia"/>
                      <w:color w:val="000000"/>
                    </w:rPr>
                    <w:t>0.0</w:t>
                  </w:r>
                  <w:r>
                    <w:rPr>
                      <w:rFonts w:hint="eastAsia"/>
                      <w:color w:val="000000"/>
                      <w:lang w:val="en-US"/>
                    </w:rPr>
                    <w:t>032</w:t>
                  </w:r>
                </w:p>
              </w:tc>
              <w:tc>
                <w:tcPr>
                  <w:tcW w:w="1735" w:type="dxa"/>
                  <w:vMerge w:val="continue"/>
                  <w:vAlign w:val="center"/>
                </w:tcPr>
                <w:p>
                  <w:pPr>
                    <w:spacing w:line="300" w:lineRule="exact"/>
                    <w:jc w:val="center"/>
                    <w:rPr>
                      <w:color w:val="000000"/>
                    </w:rPr>
                  </w:pPr>
                </w:p>
              </w:tc>
              <w:tc>
                <w:tcPr>
                  <w:tcW w:w="1421" w:type="dxa"/>
                  <w:vMerge w:val="continue"/>
                  <w:vAlign w:val="center"/>
                </w:tcPr>
                <w:p>
                  <w:pPr>
                    <w:spacing w:line="300" w:lineRule="exact"/>
                    <w:jc w:val="center"/>
                    <w:rPr>
                      <w:color w:val="000000"/>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2" w:hRule="atLeast"/>
                <w:jc w:val="center"/>
              </w:trPr>
              <w:tc>
                <w:tcPr>
                  <w:tcW w:w="1004" w:type="dxa"/>
                  <w:vAlign w:val="center"/>
                </w:tcPr>
                <w:p>
                  <w:pPr>
                    <w:spacing w:line="300" w:lineRule="exact"/>
                    <w:jc w:val="center"/>
                    <w:rPr>
                      <w:color w:val="000000"/>
                    </w:rPr>
                  </w:pPr>
                  <w:r>
                    <w:rPr>
                      <w:rFonts w:hint="eastAsia"/>
                      <w:color w:val="000000"/>
                      <w:szCs w:val="21"/>
                    </w:rPr>
                    <w:t>水磨</w:t>
                  </w:r>
                  <w:r>
                    <w:rPr>
                      <w:color w:val="000000"/>
                      <w:szCs w:val="21"/>
                    </w:rPr>
                    <w:t>补充水</w:t>
                  </w:r>
                </w:p>
              </w:tc>
              <w:tc>
                <w:tcPr>
                  <w:tcW w:w="885" w:type="dxa"/>
                  <w:tcMar>
                    <w:left w:w="28" w:type="dxa"/>
                    <w:right w:w="28" w:type="dxa"/>
                  </w:tcMar>
                  <w:vAlign w:val="center"/>
                </w:tcPr>
                <w:p>
                  <w:pPr>
                    <w:spacing w:line="300" w:lineRule="exact"/>
                    <w:jc w:val="center"/>
                    <w:rPr>
                      <w:color w:val="000000"/>
                      <w:lang w:val="en-US"/>
                    </w:rPr>
                  </w:pPr>
                  <w:r>
                    <w:rPr>
                      <w:rFonts w:hint="eastAsia"/>
                      <w:color w:val="auto"/>
                      <w:lang w:val="en-US" w:eastAsia="zh-CN"/>
                    </w:rPr>
                    <w:t>150</w:t>
                  </w:r>
                </w:p>
              </w:tc>
              <w:tc>
                <w:tcPr>
                  <w:tcW w:w="1188" w:type="dxa"/>
                  <w:tcMar>
                    <w:left w:w="57" w:type="dxa"/>
                    <w:right w:w="57" w:type="dxa"/>
                  </w:tcMar>
                  <w:vAlign w:val="center"/>
                </w:tcPr>
                <w:p>
                  <w:pPr>
                    <w:spacing w:line="300" w:lineRule="exact"/>
                    <w:jc w:val="center"/>
                    <w:rPr>
                      <w:color w:val="000000"/>
                    </w:rPr>
                  </w:pPr>
                  <w:r>
                    <w:rPr>
                      <w:rFonts w:hint="eastAsia"/>
                      <w:color w:val="000000"/>
                    </w:rPr>
                    <w:t>/</w:t>
                  </w:r>
                </w:p>
              </w:tc>
              <w:tc>
                <w:tcPr>
                  <w:tcW w:w="989" w:type="dxa"/>
                  <w:vAlign w:val="center"/>
                </w:tcPr>
                <w:p>
                  <w:pPr>
                    <w:spacing w:line="300" w:lineRule="exact"/>
                    <w:jc w:val="center"/>
                    <w:rPr>
                      <w:color w:val="000000"/>
                    </w:rPr>
                  </w:pPr>
                  <w:r>
                    <w:rPr>
                      <w:rFonts w:hint="eastAsia"/>
                      <w:color w:val="000000"/>
                    </w:rPr>
                    <w:t>/</w:t>
                  </w:r>
                </w:p>
              </w:tc>
              <w:tc>
                <w:tcPr>
                  <w:tcW w:w="1121" w:type="dxa"/>
                  <w:vAlign w:val="center"/>
                </w:tcPr>
                <w:p>
                  <w:pPr>
                    <w:spacing w:line="300" w:lineRule="exact"/>
                    <w:jc w:val="center"/>
                    <w:rPr>
                      <w:color w:val="000000"/>
                    </w:rPr>
                  </w:pPr>
                  <w:r>
                    <w:rPr>
                      <w:rFonts w:hint="eastAsia"/>
                      <w:color w:val="000000"/>
                    </w:rPr>
                    <w:t>/</w:t>
                  </w:r>
                </w:p>
              </w:tc>
              <w:tc>
                <w:tcPr>
                  <w:tcW w:w="1735" w:type="dxa"/>
                  <w:vAlign w:val="center"/>
                </w:tcPr>
                <w:p>
                  <w:pPr>
                    <w:spacing w:line="300" w:lineRule="exact"/>
                    <w:jc w:val="center"/>
                    <w:rPr>
                      <w:color w:val="000000"/>
                    </w:rPr>
                  </w:pPr>
                  <w:r>
                    <w:rPr>
                      <w:color w:val="000000"/>
                    </w:rPr>
                    <w:t>沉淀处理后</w:t>
                  </w:r>
                  <w:r>
                    <w:rPr>
                      <w:rFonts w:hint="eastAsia"/>
                      <w:color w:val="000000"/>
                    </w:rPr>
                    <w:t>循环使用</w:t>
                  </w:r>
                </w:p>
              </w:tc>
              <w:tc>
                <w:tcPr>
                  <w:tcW w:w="1421" w:type="dxa"/>
                  <w:vAlign w:val="center"/>
                </w:tcPr>
                <w:p>
                  <w:pPr>
                    <w:spacing w:line="300" w:lineRule="exact"/>
                    <w:jc w:val="center"/>
                    <w:rPr>
                      <w:color w:val="000000"/>
                    </w:rPr>
                  </w:pPr>
                  <w:r>
                    <w:rPr>
                      <w:color w:val="000000"/>
                    </w:rPr>
                    <w:t>不外排</w:t>
                  </w:r>
                </w:p>
              </w:tc>
            </w:tr>
          </w:tbl>
          <w:p>
            <w:pPr>
              <w:autoSpaceDE w:val="0"/>
              <w:autoSpaceDN w:val="0"/>
              <w:adjustRightInd w:val="0"/>
              <w:snapToGrid w:val="0"/>
              <w:spacing w:before="120" w:beforeLines="50" w:line="360" w:lineRule="auto"/>
              <w:ind w:firstLine="360" w:firstLineChars="150"/>
              <w:jc w:val="left"/>
              <w:rPr>
                <w:lang w:val="en-US"/>
              </w:rPr>
            </w:pPr>
            <w:r>
              <w:rPr>
                <w:rFonts w:hint="eastAsia" w:hAnsi="宋体"/>
                <w:kern w:val="0"/>
                <w:sz w:val="24"/>
                <w:szCs w:val="24"/>
              </w:rPr>
              <w:t>本项目水量平衡见图</w:t>
            </w:r>
            <w:r>
              <w:rPr>
                <w:rFonts w:hint="eastAsia" w:hAnsi="宋体"/>
                <w:kern w:val="0"/>
                <w:sz w:val="24"/>
                <w:szCs w:val="24"/>
                <w:lang w:val="en-US"/>
              </w:rPr>
              <w:t>5-2。</w:t>
            </w:r>
          </w:p>
          <w:p>
            <w:pPr>
              <w:autoSpaceDE w:val="0"/>
              <w:autoSpaceDN w:val="0"/>
              <w:adjustRightInd w:val="0"/>
              <w:spacing w:line="360" w:lineRule="auto"/>
              <w:ind w:firstLine="360" w:firstLineChars="150"/>
              <w:jc w:val="left"/>
              <w:rPr>
                <w:rFonts w:hAnsi="宋体"/>
                <w:kern w:val="0"/>
                <w:sz w:val="24"/>
                <w:szCs w:val="24"/>
              </w:rPr>
            </w:pPr>
          </w:p>
          <w:p>
            <w:pPr>
              <w:autoSpaceDE w:val="0"/>
              <w:autoSpaceDN w:val="0"/>
              <w:adjustRightInd w:val="0"/>
              <w:spacing w:line="360" w:lineRule="auto"/>
              <w:ind w:firstLine="360" w:firstLineChars="150"/>
              <w:jc w:val="left"/>
              <w:rPr>
                <w:rFonts w:hAnsi="宋体"/>
                <w:kern w:val="0"/>
                <w:sz w:val="24"/>
                <w:szCs w:val="24"/>
              </w:rPr>
            </w:pPr>
            <w:r>
              <w:rPr>
                <w:sz w:val="24"/>
                <w:lang w:val="en-US"/>
              </w:rPr>
              <mc:AlternateContent>
                <mc:Choice Requires="wps">
                  <w:drawing>
                    <wp:anchor distT="0" distB="0" distL="114300" distR="114300" simplePos="0" relativeHeight="251607040" behindDoc="1" locked="0" layoutInCell="1" allowOverlap="1">
                      <wp:simplePos x="0" y="0"/>
                      <wp:positionH relativeFrom="column">
                        <wp:posOffset>1532890</wp:posOffset>
                      </wp:positionH>
                      <wp:positionV relativeFrom="paragraph">
                        <wp:posOffset>220980</wp:posOffset>
                      </wp:positionV>
                      <wp:extent cx="337185" cy="285750"/>
                      <wp:effectExtent l="8890" t="49530" r="73025" b="7620"/>
                      <wp:wrapNone/>
                      <wp:docPr id="5158" name="Freeform 23"/>
                      <wp:cNvGraphicFramePr/>
                      <a:graphic xmlns:a="http://schemas.openxmlformats.org/drawingml/2006/main">
                        <a:graphicData uri="http://schemas.microsoft.com/office/word/2010/wordprocessingShape">
                          <wps:wsp>
                            <wps:cNvSpPr/>
                            <wps:spPr bwMode="auto">
                              <a:xfrm>
                                <a:off x="0" y="0"/>
                                <a:ext cx="337185" cy="285750"/>
                              </a:xfrm>
                              <a:custGeom>
                                <a:avLst/>
                                <a:gdLst>
                                  <a:gd name="T0" fmla="*/ 0 w 525"/>
                                  <a:gd name="T1" fmla="*/ 390 h 410"/>
                                  <a:gd name="T2" fmla="*/ 195 w 525"/>
                                  <a:gd name="T3" fmla="*/ 120 h 410"/>
                                  <a:gd name="T4" fmla="*/ 270 w 525"/>
                                  <a:gd name="T5" fmla="*/ 390 h 410"/>
                                  <a:gd name="T6" fmla="*/ 525 w 525"/>
                                  <a:gd name="T7" fmla="*/ 0 h 410"/>
                                </a:gdLst>
                                <a:ahLst/>
                                <a:cxnLst>
                                  <a:cxn ang="0">
                                    <a:pos x="T0" y="T1"/>
                                  </a:cxn>
                                  <a:cxn ang="0">
                                    <a:pos x="T2" y="T3"/>
                                  </a:cxn>
                                  <a:cxn ang="0">
                                    <a:pos x="T4" y="T5"/>
                                  </a:cxn>
                                  <a:cxn ang="0">
                                    <a:pos x="T6" y="T7"/>
                                  </a:cxn>
                                </a:cxnLst>
                                <a:rect l="0" t="0" r="r" b="b"/>
                                <a:pathLst>
                                  <a:path w="525" h="410">
                                    <a:moveTo>
                                      <a:pt x="0" y="390"/>
                                    </a:moveTo>
                                    <a:cubicBezTo>
                                      <a:pt x="75" y="255"/>
                                      <a:pt x="150" y="120"/>
                                      <a:pt x="195" y="120"/>
                                    </a:cubicBezTo>
                                    <a:cubicBezTo>
                                      <a:pt x="240" y="120"/>
                                      <a:pt x="215" y="410"/>
                                      <a:pt x="270" y="390"/>
                                    </a:cubicBezTo>
                                    <a:cubicBezTo>
                                      <a:pt x="325" y="370"/>
                                      <a:pt x="483" y="65"/>
                                      <a:pt x="525" y="0"/>
                                    </a:cubicBezTo>
                                  </a:path>
                                </a:pathLst>
                              </a:custGeom>
                              <a:noFill/>
                              <a:ln w="12700">
                                <a:solidFill>
                                  <a:srgbClr val="000000"/>
                                </a:solidFill>
                                <a:round/>
                                <a:tailEnd type="arrow" w="med" len="med"/>
                              </a:ln>
                            </wps:spPr>
                            <wps:bodyPr rot="0" vert="horz" wrap="square" lIns="91440" tIns="45720" rIns="91440" bIns="45720" anchor="t" anchorCtr="0" upright="1">
                              <a:noAutofit/>
                            </wps:bodyPr>
                          </wps:wsp>
                        </a:graphicData>
                      </a:graphic>
                    </wp:anchor>
                  </w:drawing>
                </mc:Choice>
                <mc:Fallback>
                  <w:pict>
                    <v:shape id="Freeform 23" o:spid="_x0000_s1026" o:spt="100" style="position:absolute;left:0pt;margin-left:120.7pt;margin-top:17.4pt;height:22.5pt;width:26.55pt;z-index:-251709440;mso-width-relative:page;mso-height-relative:page;" filled="f" stroked="t" coordsize="525,410" o:gfxdata="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lnP80NoAAAAJAQAADwAAAAAAAAABACAAAAAiAAAA&#10;ZHJzL2Rvd25yZXYueG1sUEsBAhQAFAAAAAgAh07iQOrqQfEiAwAAjwcAAA4AAAAAAAAAAQAgAAAA&#10;KQEAAGRycy9lMm9Eb2MueG1sUEsFBgAAAAAGAAYAWQEAAL0GAAAAAA==&#10;" path="m0,390c75,255,150,120,195,120c240,120,215,410,270,390c325,370,483,65,525,0e">
                      <v:path o:connectlocs="0,271810;125240,83634;173409,271810;337185,0" o:connectangles="0,0,0,0"/>
                      <v:fill on="f" focussize="0,0"/>
                      <v:stroke weight="1pt" color="#000000" joinstyle="round" endarrow="open"/>
                      <v:imagedata o:title=""/>
                      <o:lock v:ext="edit" aspectratio="f"/>
                    </v:shape>
                  </w:pict>
                </mc:Fallback>
              </mc:AlternateContent>
            </w:r>
            <w:r>
              <w:rPr>
                <w:sz w:val="24"/>
                <w:lang w:val="en-US"/>
              </w:rPr>
              <mc:AlternateContent>
                <mc:Choice Requires="wps">
                  <w:drawing>
                    <wp:anchor distT="0" distB="0" distL="114300" distR="114300" simplePos="0" relativeHeight="251608064" behindDoc="1" locked="0" layoutInCell="1" allowOverlap="1">
                      <wp:simplePos x="0" y="0"/>
                      <wp:positionH relativeFrom="column">
                        <wp:posOffset>1790065</wp:posOffset>
                      </wp:positionH>
                      <wp:positionV relativeFrom="paragraph">
                        <wp:posOffset>88900</wp:posOffset>
                      </wp:positionV>
                      <wp:extent cx="821055" cy="301625"/>
                      <wp:effectExtent l="0" t="3175" r="0" b="0"/>
                      <wp:wrapNone/>
                      <wp:docPr id="5157" name="Text Box 24"/>
                      <wp:cNvGraphicFramePr/>
                      <a:graphic xmlns:a="http://schemas.openxmlformats.org/drawingml/2006/main">
                        <a:graphicData uri="http://schemas.microsoft.com/office/word/2010/wordprocessingShape">
                          <wps:wsp>
                            <wps:cNvSpPr txBox="1">
                              <a:spLocks noChangeArrowheads="1"/>
                            </wps:cNvSpPr>
                            <wps:spPr bwMode="auto">
                              <a:xfrm>
                                <a:off x="0" y="0"/>
                                <a:ext cx="821055" cy="301625"/>
                              </a:xfrm>
                              <a:prstGeom prst="rect">
                                <a:avLst/>
                              </a:prstGeom>
                              <a:noFill/>
                              <a:ln>
                                <a:noFill/>
                              </a:ln>
                            </wps:spPr>
                            <wps:txbx>
                              <w:txbxContent>
                                <w:p>
                                  <w:pPr>
                                    <w:rPr>
                                      <w:lang w:val="en-US"/>
                                    </w:rPr>
                                  </w:pPr>
                                  <w:r>
                                    <w:rPr>
                                      <w:rFonts w:hint="eastAsia" w:ascii="宋体" w:hAnsi="宋体" w:cs="宋体"/>
                                    </w:rPr>
                                    <w:t>损耗</w:t>
                                  </w:r>
                                  <w:r>
                                    <w:rPr>
                                      <w:rFonts w:hint="eastAsia" w:eastAsia="仿宋_GB2312"/>
                                      <w:lang w:val="en-US"/>
                                    </w:rPr>
                                    <w:t>150</w:t>
                                  </w:r>
                                </w:p>
                              </w:txbxContent>
                            </wps:txbx>
                            <wps:bodyPr rot="0" vert="horz" wrap="square" lIns="91440" tIns="45720" rIns="91440" bIns="45720" anchor="t" anchorCtr="0" upright="1">
                              <a:noAutofit/>
                            </wps:bodyPr>
                          </wps:wsp>
                        </a:graphicData>
                      </a:graphic>
                    </wp:anchor>
                  </w:drawing>
                </mc:Choice>
                <mc:Fallback>
                  <w:pict>
                    <v:shape id="Text Box 24" o:spid="_x0000_s1026" o:spt="202" type="#_x0000_t202" style="position:absolute;left:0pt;margin-left:140.95pt;margin-top:7pt;height:23.75pt;width:64.65pt;z-index:-251708416;mso-width-relative:page;mso-height-relative:page;" filled="f" stroked="f" coordsize="21600,21600" o:gfxdata="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I7znWAAAACQEAAA8AAAAAAAAAAQAgAAAAIgAAAGRycy9kb3ducmV2LnhtbFBLAQIUABQAAAAI&#10;AIdO4kBPKNa/7wEAAMkDAAAOAAAAAAAAAAEAIAAAACUBAABkcnMvZTJvRG9jLnhtbFBLBQYAAAAA&#10;BgAGAFkBAACGBQAAAAA=&#10;">
                      <v:fill on="f" focussize="0,0"/>
                      <v:stroke on="f"/>
                      <v:imagedata o:title=""/>
                      <o:lock v:ext="edit" aspectratio="f"/>
                      <v:textbox>
                        <w:txbxContent>
                          <w:p>
                            <w:pPr>
                              <w:rPr>
                                <w:lang w:val="en-US"/>
                              </w:rPr>
                            </w:pPr>
                            <w:r>
                              <w:rPr>
                                <w:rFonts w:hint="eastAsia" w:ascii="宋体" w:hAnsi="宋体" w:cs="宋体"/>
                              </w:rPr>
                              <w:t>损耗</w:t>
                            </w:r>
                            <w:r>
                              <w:rPr>
                                <w:rFonts w:hint="eastAsia" w:eastAsia="仿宋_GB2312"/>
                                <w:lang w:val="en-US"/>
                              </w:rPr>
                              <w:t>150</w:t>
                            </w:r>
                          </w:p>
                        </w:txbxContent>
                      </v:textbox>
                    </v:shape>
                  </w:pict>
                </mc:Fallback>
              </mc:AlternateContent>
            </w:r>
          </w:p>
          <w:p>
            <w:pPr>
              <w:pStyle w:val="2"/>
              <w:rPr>
                <w:rFonts w:hAnsi="宋体"/>
                <w:kern w:val="0"/>
                <w:sz w:val="24"/>
                <w:szCs w:val="24"/>
              </w:rPr>
            </w:pPr>
            <w:r>
              <w:rPr>
                <w:sz w:val="24"/>
                <w:lang w:val="en-US"/>
              </w:rPr>
              <mc:AlternateContent>
                <mc:Choice Requires="wps">
                  <w:drawing>
                    <wp:anchor distT="0" distB="0" distL="114300" distR="114300" simplePos="0" relativeHeight="251703296" behindDoc="0" locked="0" layoutInCell="1" allowOverlap="1">
                      <wp:simplePos x="0" y="0"/>
                      <wp:positionH relativeFrom="column">
                        <wp:posOffset>828675</wp:posOffset>
                      </wp:positionH>
                      <wp:positionV relativeFrom="paragraph">
                        <wp:posOffset>165100</wp:posOffset>
                      </wp:positionV>
                      <wp:extent cx="461010" cy="299720"/>
                      <wp:effectExtent l="0" t="3175" r="0" b="1905"/>
                      <wp:wrapNone/>
                      <wp:docPr id="5156"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461010" cy="299720"/>
                              </a:xfrm>
                              <a:prstGeom prst="rect">
                                <a:avLst/>
                              </a:prstGeom>
                              <a:noFill/>
                              <a:ln>
                                <a:noFill/>
                              </a:ln>
                            </wps:spPr>
                            <wps:txbx>
                              <w:txbxContent>
                                <w:p>
                                  <w:pPr>
                                    <w:rPr>
                                      <w:rFonts w:eastAsia="仿宋_GB2312"/>
                                      <w:lang w:val="en-US"/>
                                    </w:rPr>
                                  </w:pPr>
                                  <w:r>
                                    <w:rPr>
                                      <w:rFonts w:hint="eastAsia" w:eastAsia="仿宋_GB2312"/>
                                      <w:lang w:val="en-US"/>
                                    </w:rPr>
                                    <w:t>150</w:t>
                                  </w:r>
                                </w:p>
                              </w:txbxContent>
                            </wps:txbx>
                            <wps:bodyPr rot="0" vert="horz" wrap="square" lIns="91440" tIns="45720" rIns="91440" bIns="45720" anchor="t" anchorCtr="0" upright="1">
                              <a:noAutofit/>
                            </wps:bodyPr>
                          </wps:wsp>
                        </a:graphicData>
                      </a:graphic>
                    </wp:anchor>
                  </w:drawing>
                </mc:Choice>
                <mc:Fallback>
                  <w:pict>
                    <v:shape id="文本框 215" o:spid="_x0000_s1026" o:spt="202" type="#_x0000_t202" style="position:absolute;left:0pt;margin-left:65.25pt;margin-top:13pt;height:23.6pt;width:36.3pt;z-index:251703296;mso-width-relative:page;mso-height-relative:page;" filled="f" stroked="f" coordsize="21600,21600" o:gfxdata="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J3fxnWAAAACQEAAA8AAAAAAAAAAQAgAAAAIgAAAGRycy9kb3ducmV2&#10;LnhtbFBLAQIUABQAAAAIAIdO4kAe1tkp/gEAAMsDAAAOAAAAAAAAAAEAIAAAACUBAABkcnMvZTJv&#10;RG9jLnhtbFBLBQYAAAAABgAGAFkBAACVBQAAAAA=&#10;">
                      <v:fill on="f" focussize="0,0"/>
                      <v:stroke on="f"/>
                      <v:imagedata o:title=""/>
                      <o:lock v:ext="edit" aspectratio="f"/>
                      <v:textbox>
                        <w:txbxContent>
                          <w:p>
                            <w:pPr>
                              <w:rPr>
                                <w:rFonts w:eastAsia="仿宋_GB2312"/>
                                <w:lang w:val="en-US"/>
                              </w:rPr>
                            </w:pPr>
                            <w:r>
                              <w:rPr>
                                <w:rFonts w:hint="eastAsia" w:eastAsia="仿宋_GB2312"/>
                                <w:lang w:val="en-US"/>
                              </w:rPr>
                              <w:t>150</w:t>
                            </w:r>
                          </w:p>
                        </w:txbxContent>
                      </v:textbox>
                    </v:shape>
                  </w:pict>
                </mc:Fallback>
              </mc:AlternateContent>
            </w:r>
          </w:p>
          <w:p>
            <w:pPr>
              <w:pStyle w:val="2"/>
              <w:rPr>
                <w:rFonts w:hAnsi="宋体"/>
                <w:kern w:val="0"/>
                <w:sz w:val="24"/>
                <w:szCs w:val="24"/>
              </w:rPr>
            </w:pPr>
            <w:r>
              <w:rPr>
                <w:sz w:val="24"/>
                <w:lang w:val="en-US"/>
              </w:rPr>
              <mc:AlternateContent>
                <mc:Choice Requires="wps">
                  <w:drawing>
                    <wp:anchor distT="0" distB="0" distL="114300" distR="114300" simplePos="0" relativeHeight="251614208" behindDoc="1" locked="0" layoutInCell="1" allowOverlap="1">
                      <wp:simplePos x="0" y="0"/>
                      <wp:positionH relativeFrom="column">
                        <wp:posOffset>2305050</wp:posOffset>
                      </wp:positionH>
                      <wp:positionV relativeFrom="paragraph">
                        <wp:posOffset>189865</wp:posOffset>
                      </wp:positionV>
                      <wp:extent cx="461010" cy="299720"/>
                      <wp:effectExtent l="0" t="0" r="0" b="0"/>
                      <wp:wrapNone/>
                      <wp:docPr id="5155" name="Text Box 26"/>
                      <wp:cNvGraphicFramePr/>
                      <a:graphic xmlns:a="http://schemas.openxmlformats.org/drawingml/2006/main">
                        <a:graphicData uri="http://schemas.microsoft.com/office/word/2010/wordprocessingShape">
                          <wps:wsp>
                            <wps:cNvSpPr txBox="1">
                              <a:spLocks noChangeArrowheads="1"/>
                            </wps:cNvSpPr>
                            <wps:spPr bwMode="auto">
                              <a:xfrm>
                                <a:off x="0" y="0"/>
                                <a:ext cx="461010" cy="299720"/>
                              </a:xfrm>
                              <a:prstGeom prst="rect">
                                <a:avLst/>
                              </a:prstGeom>
                              <a:noFill/>
                              <a:ln>
                                <a:noFill/>
                              </a:ln>
                            </wps:spPr>
                            <wps:txbx>
                              <w:txbxContent>
                                <w:p>
                                  <w:pPr>
                                    <w:rPr>
                                      <w:rFonts w:eastAsia="仿宋_GB2312"/>
                                      <w:lang w:val="en-US"/>
                                    </w:rPr>
                                  </w:pPr>
                                  <w:r>
                                    <w:rPr>
                                      <w:rFonts w:hint="eastAsia" w:eastAsia="仿宋_GB2312"/>
                                      <w:lang w:val="en-US"/>
                                    </w:rPr>
                                    <w:t>6.5</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81.5pt;margin-top:14.95pt;height:23.6pt;width:36.3pt;z-index:-251702272;mso-width-relative:page;mso-height-relative:page;" filled="f" stroked="f" coordsize="21600,21600" o:gfxdata="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5CMNtcAAAAJAQAADwAAAAAAAAABACAAAAAiAAAAZHJzL2Rvd25yZXYueG1sUEsBAhQAFAAAAAgA&#10;h07iQMLFTPvtAQAAyQMAAA4AAAAAAAAAAQAgAAAAJgEAAGRycy9lMm9Eb2MueG1sUEsFBgAAAAAG&#10;AAYAWQEAAIUFAAAAAA==&#10;">
                      <v:fill on="f" focussize="0,0"/>
                      <v:stroke on="f"/>
                      <v:imagedata o:title=""/>
                      <o:lock v:ext="edit" aspectratio="f"/>
                      <v:textbox>
                        <w:txbxContent>
                          <w:p>
                            <w:pPr>
                              <w:rPr>
                                <w:rFonts w:eastAsia="仿宋_GB2312"/>
                                <w:lang w:val="en-US"/>
                              </w:rPr>
                            </w:pPr>
                            <w:r>
                              <w:rPr>
                                <w:rFonts w:hint="eastAsia" w:eastAsia="仿宋_GB2312"/>
                                <w:lang w:val="en-US"/>
                              </w:rPr>
                              <w:t>6.5</w:t>
                            </w:r>
                          </w:p>
                        </w:txbxContent>
                      </v:textbox>
                    </v:shape>
                  </w:pict>
                </mc:Fallback>
              </mc:AlternateContent>
            </w:r>
            <w:r>
              <w:rPr>
                <w:sz w:val="24"/>
                <w:lang w:val="en-US"/>
              </w:rPr>
              <mc:AlternateContent>
                <mc:Choice Requires="wps">
                  <w:drawing>
                    <wp:anchor distT="0" distB="0" distL="114300" distR="114300" simplePos="0" relativeHeight="251610112" behindDoc="1" locked="0" layoutInCell="1" allowOverlap="1">
                      <wp:simplePos x="0" y="0"/>
                      <wp:positionH relativeFrom="column">
                        <wp:posOffset>2139315</wp:posOffset>
                      </wp:positionH>
                      <wp:positionV relativeFrom="paragraph">
                        <wp:posOffset>132715</wp:posOffset>
                      </wp:positionV>
                      <wp:extent cx="514350" cy="635"/>
                      <wp:effectExtent l="5715" t="8890" r="13335" b="9525"/>
                      <wp:wrapNone/>
                      <wp:docPr id="5154" name="Line 27"/>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line">
                                <a:avLst/>
                              </a:prstGeom>
                              <a:noFill/>
                              <a:ln w="3175">
                                <a:solidFill>
                                  <a:srgbClr val="000000"/>
                                </a:solidFill>
                                <a:prstDash val="dash"/>
                                <a:round/>
                              </a:ln>
                            </wps:spPr>
                            <wps:bodyPr/>
                          </wps:wsp>
                        </a:graphicData>
                      </a:graphic>
                    </wp:anchor>
                  </w:drawing>
                </mc:Choice>
                <mc:Fallback>
                  <w:pict>
                    <v:line id="Line 27" o:spid="_x0000_s1026" o:spt="20" style="position:absolute;left:0pt;margin-left:168.45pt;margin-top:10.45pt;height:0.05pt;width:40.5pt;z-index:-251706368;mso-width-relative:page;mso-height-relative:page;" filled="f" stroked="t" coordsize="21600,21600" o:gfxdata="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vF+BNcAAAAJAQAADwAAAAAAAAABACAAAAAiAAAAZHJzL2Rvd25yZXYueG1s&#10;UEsBAhQAFAAAAAgAh07iQMPVC0jAAQAAbgMAAA4AAAAAAAAAAQAgAAAAJgEAAGRycy9lMm9Eb2Mu&#10;eG1sUEsFBgAAAAAGAAYAWQEAAFgFAAAAAA==&#10;">
                      <v:fill on="f" focussize="0,0"/>
                      <v:stroke weight="0.25pt" color="#000000" joinstyle="round" dashstyle="dash"/>
                      <v:imagedata o:title=""/>
                      <o:lock v:ext="edit" aspectratio="f"/>
                    </v:line>
                  </w:pict>
                </mc:Fallback>
              </mc:AlternateContent>
            </w:r>
            <w:r>
              <w:rPr>
                <w:sz w:val="24"/>
                <w:lang w:val="en-US"/>
              </w:rPr>
              <mc:AlternateContent>
                <mc:Choice Requires="wps">
                  <w:drawing>
                    <wp:anchor distT="0" distB="0" distL="114300" distR="114300" simplePos="0" relativeHeight="251611136" behindDoc="1" locked="0" layoutInCell="1" allowOverlap="1">
                      <wp:simplePos x="0" y="0"/>
                      <wp:positionH relativeFrom="column">
                        <wp:posOffset>2644140</wp:posOffset>
                      </wp:positionH>
                      <wp:positionV relativeFrom="paragraph">
                        <wp:posOffset>142240</wp:posOffset>
                      </wp:positionV>
                      <wp:extent cx="635" cy="342900"/>
                      <wp:effectExtent l="5715" t="8890" r="12700" b="10160"/>
                      <wp:wrapNone/>
                      <wp:docPr id="5153" name="Line 28"/>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3175">
                                <a:solidFill>
                                  <a:srgbClr val="000000"/>
                                </a:solidFill>
                                <a:prstDash val="dash"/>
                                <a:round/>
                              </a:ln>
                            </wps:spPr>
                            <wps:bodyPr/>
                          </wps:wsp>
                        </a:graphicData>
                      </a:graphic>
                    </wp:anchor>
                  </w:drawing>
                </mc:Choice>
                <mc:Fallback>
                  <w:pict>
                    <v:line id="Line 28" o:spid="_x0000_s1026" o:spt="20" style="position:absolute;left:0pt;margin-left:208.2pt;margin-top:11.2pt;height:27pt;width:0.05pt;z-index:-251705344;mso-width-relative:page;mso-height-relative:page;" filled="f" stroked="t" coordsize="21600,21600" o:gfxdata="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JUjFtcAAAAJAQAADwAAAAAAAAABACAAAAAiAAAAZHJzL2Rvd25yZXYueG1s&#10;UEsBAhQAFAAAAAgAh07iQMdh6OjAAQAAbgMAAA4AAAAAAAAAAQAgAAAAJgEAAGRycy9lMm9Eb2Mu&#10;eG1sUEsFBgAAAAAGAAYAWQEAAFgFAAAAAA==&#10;">
                      <v:fill on="f" focussize="0,0"/>
                      <v:stroke weight="0.25pt" color="#000000" joinstyle="round" dashstyle="dash"/>
                      <v:imagedata o:title=""/>
                      <o:lock v:ext="edit" aspectratio="f"/>
                    </v:line>
                  </w:pict>
                </mc:Fallback>
              </mc:AlternateContent>
            </w:r>
            <w:r>
              <w:rPr>
                <w:sz w:val="24"/>
                <w:lang w:val="en-US"/>
              </w:rPr>
              <mc:AlternateContent>
                <mc:Choice Requires="wps">
                  <w:drawing>
                    <wp:anchor distT="0" distB="0" distL="114300" distR="114300" simplePos="0" relativeHeight="251697152" behindDoc="0" locked="0" layoutInCell="1" allowOverlap="1">
                      <wp:simplePos x="0" y="0"/>
                      <wp:positionH relativeFrom="column">
                        <wp:posOffset>814705</wp:posOffset>
                      </wp:positionH>
                      <wp:positionV relativeFrom="paragraph">
                        <wp:posOffset>139700</wp:posOffset>
                      </wp:positionV>
                      <wp:extent cx="457200" cy="8890"/>
                      <wp:effectExtent l="5080" t="53975" r="23495" b="51435"/>
                      <wp:wrapNone/>
                      <wp:docPr id="5152" name="Line 29"/>
                      <wp:cNvGraphicFramePr/>
                      <a:graphic xmlns:a="http://schemas.openxmlformats.org/drawingml/2006/main">
                        <a:graphicData uri="http://schemas.microsoft.com/office/word/2010/wordprocessingShape">
                          <wps:wsp>
                            <wps:cNvCnPr>
                              <a:cxnSpLocks noChangeShapeType="1"/>
                            </wps:cNvCnPr>
                            <wps:spPr bwMode="auto">
                              <a:xfrm flipV="1">
                                <a:off x="0" y="0"/>
                                <a:ext cx="457200" cy="8890"/>
                              </a:xfrm>
                              <a:prstGeom prst="line">
                                <a:avLst/>
                              </a:prstGeom>
                              <a:noFill/>
                              <a:ln w="3175">
                                <a:solidFill>
                                  <a:srgbClr val="000000"/>
                                </a:solidFill>
                                <a:round/>
                                <a:tailEnd type="triangle" w="med" len="med"/>
                              </a:ln>
                            </wps:spPr>
                            <wps:bodyPr/>
                          </wps:wsp>
                        </a:graphicData>
                      </a:graphic>
                    </wp:anchor>
                  </w:drawing>
                </mc:Choice>
                <mc:Fallback>
                  <w:pict>
                    <v:line id="Line 29" o:spid="_x0000_s1026" o:spt="20" style="position:absolute;left:0pt;flip:y;margin-left:64.15pt;margin-top:11pt;height:0.7pt;width:36pt;z-index:251697152;mso-width-relative:page;mso-height-relative:page;" filled="f" stroked="t" coordsize="21600,21600" o:gfxdata="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TkPctQAAAAJAQAADwAAAAAAAAABACAAAAAi&#10;AAAAZHJzL2Rvd25yZXYueG1sUEsBAhQAFAAAAAgAh07iQFHznpTVAQAAjwMAAA4AAAAAAAAAAQAg&#10;AAAAIwEAAGRycy9lMm9Eb2MueG1sUEsFBgAAAAAGAAYAWQEAAGoFAAAAAA==&#10;">
                      <v:fill on="f" focussize="0,0"/>
                      <v:stroke weight="0.25pt" color="#000000" joinstyle="round" endarrow="block"/>
                      <v:imagedata o:title=""/>
                      <o:lock v:ext="edit" aspectratio="f"/>
                    </v:line>
                  </w:pict>
                </mc:Fallback>
              </mc:AlternateContent>
            </w:r>
            <w:r>
              <w:rPr>
                <w:sz w:val="24"/>
                <w:lang w:val="en-US"/>
              </w:rPr>
              <mc:AlternateContent>
                <mc:Choice Requires="wps">
                  <w:drawing>
                    <wp:anchor distT="0" distB="0" distL="114300" distR="114300" simplePos="0" relativeHeight="251696128" behindDoc="0" locked="0" layoutInCell="1" allowOverlap="1">
                      <wp:simplePos x="0" y="0"/>
                      <wp:positionH relativeFrom="column">
                        <wp:posOffset>805815</wp:posOffset>
                      </wp:positionH>
                      <wp:positionV relativeFrom="paragraph">
                        <wp:posOffset>146685</wp:posOffset>
                      </wp:positionV>
                      <wp:extent cx="635" cy="923925"/>
                      <wp:effectExtent l="5715" t="13335" r="12700" b="5715"/>
                      <wp:wrapNone/>
                      <wp:docPr id="30" name="Line 30"/>
                      <wp:cNvGraphicFramePr/>
                      <a:graphic xmlns:a="http://schemas.openxmlformats.org/drawingml/2006/main">
                        <a:graphicData uri="http://schemas.microsoft.com/office/word/2010/wordprocessingShape">
                          <wps:wsp>
                            <wps:cNvCnPr>
                              <a:cxnSpLocks noChangeShapeType="1"/>
                            </wps:cNvCnPr>
                            <wps:spPr bwMode="auto">
                              <a:xfrm>
                                <a:off x="0" y="0"/>
                                <a:ext cx="635" cy="923925"/>
                              </a:xfrm>
                              <a:prstGeom prst="line">
                                <a:avLst/>
                              </a:prstGeom>
                              <a:noFill/>
                              <a:ln w="3175">
                                <a:solidFill>
                                  <a:srgbClr val="000000"/>
                                </a:solidFill>
                                <a:round/>
                              </a:ln>
                            </wps:spPr>
                            <wps:bodyPr/>
                          </wps:wsp>
                        </a:graphicData>
                      </a:graphic>
                    </wp:anchor>
                  </w:drawing>
                </mc:Choice>
                <mc:Fallback>
                  <w:pict>
                    <v:line id="Line 30" o:spid="_x0000_s1026" o:spt="20" style="position:absolute;left:0pt;margin-left:63.45pt;margin-top:11.55pt;height:72.75pt;width:0.05pt;z-index:251696128;mso-width-relative:page;mso-height-relative:page;" filled="f" stroked="t" coordsize="21600,21600" o:gfxdata="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Eu&#10;YQ7YAAAACgEAAA8AAAAAAAAAAQAgAAAAIgAAAGRycy9kb3ducmV2LnhtbFBLAQIUABQAAAAIAIdO&#10;4kAfyx5fsQEAAFQDAAAOAAAAAAAAAAEAIAAAACcBAABkcnMvZTJvRG9jLnhtbFBLBQYAAAAABgAG&#10;AFkBAABKBQAAAAA=&#10;">
                      <v:fill on="f" focussize="0,0"/>
                      <v:stroke weight="0.25pt" color="#000000" joinstyle="round"/>
                      <v:imagedata o:title=""/>
                      <o:lock v:ext="edit" aspectratio="f"/>
                    </v:line>
                  </w:pict>
                </mc:Fallback>
              </mc:AlternateContent>
            </w:r>
            <w:r>
              <w:rPr>
                <w:lang w:val="en-US"/>
              </w:rPr>
              <mc:AlternateContent>
                <mc:Choice Requires="wps">
                  <w:drawing>
                    <wp:anchor distT="0" distB="0" distL="114300" distR="114300" simplePos="0" relativeHeight="251708416" behindDoc="0" locked="0" layoutInCell="1" allowOverlap="1">
                      <wp:simplePos x="0" y="0"/>
                      <wp:positionH relativeFrom="column">
                        <wp:posOffset>1272540</wp:posOffset>
                      </wp:positionH>
                      <wp:positionV relativeFrom="paragraph">
                        <wp:posOffset>8890</wp:posOffset>
                      </wp:positionV>
                      <wp:extent cx="856615" cy="285750"/>
                      <wp:effectExtent l="5715" t="8890" r="13970" b="10160"/>
                      <wp:wrapNone/>
                      <wp:docPr id="29" name="Rectangle 31"/>
                      <wp:cNvGraphicFramePr/>
                      <a:graphic xmlns:a="http://schemas.openxmlformats.org/drawingml/2006/main">
                        <a:graphicData uri="http://schemas.microsoft.com/office/word/2010/wordprocessingShape">
                          <wps:wsp>
                            <wps:cNvSpPr>
                              <a:spLocks noChangeArrowheads="1"/>
                            </wps:cNvSpPr>
                            <wps:spPr bwMode="auto">
                              <a:xfrm>
                                <a:off x="0" y="0"/>
                                <a:ext cx="856615" cy="285750"/>
                              </a:xfrm>
                              <a:prstGeom prst="rect">
                                <a:avLst/>
                              </a:prstGeom>
                              <a:solidFill>
                                <a:srgbClr val="FFFFFF"/>
                              </a:solidFill>
                              <a:ln w="3175">
                                <a:solidFill>
                                  <a:srgbClr val="000000"/>
                                </a:solidFill>
                                <a:miter lim="800000"/>
                              </a:ln>
                            </wps:spPr>
                            <wps:txbx>
                              <w:txbxContent>
                                <w:p>
                                  <w:r>
                                    <w:rPr>
                                      <w:rFonts w:hint="eastAsia"/>
                                    </w:rPr>
                                    <w:t>水磨补充水</w:t>
                                  </w:r>
                                </w:p>
                              </w:txbxContent>
                            </wps:txbx>
                            <wps:bodyPr rot="0" vert="horz" wrap="square" lIns="91440" tIns="45720" rIns="91440" bIns="45720" anchor="t" anchorCtr="0" upright="1">
                              <a:noAutofit/>
                            </wps:bodyPr>
                          </wps:wsp>
                        </a:graphicData>
                      </a:graphic>
                    </wp:anchor>
                  </w:drawing>
                </mc:Choice>
                <mc:Fallback>
                  <w:pict>
                    <v:rect id="Rectangle 31" o:spid="_x0000_s1026" o:spt="1" style="position:absolute;left:0pt;margin-left:100.2pt;margin-top:0.7pt;height:22.5pt;width:67.45pt;z-index:251708416;mso-width-relative:page;mso-height-relative:page;" fillcolor="#FFFFFF" filled="t" stroked="t" coordsize="21600,21600" o:gfxdata="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rd1n1AAAAAgBAAAPAAAAAAAAAAEA&#10;IAAAACIAAABkcnMvZG93bnJldi54bWxQSwECFAAUAAAACACHTuJA4pwMUBMCAAAwBAAADgAAAAAA&#10;AAABACAAAAAjAQAAZHJzL2Uyb0RvYy54bWxQSwUGAAAAAAYABgBZAQAAqAUAAAAA&#10;">
                      <v:fill on="t" focussize="0,0"/>
                      <v:stroke weight="0.25pt" color="#000000" miterlimit="8" joinstyle="miter"/>
                      <v:imagedata o:title=""/>
                      <o:lock v:ext="edit" aspectratio="f"/>
                      <v:textbox>
                        <w:txbxContent>
                          <w:p>
                            <w:r>
                              <w:rPr>
                                <w:rFonts w:hint="eastAsia"/>
                              </w:rPr>
                              <w:t>水磨补充水</w:t>
                            </w:r>
                          </w:p>
                        </w:txbxContent>
                      </v:textbox>
                    </v:rect>
                  </w:pict>
                </mc:Fallback>
              </mc:AlternateContent>
            </w:r>
          </w:p>
          <w:p>
            <w:pPr>
              <w:pStyle w:val="2"/>
              <w:rPr>
                <w:rFonts w:hAnsi="宋体"/>
                <w:kern w:val="0"/>
                <w:sz w:val="24"/>
                <w:szCs w:val="24"/>
              </w:rPr>
            </w:pPr>
            <w:r>
              <w:rPr>
                <w:lang w:val="en-US"/>
              </w:rPr>
              <mc:AlternateContent>
                <mc:Choice Requires="wps">
                  <w:drawing>
                    <wp:anchor distT="0" distB="0" distL="114300" distR="114300" simplePos="0" relativeHeight="251695104" behindDoc="0" locked="0" layoutInCell="1" allowOverlap="1">
                      <wp:simplePos x="0" y="0"/>
                      <wp:positionH relativeFrom="column">
                        <wp:posOffset>140970</wp:posOffset>
                      </wp:positionH>
                      <wp:positionV relativeFrom="paragraph">
                        <wp:posOffset>57150</wp:posOffset>
                      </wp:positionV>
                      <wp:extent cx="725170" cy="471170"/>
                      <wp:effectExtent l="0" t="0" r="635" b="0"/>
                      <wp:wrapNone/>
                      <wp:docPr id="27" name="Text Box 32"/>
                      <wp:cNvGraphicFramePr/>
                      <a:graphic xmlns:a="http://schemas.openxmlformats.org/drawingml/2006/main">
                        <a:graphicData uri="http://schemas.microsoft.com/office/word/2010/wordprocessingShape">
                          <wps:wsp>
                            <wps:cNvSpPr txBox="1">
                              <a:spLocks noChangeArrowheads="1"/>
                            </wps:cNvSpPr>
                            <wps:spPr bwMode="auto">
                              <a:xfrm>
                                <a:off x="0" y="0"/>
                                <a:ext cx="725170" cy="471170"/>
                              </a:xfrm>
                              <a:prstGeom prst="rect">
                                <a:avLst/>
                              </a:prstGeom>
                              <a:noFill/>
                              <a:ln>
                                <a:noFill/>
                              </a:ln>
                            </wps:spPr>
                            <wps:txbx>
                              <w:txbxContent>
                                <w:p>
                                  <w:pPr>
                                    <w:spacing w:line="360" w:lineRule="auto"/>
                                    <w:jc w:val="center"/>
                                    <w:rPr>
                                      <w:rFonts w:eastAsia="仿宋_GB2312"/>
                                      <w:lang w:val="en-US"/>
                                    </w:rPr>
                                  </w:pPr>
                                  <w:r>
                                    <w:rPr>
                                      <w:rFonts w:hint="eastAsia" w:ascii="宋体" w:hAnsi="宋体" w:cs="宋体"/>
                                      <w:lang w:val="en-US"/>
                                    </w:rPr>
                                    <w:t>新鲜水</w:t>
                                  </w:r>
                                  <w:r>
                                    <w:rPr>
                                      <w:rFonts w:hint="eastAsia" w:eastAsia="仿宋_GB2312"/>
                                      <w:lang w:val="en-US"/>
                                    </w:rPr>
                                    <w:t>240</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11.1pt;margin-top:4.5pt;height:37.1pt;width:57.1pt;z-index:251695104;mso-width-relative:page;mso-height-relative:page;" filled="f" stroked="f" coordsize="21600,21600" o:gfxdata="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f87rPV&#10;AAAABwEAAA8AAAAAAAAAAQAgAAAAIgAAAGRycy9kb3ducmV2LnhtbFBLAQIUABQAAAAIAIdO4kD9&#10;p5Eu6gEAAMcDAAAOAAAAAAAAAAEAIAAAACQBAABkcnMvZTJvRG9jLnhtbFBLBQYAAAAABgAGAFkB&#10;AACABQAAAAA=&#10;">
                      <v:fill on="f" focussize="0,0"/>
                      <v:stroke on="f"/>
                      <v:imagedata o:title=""/>
                      <o:lock v:ext="edit" aspectratio="f"/>
                      <v:textbox>
                        <w:txbxContent>
                          <w:p>
                            <w:pPr>
                              <w:spacing w:line="360" w:lineRule="auto"/>
                              <w:jc w:val="center"/>
                              <w:rPr>
                                <w:rFonts w:eastAsia="仿宋_GB2312"/>
                                <w:lang w:val="en-US"/>
                              </w:rPr>
                            </w:pPr>
                            <w:r>
                              <w:rPr>
                                <w:rFonts w:hint="eastAsia" w:ascii="宋体" w:hAnsi="宋体" w:cs="宋体"/>
                                <w:lang w:val="en-US"/>
                              </w:rPr>
                              <w:t>新鲜水</w:t>
                            </w:r>
                            <w:r>
                              <w:rPr>
                                <w:rFonts w:hint="eastAsia" w:eastAsia="仿宋_GB2312"/>
                                <w:lang w:val="en-US"/>
                              </w:rPr>
                              <w:t>240</w:t>
                            </w:r>
                          </w:p>
                        </w:txbxContent>
                      </v:textbox>
                    </v:shape>
                  </w:pict>
                </mc:Fallback>
              </mc:AlternateContent>
            </w:r>
            <w:r>
              <w:rPr>
                <w:sz w:val="24"/>
                <w:lang w:val="en-US"/>
              </w:rPr>
              <mc:AlternateContent>
                <mc:Choice Requires="wps">
                  <w:drawing>
                    <wp:anchor distT="0" distB="0" distL="114300" distR="114300" simplePos="0" relativeHeight="251613184" behindDoc="1" locked="0" layoutInCell="1" allowOverlap="1">
                      <wp:simplePos x="0" y="0"/>
                      <wp:positionH relativeFrom="column">
                        <wp:posOffset>1910715</wp:posOffset>
                      </wp:positionH>
                      <wp:positionV relativeFrom="paragraph">
                        <wp:posOffset>14605</wp:posOffset>
                      </wp:positionV>
                      <wp:extent cx="10160" cy="210820"/>
                      <wp:effectExtent l="53340" t="24130" r="50800" b="12700"/>
                      <wp:wrapNone/>
                      <wp:docPr id="26" name="Line 33"/>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210820"/>
                              </a:xfrm>
                              <a:prstGeom prst="line">
                                <a:avLst/>
                              </a:prstGeom>
                              <a:noFill/>
                              <a:ln w="3175">
                                <a:solidFill>
                                  <a:srgbClr val="000000"/>
                                </a:solidFill>
                                <a:prstDash val="dash"/>
                                <a:round/>
                                <a:tailEnd type="triangle" w="med" len="med"/>
                              </a:ln>
                            </wps:spPr>
                            <wps:bodyPr/>
                          </wps:wsp>
                        </a:graphicData>
                      </a:graphic>
                    </wp:anchor>
                  </w:drawing>
                </mc:Choice>
                <mc:Fallback>
                  <w:pict>
                    <v:line id="Line 33" o:spid="_x0000_s1026" o:spt="20" style="position:absolute;left:0pt;flip:x y;margin-left:150.45pt;margin-top:1.15pt;height:16.6pt;width:0.8pt;z-index:-251703296;mso-width-relative:page;mso-height-relative:page;" filled="f" stroked="t" coordsize="21600,21600" o:gfxdata="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usveNgAAAAI&#10;AQAADwAAAAAAAAABACAAAAAiAAAAZHJzL2Rvd25yZXYueG1sUEsBAhQAFAAAAAgAh07iQA7Iyj/j&#10;AQAAsAMAAA4AAAAAAAAAAQAgAAAAJwEAAGRycy9lMm9Eb2MueG1sUEsFBgAAAAAGAAYAWQEAAHwF&#10;AAAAAA==&#10;">
                      <v:fill on="f" focussize="0,0"/>
                      <v:stroke weight="0.25pt" color="#000000" joinstyle="round" dashstyle="dash" endarrow="block"/>
                      <v:imagedata o:title=""/>
                      <o:lock v:ext="edit" aspectratio="f"/>
                    </v:line>
                  </w:pict>
                </mc:Fallback>
              </mc:AlternateContent>
            </w:r>
            <w:r>
              <w:rPr>
                <w:sz w:val="24"/>
                <w:lang w:val="en-US"/>
              </w:rPr>
              <mc:AlternateContent>
                <mc:Choice Requires="wps">
                  <w:drawing>
                    <wp:anchor distT="0" distB="0" distL="114300" distR="114300" simplePos="0" relativeHeight="251612160" behindDoc="1" locked="0" layoutInCell="1" allowOverlap="1">
                      <wp:simplePos x="0" y="0"/>
                      <wp:positionH relativeFrom="column">
                        <wp:posOffset>1910715</wp:posOffset>
                      </wp:positionH>
                      <wp:positionV relativeFrom="paragraph">
                        <wp:posOffset>224155</wp:posOffset>
                      </wp:positionV>
                      <wp:extent cx="733425" cy="635"/>
                      <wp:effectExtent l="5715" t="5080" r="13335" b="13335"/>
                      <wp:wrapNone/>
                      <wp:docPr id="22" name="Line 34"/>
                      <wp:cNvGraphicFramePr/>
                      <a:graphic xmlns:a="http://schemas.openxmlformats.org/drawingml/2006/main">
                        <a:graphicData uri="http://schemas.microsoft.com/office/word/2010/wordprocessingShape">
                          <wps:wsp>
                            <wps:cNvCnPr>
                              <a:cxnSpLocks noChangeShapeType="1"/>
                            </wps:cNvCnPr>
                            <wps:spPr bwMode="auto">
                              <a:xfrm flipH="1">
                                <a:off x="0" y="0"/>
                                <a:ext cx="733425" cy="635"/>
                              </a:xfrm>
                              <a:prstGeom prst="line">
                                <a:avLst/>
                              </a:prstGeom>
                              <a:noFill/>
                              <a:ln w="3175">
                                <a:solidFill>
                                  <a:srgbClr val="000000"/>
                                </a:solidFill>
                                <a:prstDash val="dash"/>
                                <a:round/>
                              </a:ln>
                            </wps:spPr>
                            <wps:bodyPr/>
                          </wps:wsp>
                        </a:graphicData>
                      </a:graphic>
                    </wp:anchor>
                  </w:drawing>
                </mc:Choice>
                <mc:Fallback>
                  <w:pict>
                    <v:line id="Line 34" o:spid="_x0000_s1026" o:spt="20" style="position:absolute;left:0pt;flip:x;margin-left:150.45pt;margin-top:17.65pt;height:0.05pt;width:57.75pt;z-index:-251704320;mso-width-relative:page;mso-height-relative:page;" filled="f" stroked="t" coordsize="21600,21600" o:gfxdata="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kArUdgAAAAJAQAADwAAAAAAAAABACAAAAAiAAAAZHJzL2Rvd25y&#10;ZXYueG1sUEsBAhQAFAAAAAgAh07iQIve8mHFAQAAdgMAAA4AAAAAAAAAAQAgAAAAJwEAAGRycy9l&#10;Mm9Eb2MueG1sUEsFBgAAAAAGAAYAWQEAAF4FAAAAAA==&#10;">
                      <v:fill on="f" focussize="0,0"/>
                      <v:stroke weight="0.25pt" color="#000000" joinstyle="round" dashstyle="dash"/>
                      <v:imagedata o:title=""/>
                      <o:lock v:ext="edit" aspectratio="f"/>
                    </v:line>
                  </w:pict>
                </mc:Fallback>
              </mc:AlternateContent>
            </w:r>
          </w:p>
          <w:p>
            <w:pPr>
              <w:pStyle w:val="2"/>
              <w:rPr>
                <w:rFonts w:hAnsi="宋体"/>
                <w:b/>
                <w:bCs/>
                <w:kern w:val="0"/>
                <w:sz w:val="24"/>
                <w:szCs w:val="24"/>
              </w:rPr>
            </w:pPr>
            <w:r>
              <w:rPr>
                <w:sz w:val="24"/>
                <w:lang w:val="en-US"/>
              </w:rPr>
              <mc:AlternateContent>
                <mc:Choice Requires="wps">
                  <w:drawing>
                    <wp:anchor distT="0" distB="0" distL="114300" distR="114300" simplePos="0" relativeHeight="251701248" behindDoc="0" locked="0" layoutInCell="1" allowOverlap="1">
                      <wp:simplePos x="0" y="0"/>
                      <wp:positionH relativeFrom="column">
                        <wp:posOffset>1760855</wp:posOffset>
                      </wp:positionH>
                      <wp:positionV relativeFrom="paragraph">
                        <wp:posOffset>46990</wp:posOffset>
                      </wp:positionV>
                      <wp:extent cx="821055" cy="301625"/>
                      <wp:effectExtent l="0" t="0" r="0" b="3175"/>
                      <wp:wrapNone/>
                      <wp:docPr id="21"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821055" cy="301625"/>
                              </a:xfrm>
                              <a:prstGeom prst="rect">
                                <a:avLst/>
                              </a:prstGeom>
                              <a:noFill/>
                              <a:ln>
                                <a:noFill/>
                              </a:ln>
                            </wps:spPr>
                            <wps:txbx>
                              <w:txbxContent>
                                <w:p>
                                  <w:pPr>
                                    <w:rPr>
                                      <w:lang w:val="en-US"/>
                                    </w:rPr>
                                  </w:pPr>
                                  <w:r>
                                    <w:rPr>
                                      <w:rFonts w:hint="eastAsia" w:ascii="宋体" w:hAnsi="宋体" w:cs="宋体"/>
                                    </w:rPr>
                                    <w:t>损耗</w:t>
                                  </w:r>
                                  <w:r>
                                    <w:rPr>
                                      <w:rFonts w:hint="eastAsia" w:eastAsia="仿宋_GB2312"/>
                                      <w:lang w:val="en-US"/>
                                    </w:rPr>
                                    <w:t>18</w:t>
                                  </w:r>
                                </w:p>
                              </w:txbxContent>
                            </wps:txbx>
                            <wps:bodyPr rot="0" vert="horz" wrap="square" lIns="91440" tIns="45720" rIns="91440" bIns="45720" anchor="t" anchorCtr="0" upright="1">
                              <a:noAutofit/>
                            </wps:bodyPr>
                          </wps:wsp>
                        </a:graphicData>
                      </a:graphic>
                    </wp:anchor>
                  </w:drawing>
                </mc:Choice>
                <mc:Fallback>
                  <w:pict>
                    <v:shape id="文本框 216" o:spid="_x0000_s1026" o:spt="202" type="#_x0000_t202" style="position:absolute;left:0pt;margin-left:138.65pt;margin-top:3.7pt;height:23.75pt;width:64.65pt;z-index:251701248;mso-width-relative:page;mso-height-relative:page;" filled="f" stroked="f" coordsize="21600,21600" o:gfxdata="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BmPFDWAAAACAEAAA8AAAAAAAAAAQAgAAAAIgAAAGRycy9kb3ducmV2&#10;LnhtbFBLAQIUABQAAAAIAIdO4kADjsHe/gEAAMkDAAAOAAAAAAAAAAEAIAAAACUBAABkcnMvZTJv&#10;RG9jLnhtbFBLBQYAAAAABgAGAFkBAACVBQAAAAA=&#10;">
                      <v:fill on="f" focussize="0,0"/>
                      <v:stroke on="f"/>
                      <v:imagedata o:title=""/>
                      <o:lock v:ext="edit" aspectratio="f"/>
                      <v:textbox>
                        <w:txbxContent>
                          <w:p>
                            <w:pPr>
                              <w:rPr>
                                <w:lang w:val="en-US"/>
                              </w:rPr>
                            </w:pPr>
                            <w:r>
                              <w:rPr>
                                <w:rFonts w:hint="eastAsia" w:ascii="宋体" w:hAnsi="宋体" w:cs="宋体"/>
                              </w:rPr>
                              <w:t>损耗</w:t>
                            </w:r>
                            <w:r>
                              <w:rPr>
                                <w:rFonts w:hint="eastAsia" w:eastAsia="仿宋_GB2312"/>
                                <w:lang w:val="en-US"/>
                              </w:rPr>
                              <w:t>18</w:t>
                            </w:r>
                          </w:p>
                        </w:txbxContent>
                      </v:textbox>
                    </v:shape>
                  </w:pict>
                </mc:Fallback>
              </mc:AlternateContent>
            </w:r>
            <w:r>
              <w:rPr>
                <w:sz w:val="24"/>
                <w:lang w:val="en-US"/>
              </w:rPr>
              <mc:AlternateContent>
                <mc:Choice Requires="wps">
                  <w:drawing>
                    <wp:anchor distT="0" distB="0" distL="114300" distR="114300" simplePos="0" relativeHeight="251694080" behindDoc="0" locked="0" layoutInCell="1" allowOverlap="1">
                      <wp:simplePos x="0" y="0"/>
                      <wp:positionH relativeFrom="column">
                        <wp:posOffset>186690</wp:posOffset>
                      </wp:positionH>
                      <wp:positionV relativeFrom="paragraph">
                        <wp:posOffset>55880</wp:posOffset>
                      </wp:positionV>
                      <wp:extent cx="608965" cy="635"/>
                      <wp:effectExtent l="5715" t="55880" r="23495" b="57785"/>
                      <wp:wrapNone/>
                      <wp:docPr id="19" name="Line 36"/>
                      <wp:cNvGraphicFramePr/>
                      <a:graphic xmlns:a="http://schemas.openxmlformats.org/drawingml/2006/main">
                        <a:graphicData uri="http://schemas.microsoft.com/office/word/2010/wordprocessingShape">
                          <wps:wsp>
                            <wps:cNvCnPr>
                              <a:cxnSpLocks noChangeShapeType="1"/>
                            </wps:cNvCnPr>
                            <wps:spPr bwMode="auto">
                              <a:xfrm flipV="1">
                                <a:off x="0" y="0"/>
                                <a:ext cx="608965" cy="635"/>
                              </a:xfrm>
                              <a:prstGeom prst="line">
                                <a:avLst/>
                              </a:prstGeom>
                              <a:noFill/>
                              <a:ln w="3175">
                                <a:solidFill>
                                  <a:srgbClr val="000000"/>
                                </a:solidFill>
                                <a:round/>
                                <a:tailEnd type="triangle" w="med" len="med"/>
                              </a:ln>
                            </wps:spPr>
                            <wps:bodyPr/>
                          </wps:wsp>
                        </a:graphicData>
                      </a:graphic>
                    </wp:anchor>
                  </w:drawing>
                </mc:Choice>
                <mc:Fallback>
                  <w:pict>
                    <v:line id="Line 36" o:spid="_x0000_s1026" o:spt="20" style="position:absolute;left:0pt;flip:y;margin-left:14.7pt;margin-top:4.4pt;height:0.05pt;width:47.95pt;z-index:251694080;mso-width-relative:page;mso-height-relative:page;" filled="f" stroked="t" coordsize="21600,21600" o:gfxdata="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&#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cUm281AAAAAYBAAAPAAAAAAAAAAEAIAAAACIAAABk&#10;cnMvZG93bnJldi54bWxQSwECFAAUAAAACACHTuJAiHLz1tEBAACMAwAADgAAAAAAAAABACAAAAAj&#10;AQAAZHJzL2Uyb0RvYy54bWxQSwUGAAAAAAYABgBZAQAAZgUAAAAA&#10;">
                      <v:fill on="f" focussize="0,0"/>
                      <v:stroke weight="0.25pt" color="#000000" joinstyle="round" endarrow="block"/>
                      <v:imagedata o:title=""/>
                      <o:lock v:ext="edit" aspectratio="f"/>
                    </v:line>
                  </w:pict>
                </mc:Fallback>
              </mc:AlternateContent>
            </w:r>
            <w:r>
              <w:rPr>
                <w:sz w:val="24"/>
                <w:lang w:val="en-US"/>
              </w:rPr>
              <mc:AlternateContent>
                <mc:Choice Requires="wps">
                  <w:drawing>
                    <wp:anchor distT="0" distB="0" distL="114300" distR="114300" simplePos="0" relativeHeight="251702272" behindDoc="0" locked="0" layoutInCell="1" allowOverlap="1">
                      <wp:simplePos x="0" y="0"/>
                      <wp:positionH relativeFrom="column">
                        <wp:posOffset>1475740</wp:posOffset>
                      </wp:positionH>
                      <wp:positionV relativeFrom="paragraph">
                        <wp:posOffset>147320</wp:posOffset>
                      </wp:positionV>
                      <wp:extent cx="337185" cy="285750"/>
                      <wp:effectExtent l="8890" t="52070" r="73025" b="14605"/>
                      <wp:wrapNone/>
                      <wp:docPr id="18" name="任意多边形 213"/>
                      <wp:cNvGraphicFramePr/>
                      <a:graphic xmlns:a="http://schemas.openxmlformats.org/drawingml/2006/main">
                        <a:graphicData uri="http://schemas.microsoft.com/office/word/2010/wordprocessingShape">
                          <wps:wsp>
                            <wps:cNvSpPr/>
                            <wps:spPr bwMode="auto">
                              <a:xfrm>
                                <a:off x="0" y="0"/>
                                <a:ext cx="337185" cy="285750"/>
                              </a:xfrm>
                              <a:custGeom>
                                <a:avLst/>
                                <a:gdLst>
                                  <a:gd name="T0" fmla="*/ 0 w 525"/>
                                  <a:gd name="T1" fmla="*/ 390 h 410"/>
                                  <a:gd name="T2" fmla="*/ 195 w 525"/>
                                  <a:gd name="T3" fmla="*/ 120 h 410"/>
                                  <a:gd name="T4" fmla="*/ 270 w 525"/>
                                  <a:gd name="T5" fmla="*/ 390 h 410"/>
                                  <a:gd name="T6" fmla="*/ 525 w 525"/>
                                  <a:gd name="T7" fmla="*/ 0 h 410"/>
                                </a:gdLst>
                                <a:ahLst/>
                                <a:cxnLst>
                                  <a:cxn ang="0">
                                    <a:pos x="T0" y="T1"/>
                                  </a:cxn>
                                  <a:cxn ang="0">
                                    <a:pos x="T2" y="T3"/>
                                  </a:cxn>
                                  <a:cxn ang="0">
                                    <a:pos x="T4" y="T5"/>
                                  </a:cxn>
                                  <a:cxn ang="0">
                                    <a:pos x="T6" y="T7"/>
                                  </a:cxn>
                                </a:cxnLst>
                                <a:rect l="0" t="0" r="r" b="b"/>
                                <a:pathLst>
                                  <a:path w="525" h="410">
                                    <a:moveTo>
                                      <a:pt x="0" y="390"/>
                                    </a:moveTo>
                                    <a:cubicBezTo>
                                      <a:pt x="75" y="255"/>
                                      <a:pt x="150" y="120"/>
                                      <a:pt x="195" y="120"/>
                                    </a:cubicBezTo>
                                    <a:cubicBezTo>
                                      <a:pt x="240" y="120"/>
                                      <a:pt x="215" y="410"/>
                                      <a:pt x="270" y="390"/>
                                    </a:cubicBezTo>
                                    <a:cubicBezTo>
                                      <a:pt x="325" y="370"/>
                                      <a:pt x="483" y="65"/>
                                      <a:pt x="525" y="0"/>
                                    </a:cubicBezTo>
                                  </a:path>
                                </a:pathLst>
                              </a:custGeom>
                              <a:noFill/>
                              <a:ln w="12700">
                                <a:solidFill>
                                  <a:srgbClr val="000000"/>
                                </a:solidFill>
                                <a:round/>
                                <a:tailEnd type="arrow" w="med" len="med"/>
                              </a:ln>
                            </wps:spPr>
                            <wps:bodyPr rot="0" vert="horz" wrap="square" lIns="91440" tIns="45720" rIns="91440" bIns="45720" anchor="t" anchorCtr="0" upright="1">
                              <a:noAutofit/>
                            </wps:bodyPr>
                          </wps:wsp>
                        </a:graphicData>
                      </a:graphic>
                    </wp:anchor>
                  </w:drawing>
                </mc:Choice>
                <mc:Fallback>
                  <w:pict>
                    <v:shape id="任意多边形 213" o:spid="_x0000_s1026" o:spt="100" style="position:absolute;left:0pt;margin-left:116.2pt;margin-top:11.6pt;height:22.5pt;width:26.55pt;z-index:251702272;mso-width-relative:page;mso-height-relative:page;" filled="f" stroked="t" coordsize="525,410" o:gfxdata="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FbEqpbZ&#10;AAAACQEAAA8AAAAAAAAAAQAgAAAAIgAAAGRycy9kb3ducmV2LnhtbFBLAQIUABQAAAAIAIdO4kAr&#10;JFatPAMAAJUHAAAOAAAAAAAAAAEAIAAAACgBAABkcnMvZTJvRG9jLnhtbFBLBQYAAAAABgAGAFkB&#10;AADWBgAAAAA=&#10;" path="m0,390c75,255,150,120,195,120c240,120,215,410,270,390c325,370,483,65,525,0e">
                      <v:path o:connectlocs="0,271810;125240,83634;173409,271810;337185,0" o:connectangles="0,0,0,0"/>
                      <v:fill on="f" focussize="0,0"/>
                      <v:stroke weight="1pt" color="#000000" joinstyle="round" endarrow="open"/>
                      <v:imagedata o:title=""/>
                      <o:lock v:ext="edit" aspectratio="f"/>
                    </v:shape>
                  </w:pict>
                </mc:Fallback>
              </mc:AlternateContent>
            </w:r>
          </w:p>
          <w:p>
            <w:pPr>
              <w:pStyle w:val="2"/>
              <w:rPr>
                <w:rFonts w:hAnsi="宋体"/>
                <w:kern w:val="0"/>
                <w:sz w:val="24"/>
                <w:szCs w:val="24"/>
              </w:rPr>
            </w:pPr>
            <w:r>
              <w:rPr>
                <w:lang w:val="en-US"/>
              </w:rPr>
              <mc:AlternateContent>
                <mc:Choice Requires="wps">
                  <w:drawing>
                    <wp:anchor distT="0" distB="0" distL="114300" distR="114300" simplePos="0" relativeHeight="251609088" behindDoc="1" locked="0" layoutInCell="1" allowOverlap="1">
                      <wp:simplePos x="0" y="0"/>
                      <wp:positionH relativeFrom="column">
                        <wp:posOffset>3427095</wp:posOffset>
                      </wp:positionH>
                      <wp:positionV relativeFrom="paragraph">
                        <wp:posOffset>106680</wp:posOffset>
                      </wp:positionV>
                      <wp:extent cx="497205" cy="252730"/>
                      <wp:effectExtent l="0" t="1905" r="0" b="2540"/>
                      <wp:wrapThrough wrapText="bothSides">
                        <wp:wrapPolygon>
                          <wp:start x="21600" y="0"/>
                          <wp:lineTo x="0" y="0"/>
                          <wp:lineTo x="0" y="21600"/>
                          <wp:lineTo x="21600" y="21600"/>
                          <wp:lineTo x="0" y="21600"/>
                          <wp:lineTo x="21600" y="21600"/>
                          <wp:lineTo x="21600" y="0"/>
                          <wp:lineTo x="0" y="0"/>
                          <wp:lineTo x="21600" y="0"/>
                        </wp:wrapPolygon>
                      </wp:wrapThrough>
                      <wp:docPr id="17" name="Text Box 38"/>
                      <wp:cNvGraphicFramePr/>
                      <a:graphic xmlns:a="http://schemas.openxmlformats.org/drawingml/2006/main">
                        <a:graphicData uri="http://schemas.microsoft.com/office/word/2010/wordprocessingShape">
                          <wps:wsp>
                            <wps:cNvSpPr txBox="1">
                              <a:spLocks noChangeArrowheads="1"/>
                            </wps:cNvSpPr>
                            <wps:spPr bwMode="auto">
                              <a:xfrm>
                                <a:off x="0" y="0"/>
                                <a:ext cx="497205" cy="252730"/>
                              </a:xfrm>
                              <a:prstGeom prst="rect">
                                <a:avLst/>
                              </a:prstGeom>
                              <a:noFill/>
                              <a:ln>
                                <a:noFill/>
                              </a:ln>
                            </wps:spPr>
                            <wps:txbx>
                              <w:txbxContent>
                                <w:p>
                                  <w:pPr>
                                    <w:jc w:val="center"/>
                                    <w:rPr>
                                      <w:rFonts w:eastAsia="仿宋_GB2312"/>
                                      <w:lang w:val="en-US"/>
                                    </w:rPr>
                                  </w:pPr>
                                  <w:r>
                                    <w:rPr>
                                      <w:rFonts w:hint="eastAsia" w:eastAsia="仿宋_GB2312"/>
                                      <w:lang w:val="en-US"/>
                                    </w:rPr>
                                    <w:t>72</w:t>
                                  </w:r>
                                </w:p>
                              </w:txbxContent>
                            </wps:txbx>
                            <wps:bodyPr rot="0" vert="horz" wrap="square" lIns="91440" tIns="45720" rIns="91440" bIns="45720" anchor="t" anchorCtr="0" upright="1">
                              <a:noAutofit/>
                            </wps:bodyPr>
                          </wps:wsp>
                        </a:graphicData>
                      </a:graphic>
                    </wp:anchor>
                  </w:drawing>
                </mc:Choice>
                <mc:Fallback>
                  <w:pict>
                    <v:shape id="Text Box 38" o:spid="_x0000_s1026" o:spt="202" type="#_x0000_t202" style="position:absolute;left:0pt;margin-left:269.85pt;margin-top:8.4pt;height:19.9pt;width:39.15pt;mso-wrap-distance-left:9pt;mso-wrap-distance-right:9pt;z-index:-251707392;mso-width-relative:page;mso-height-relative:page;" filled="f" stroked="f" coordsize="21600,21600" wrapcoords="21600 0 0 0 0 21600 21600 21600 0 21600 21600 21600 21600 0 0 0 21600 0" o:gfxdata="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md1k1gAAAAkBAAAPAAAAAAAAAAEAIAAAACIAAABkcnMvZG93bnJldi54bWxQSwECFAAUAAAACACH&#10;TuJA9Yk50O0BAADHAwAADgAAAAAAAAABACAAAAAlAQAAZHJzL2Uyb0RvYy54bWxQSwUGAAAAAAYA&#10;BgBZAQAAhAUAAAAA&#10;">
                      <v:fill on="f" focussize="0,0"/>
                      <v:stroke on="f"/>
                      <v:imagedata o:title=""/>
                      <o:lock v:ext="edit" aspectratio="f"/>
                      <v:textbox>
                        <w:txbxContent>
                          <w:p>
                            <w:pPr>
                              <w:jc w:val="center"/>
                              <w:rPr>
                                <w:rFonts w:eastAsia="仿宋_GB2312"/>
                                <w:lang w:val="en-US"/>
                              </w:rPr>
                            </w:pPr>
                            <w:r>
                              <w:rPr>
                                <w:rFonts w:hint="eastAsia" w:eastAsia="仿宋_GB2312"/>
                                <w:lang w:val="en-US"/>
                              </w:rPr>
                              <w:t>72</w:t>
                            </w:r>
                          </w:p>
                        </w:txbxContent>
                      </v:textbox>
                      <w10:wrap type="through"/>
                    </v:shape>
                  </w:pict>
                </mc:Fallback>
              </mc:AlternateContent>
            </w:r>
            <w:r>
              <w:rPr>
                <w:lang w:val="en-US"/>
              </w:rPr>
              <mc:AlternateContent>
                <mc:Choice Requires="wps">
                  <w:drawing>
                    <wp:anchor distT="0" distB="0" distL="114300" distR="114300" simplePos="0" relativeHeight="251699200" behindDoc="0" locked="0" layoutInCell="1" allowOverlap="1">
                      <wp:simplePos x="0" y="0"/>
                      <wp:positionH relativeFrom="column">
                        <wp:posOffset>2103120</wp:posOffset>
                      </wp:positionH>
                      <wp:positionV relativeFrom="paragraph">
                        <wp:posOffset>106680</wp:posOffset>
                      </wp:positionV>
                      <wp:extent cx="497205" cy="252730"/>
                      <wp:effectExtent l="0" t="1905" r="0" b="2540"/>
                      <wp:wrapThrough wrapText="bothSides">
                        <wp:wrapPolygon>
                          <wp:start x="21600" y="0"/>
                          <wp:lineTo x="0" y="0"/>
                          <wp:lineTo x="0" y="21600"/>
                          <wp:lineTo x="21600" y="21600"/>
                          <wp:lineTo x="0" y="21600"/>
                          <wp:lineTo x="21600" y="21600"/>
                          <wp:lineTo x="21600" y="0"/>
                          <wp:lineTo x="0" y="0"/>
                          <wp:lineTo x="21600" y="0"/>
                        </wp:wrapPolygon>
                      </wp:wrapThrough>
                      <wp:docPr id="16" name="Text Box 39"/>
                      <wp:cNvGraphicFramePr/>
                      <a:graphic xmlns:a="http://schemas.openxmlformats.org/drawingml/2006/main">
                        <a:graphicData uri="http://schemas.microsoft.com/office/word/2010/wordprocessingShape">
                          <wps:wsp>
                            <wps:cNvSpPr txBox="1">
                              <a:spLocks noChangeArrowheads="1"/>
                            </wps:cNvSpPr>
                            <wps:spPr bwMode="auto">
                              <a:xfrm>
                                <a:off x="0" y="0"/>
                                <a:ext cx="497205" cy="252730"/>
                              </a:xfrm>
                              <a:prstGeom prst="rect">
                                <a:avLst/>
                              </a:prstGeom>
                              <a:noFill/>
                              <a:ln>
                                <a:noFill/>
                              </a:ln>
                            </wps:spPr>
                            <wps:txbx>
                              <w:txbxContent>
                                <w:p>
                                  <w:pPr>
                                    <w:jc w:val="center"/>
                                    <w:rPr>
                                      <w:rFonts w:eastAsia="仿宋_GB2312"/>
                                      <w:lang w:val="en-US"/>
                                    </w:rPr>
                                  </w:pPr>
                                  <w:r>
                                    <w:rPr>
                                      <w:rFonts w:hint="eastAsia" w:eastAsia="仿宋_GB2312"/>
                                      <w:lang w:val="en-US"/>
                                    </w:rPr>
                                    <w:t>72</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165.6pt;margin-top:8.4pt;height:19.9pt;width:39.15pt;mso-wrap-distance-left:9pt;mso-wrap-distance-right:9pt;z-index:251699200;mso-width-relative:page;mso-height-relative:page;" filled="f" stroked="f" coordsize="21600,21600" wrapcoords="21600 0 0 0 0 21600 21600 21600 0 21600 21600 21600 21600 0 0 0 21600 0" o:gfxdata="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L5qQ9cAAAAJAQAADwAAAAAAAAABACAAAAAiAAAAZHJzL2Rvd25yZXYueG1sUEsBAhQAFAAAAAgA&#10;h07iQFvpgJ/tAQAAxwMAAA4AAAAAAAAAAQAgAAAAJgEAAGRycy9lMm9Eb2MueG1sUEsFBgAAAAAG&#10;AAYAWQEAAIUFAAAAAA==&#10;">
                      <v:fill on="f" focussize="0,0"/>
                      <v:stroke on="f"/>
                      <v:imagedata o:title=""/>
                      <o:lock v:ext="edit" aspectratio="f"/>
                      <v:textbox>
                        <w:txbxContent>
                          <w:p>
                            <w:pPr>
                              <w:jc w:val="center"/>
                              <w:rPr>
                                <w:rFonts w:eastAsia="仿宋_GB2312"/>
                                <w:lang w:val="en-US"/>
                              </w:rPr>
                            </w:pPr>
                            <w:r>
                              <w:rPr>
                                <w:rFonts w:hint="eastAsia" w:eastAsia="仿宋_GB2312"/>
                                <w:lang w:val="en-US"/>
                              </w:rPr>
                              <w:t>72</w:t>
                            </w:r>
                          </w:p>
                        </w:txbxContent>
                      </v:textbox>
                      <w10:wrap type="through"/>
                    </v:shape>
                  </w:pict>
                </mc:Fallback>
              </mc:AlternateContent>
            </w:r>
            <w:r>
              <w:rPr>
                <w:sz w:val="24"/>
                <w:lang w:val="en-US"/>
              </w:rPr>
              <mc:AlternateContent>
                <mc:Choice Requires="wps">
                  <w:drawing>
                    <wp:anchor distT="0" distB="0" distL="114300" distR="114300" simplePos="0" relativeHeight="251707392" behindDoc="0" locked="0" layoutInCell="1" allowOverlap="1">
                      <wp:simplePos x="0" y="0"/>
                      <wp:positionH relativeFrom="column">
                        <wp:posOffset>3990340</wp:posOffset>
                      </wp:positionH>
                      <wp:positionV relativeFrom="paragraph">
                        <wp:posOffset>192405</wp:posOffset>
                      </wp:positionV>
                      <wp:extent cx="1221105" cy="254000"/>
                      <wp:effectExtent l="0" t="1905" r="0" b="1270"/>
                      <wp:wrapNone/>
                      <wp:docPr id="15"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221105" cy="254000"/>
                              </a:xfrm>
                              <a:prstGeom prst="rect">
                                <a:avLst/>
                              </a:prstGeom>
                              <a:noFill/>
                              <a:ln>
                                <a:noFill/>
                              </a:ln>
                            </wps:spPr>
                            <wps:txbx>
                              <w:txbxContent>
                                <w:p>
                                  <w:pPr>
                                    <w:rPr>
                                      <w:lang w:val="en-US"/>
                                    </w:rPr>
                                  </w:pPr>
                                  <w:r>
                                    <w:rPr>
                                      <w:rFonts w:hint="eastAsia"/>
                                      <w:lang w:val="en-US"/>
                                    </w:rPr>
                                    <w:t>华骐污水处理厂</w:t>
                                  </w:r>
                                </w:p>
                              </w:txbxContent>
                            </wps:txbx>
                            <wps:bodyPr rot="0" vert="horz" wrap="square" lIns="91440" tIns="45720" rIns="91440" bIns="45720" anchor="t" anchorCtr="0" upright="1">
                              <a:noAutofit/>
                            </wps:bodyPr>
                          </wps:wsp>
                        </a:graphicData>
                      </a:graphic>
                    </wp:anchor>
                  </w:drawing>
                </mc:Choice>
                <mc:Fallback>
                  <w:pict>
                    <v:shape id="Text Box 40" o:spid="_x0000_s1026" o:spt="202" type="#_x0000_t202" style="position:absolute;left:0pt;margin-left:314.2pt;margin-top:15.15pt;height:20pt;width:96.15pt;z-index:251707392;mso-width-relative:page;mso-height-relative:page;" filled="f" stroked="f" coordsize="21600,21600" o:gfxdata="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m2&#10;uIjXAAAACQEAAA8AAAAAAAAAAQAgAAAAIgAAAGRycy9kb3ducmV2LnhtbFBLAQIUABQAAAAIAIdO&#10;4kBeVYK/6wEAAMgDAAAOAAAAAAAAAAEAIAAAACYBAABkcnMvZTJvRG9jLnhtbFBLBQYAAAAABgAG&#10;AFkBAACDBQAAAAA=&#10;">
                      <v:fill on="f" focussize="0,0"/>
                      <v:stroke on="f"/>
                      <v:imagedata o:title=""/>
                      <o:lock v:ext="edit" aspectratio="f"/>
                      <v:textbox>
                        <w:txbxContent>
                          <w:p>
                            <w:pPr>
                              <w:rPr>
                                <w:lang w:val="en-US"/>
                              </w:rPr>
                            </w:pPr>
                            <w:r>
                              <w:rPr>
                                <w:rFonts w:hint="eastAsia"/>
                                <w:lang w:val="en-US"/>
                              </w:rPr>
                              <w:t>华骐污水处理厂</w:t>
                            </w:r>
                          </w:p>
                        </w:txbxContent>
                      </v:textbox>
                    </v:shape>
                  </w:pict>
                </mc:Fallback>
              </mc:AlternateContent>
            </w:r>
            <w:r>
              <w:rPr>
                <w:lang w:val="en-US"/>
              </w:rPr>
              <mc:AlternateContent>
                <mc:Choice Requires="wps">
                  <w:drawing>
                    <wp:anchor distT="0" distB="0" distL="114300" distR="114300" simplePos="0" relativeHeight="251705344" behindDoc="0" locked="0" layoutInCell="1" allowOverlap="1">
                      <wp:simplePos x="0" y="0"/>
                      <wp:positionH relativeFrom="column">
                        <wp:posOffset>2634615</wp:posOffset>
                      </wp:positionH>
                      <wp:positionV relativeFrom="paragraph">
                        <wp:posOffset>178435</wp:posOffset>
                      </wp:positionV>
                      <wp:extent cx="781050" cy="285750"/>
                      <wp:effectExtent l="5715" t="6985" r="13335" b="12065"/>
                      <wp:wrapNone/>
                      <wp:docPr id="14" name="Rectangle 41"/>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3175">
                                <a:solidFill>
                                  <a:srgbClr val="000000"/>
                                </a:solidFill>
                                <a:miter lim="800000"/>
                              </a:ln>
                            </wps:spPr>
                            <wps:txbx>
                              <w:txbxContent>
                                <w:p>
                                  <w:pPr>
                                    <w:jc w:val="center"/>
                                    <w:rPr>
                                      <w:rFonts w:ascii="宋体" w:hAnsi="宋体" w:cs="宋体"/>
                                    </w:rPr>
                                  </w:pPr>
                                  <w:r>
                                    <w:rPr>
                                      <w:rFonts w:hint="eastAsia" w:ascii="宋体" w:hAnsi="宋体" w:cs="宋体"/>
                                    </w:rPr>
                                    <w:t>化粪池</w:t>
                                  </w:r>
                                </w:p>
                                <w:p/>
                              </w:txbxContent>
                            </wps:txbx>
                            <wps:bodyPr rot="0" vert="horz" wrap="square" lIns="91440" tIns="45720" rIns="91440" bIns="45720" anchor="t" anchorCtr="0" upright="1">
                              <a:noAutofit/>
                            </wps:bodyPr>
                          </wps:wsp>
                        </a:graphicData>
                      </a:graphic>
                    </wp:anchor>
                  </w:drawing>
                </mc:Choice>
                <mc:Fallback>
                  <w:pict>
                    <v:rect id="Rectangle 41" o:spid="_x0000_s1026" o:spt="1" style="position:absolute;left:0pt;margin-left:207.45pt;margin-top:14.05pt;height:22.5pt;width:61.5pt;z-index:251705344;mso-width-relative:page;mso-height-relative:page;" fillcolor="#FFFFFF" filled="t" stroked="t" coordsize="21600,21600" o:gfxdata="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NdA4dYAAAAJAQAADwAAAAAAAAABACAA&#10;AAAiAAAAZHJzL2Rvd25yZXYueG1sUEsBAhQAFAAAAAgAh07iQD3DEGgPAgAAMAQAAA4AAAAAAAAA&#10;AQAgAAAAJQEAAGRycy9lMm9Eb2MueG1sUEsFBgAAAAAGAAYAWQEAAKYFAAAAAA==&#10;">
                      <v:fill on="t" focussize="0,0"/>
                      <v:stroke weight="0.25pt" color="#000000" miterlimit="8" joinstyle="miter"/>
                      <v:imagedata o:title=""/>
                      <o:lock v:ext="edit" aspectratio="f"/>
                      <v:textbox>
                        <w:txbxContent>
                          <w:p>
                            <w:pPr>
                              <w:jc w:val="center"/>
                              <w:rPr>
                                <w:rFonts w:ascii="宋体" w:hAnsi="宋体" w:cs="宋体"/>
                              </w:rPr>
                            </w:pPr>
                            <w:r>
                              <w:rPr>
                                <w:rFonts w:hint="eastAsia" w:ascii="宋体" w:hAnsi="宋体" w:cs="宋体"/>
                              </w:rPr>
                              <w:t>化粪池</w:t>
                            </w:r>
                          </w:p>
                          <w:p/>
                        </w:txbxContent>
                      </v:textbox>
                    </v:rect>
                  </w:pict>
                </mc:Fallback>
              </mc:AlternateContent>
            </w:r>
            <w:r>
              <w:rPr>
                <w:lang w:val="en-US"/>
              </w:rPr>
              <mc:AlternateContent>
                <mc:Choice Requires="wps">
                  <w:drawing>
                    <wp:anchor distT="0" distB="0" distL="114300" distR="114300" simplePos="0" relativeHeight="251700224" behindDoc="0" locked="0" layoutInCell="1" allowOverlap="1">
                      <wp:simplePos x="0" y="0"/>
                      <wp:positionH relativeFrom="column">
                        <wp:posOffset>1272540</wp:posOffset>
                      </wp:positionH>
                      <wp:positionV relativeFrom="paragraph">
                        <wp:posOffset>178435</wp:posOffset>
                      </wp:positionV>
                      <wp:extent cx="781050" cy="285750"/>
                      <wp:effectExtent l="5715" t="6985" r="13335" b="12065"/>
                      <wp:wrapNone/>
                      <wp:docPr id="13" name="Rectangle 42"/>
                      <wp:cNvGraphicFramePr/>
                      <a:graphic xmlns:a="http://schemas.openxmlformats.org/drawingml/2006/main">
                        <a:graphicData uri="http://schemas.microsoft.com/office/word/2010/wordprocessingShape">
                          <wps:wsp>
                            <wps:cNvSpPr>
                              <a:spLocks noChangeArrowheads="1"/>
                            </wps:cNvSpPr>
                            <wps:spPr bwMode="auto">
                              <a:xfrm>
                                <a:off x="0" y="0"/>
                                <a:ext cx="781050" cy="285750"/>
                              </a:xfrm>
                              <a:prstGeom prst="rect">
                                <a:avLst/>
                              </a:prstGeom>
                              <a:solidFill>
                                <a:srgbClr val="FFFFFF"/>
                              </a:solidFill>
                              <a:ln w="3175">
                                <a:solidFill>
                                  <a:srgbClr val="000000"/>
                                </a:solidFill>
                                <a:miter lim="800000"/>
                              </a:ln>
                            </wps:spPr>
                            <wps:txbx>
                              <w:txbxContent>
                                <w:p>
                                  <w:r>
                                    <w:rPr>
                                      <w:rFonts w:hint="eastAsia"/>
                                    </w:rPr>
                                    <w:t>生活污水</w:t>
                                  </w:r>
                                </w:p>
                              </w:txbxContent>
                            </wps:txbx>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100.2pt;margin-top:14.05pt;height:22.5pt;width:61.5pt;z-index:251700224;mso-width-relative:page;mso-height-relative:page;" fillcolor="#FFFFFF" filled="t" stroked="t" coordsize="21600,21600" o:gfxdata="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gdA+NUAAAAJAQAADwAAAAAAAAABACAA&#10;AAAiAAAAZHJzL2Rvd25yZXYueG1sUEsBAhQAFAAAAAgAh07iQO7D+6oQAgAAMAQAAA4AAAAAAAAA&#10;AQAgAAAAJAEAAGRycy9lMm9Eb2MueG1sUEsFBgAAAAAGAAYAWQEAAKYFAAAAAA==&#10;">
                      <v:fill on="t" focussize="0,0"/>
                      <v:stroke weight="0.25pt" color="#000000" miterlimit="8" joinstyle="miter"/>
                      <v:imagedata o:title=""/>
                      <o:lock v:ext="edit" aspectratio="f"/>
                      <v:textbox>
                        <w:txbxContent>
                          <w:p>
                            <w:r>
                              <w:rPr>
                                <w:rFonts w:hint="eastAsia"/>
                              </w:rPr>
                              <w:t>生活污水</w:t>
                            </w:r>
                          </w:p>
                        </w:txbxContent>
                      </v:textbox>
                    </v:rect>
                  </w:pict>
                </mc:Fallback>
              </mc:AlternateContent>
            </w:r>
            <w:r>
              <w:rPr>
                <w:lang w:val="en-US"/>
              </w:rPr>
              <mc:AlternateContent>
                <mc:Choice Requires="wps">
                  <w:drawing>
                    <wp:anchor distT="0" distB="0" distL="114300" distR="114300" simplePos="0" relativeHeight="251615232" behindDoc="0" locked="0" layoutInCell="1" allowOverlap="1">
                      <wp:simplePos x="0" y="0"/>
                      <wp:positionH relativeFrom="column">
                        <wp:posOffset>731520</wp:posOffset>
                      </wp:positionH>
                      <wp:positionV relativeFrom="paragraph">
                        <wp:posOffset>68580</wp:posOffset>
                      </wp:positionV>
                      <wp:extent cx="610870" cy="262255"/>
                      <wp:effectExtent l="0" t="1905" r="635" b="2540"/>
                      <wp:wrapThrough wrapText="bothSides">
                        <wp:wrapPolygon>
                          <wp:start x="21600" y="0"/>
                          <wp:lineTo x="0" y="0"/>
                          <wp:lineTo x="0" y="21600"/>
                          <wp:lineTo x="21600" y="21600"/>
                          <wp:lineTo x="0" y="21600"/>
                          <wp:lineTo x="21600" y="21600"/>
                          <wp:lineTo x="21600" y="0"/>
                          <wp:lineTo x="0" y="0"/>
                          <wp:lineTo x="21600" y="0"/>
                        </wp:wrapPolygon>
                      </wp:wrapThrough>
                      <wp:docPr id="12" name="Text Box 43"/>
                      <wp:cNvGraphicFramePr/>
                      <a:graphic xmlns:a="http://schemas.openxmlformats.org/drawingml/2006/main">
                        <a:graphicData uri="http://schemas.microsoft.com/office/word/2010/wordprocessingShape">
                          <wps:wsp>
                            <wps:cNvSpPr txBox="1">
                              <a:spLocks noChangeArrowheads="1"/>
                            </wps:cNvSpPr>
                            <wps:spPr bwMode="auto">
                              <a:xfrm>
                                <a:off x="0" y="0"/>
                                <a:ext cx="610870" cy="262255"/>
                              </a:xfrm>
                              <a:prstGeom prst="rect">
                                <a:avLst/>
                              </a:prstGeom>
                              <a:noFill/>
                              <a:ln>
                                <a:noFill/>
                              </a:ln>
                            </wps:spPr>
                            <wps:txbx>
                              <w:txbxContent>
                                <w:p>
                                  <w:pPr>
                                    <w:jc w:val="center"/>
                                    <w:rPr>
                                      <w:rFonts w:eastAsia="仿宋_GB2312"/>
                                      <w:lang w:val="en-US"/>
                                    </w:rPr>
                                  </w:pPr>
                                  <w:r>
                                    <w:rPr>
                                      <w:rFonts w:hint="eastAsia" w:eastAsia="仿宋_GB2312"/>
                                      <w:lang w:val="en-US"/>
                                    </w:rPr>
                                    <w:t>90</w:t>
                                  </w:r>
                                </w:p>
                              </w:txbxContent>
                            </wps:txbx>
                            <wps:bodyPr rot="0" vert="horz" wrap="square" lIns="91440" tIns="45720" rIns="91440" bIns="45720" anchor="t" anchorCtr="0" upright="1">
                              <a:noAutofit/>
                            </wps:bodyPr>
                          </wps:wsp>
                        </a:graphicData>
                      </a:graphic>
                    </wp:anchor>
                  </w:drawing>
                </mc:Choice>
                <mc:Fallback>
                  <w:pict>
                    <v:shape id="Text Box 43" o:spid="_x0000_s1026" o:spt="202" type="#_x0000_t202" style="position:absolute;left:0pt;margin-left:57.6pt;margin-top:5.4pt;height:20.65pt;width:48.1pt;mso-wrap-distance-left:9pt;mso-wrap-distance-right:9pt;z-index:251615232;mso-width-relative:page;mso-height-relative:page;" filled="f" stroked="f" coordsize="21600,21600" wrapcoords="21600 0 0 0 0 21600 21600 21600 0 21600 21600 21600 21600 0 0 0 21600 0" o:gfxdata="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Eq3&#10;tNUAAAAJAQAADwAAAAAAAAABACAAAAAiAAAAZHJzL2Rvd25yZXYueG1sUEsBAhQAFAAAAAgAh07i&#10;QKJ9T9nsAQAAxwMAAA4AAAAAAAAAAQAgAAAAJAEAAGRycy9lMm9Eb2MueG1sUEsFBgAAAAAGAAYA&#10;WQEAAIIFAAAAAA==&#10;">
                      <v:fill on="f" focussize="0,0"/>
                      <v:stroke on="f"/>
                      <v:imagedata o:title=""/>
                      <o:lock v:ext="edit" aspectratio="f"/>
                      <v:textbox>
                        <w:txbxContent>
                          <w:p>
                            <w:pPr>
                              <w:jc w:val="center"/>
                              <w:rPr>
                                <w:rFonts w:eastAsia="仿宋_GB2312"/>
                                <w:lang w:val="en-US"/>
                              </w:rPr>
                            </w:pPr>
                            <w:r>
                              <w:rPr>
                                <w:rFonts w:hint="eastAsia" w:eastAsia="仿宋_GB2312"/>
                                <w:lang w:val="en-US"/>
                              </w:rPr>
                              <w:t>90</w:t>
                            </w:r>
                          </w:p>
                        </w:txbxContent>
                      </v:textbox>
                      <w10:wrap type="through"/>
                    </v:shape>
                  </w:pict>
                </mc:Fallback>
              </mc:AlternateContent>
            </w:r>
          </w:p>
          <w:p>
            <w:pPr>
              <w:autoSpaceDE w:val="0"/>
              <w:autoSpaceDN w:val="0"/>
              <w:adjustRightInd w:val="0"/>
              <w:spacing w:line="360" w:lineRule="auto"/>
              <w:ind w:firstLine="360" w:firstLineChars="150"/>
              <w:jc w:val="left"/>
              <w:rPr>
                <w:rFonts w:hAnsi="宋体"/>
                <w:kern w:val="0"/>
                <w:sz w:val="24"/>
                <w:szCs w:val="24"/>
              </w:rPr>
            </w:pPr>
            <w:r>
              <w:rPr>
                <w:sz w:val="24"/>
                <w:lang w:val="en-US"/>
              </w:rPr>
              <mc:AlternateContent>
                <mc:Choice Requires="wps">
                  <w:drawing>
                    <wp:anchor distT="0" distB="0" distL="114300" distR="114300" simplePos="0" relativeHeight="251706368" behindDoc="0" locked="0" layoutInCell="1" allowOverlap="1">
                      <wp:simplePos x="0" y="0"/>
                      <wp:positionH relativeFrom="column">
                        <wp:posOffset>3424555</wp:posOffset>
                      </wp:positionH>
                      <wp:positionV relativeFrom="paragraph">
                        <wp:posOffset>57785</wp:posOffset>
                      </wp:positionV>
                      <wp:extent cx="561340" cy="8890"/>
                      <wp:effectExtent l="5080" t="57785" r="24130" b="47625"/>
                      <wp:wrapNone/>
                      <wp:docPr id="9" name="Line 44"/>
                      <wp:cNvGraphicFramePr/>
                      <a:graphic xmlns:a="http://schemas.openxmlformats.org/drawingml/2006/main">
                        <a:graphicData uri="http://schemas.microsoft.com/office/word/2010/wordprocessingShape">
                          <wps:wsp>
                            <wps:cNvCnPr>
                              <a:cxnSpLocks noChangeShapeType="1"/>
                            </wps:cNvCnPr>
                            <wps:spPr bwMode="auto">
                              <a:xfrm flipV="1">
                                <a:off x="0" y="0"/>
                                <a:ext cx="561340" cy="8890"/>
                              </a:xfrm>
                              <a:prstGeom prst="line">
                                <a:avLst/>
                              </a:prstGeom>
                              <a:noFill/>
                              <a:ln w="3175">
                                <a:solidFill>
                                  <a:srgbClr val="000000"/>
                                </a:solidFill>
                                <a:round/>
                                <a:tailEnd type="triangle" w="med" len="med"/>
                              </a:ln>
                            </wps:spPr>
                            <wps:bodyPr/>
                          </wps:wsp>
                        </a:graphicData>
                      </a:graphic>
                    </wp:anchor>
                  </w:drawing>
                </mc:Choice>
                <mc:Fallback>
                  <w:pict>
                    <v:line id="Line 44" o:spid="_x0000_s1026" o:spt="20" style="position:absolute;left:0pt;flip:y;margin-left:269.65pt;margin-top:4.55pt;height:0.7pt;width:44.2pt;z-index:251706368;mso-width-relative:page;mso-height-relative:page;" filled="f" stroked="t" coordsize="21600,21600" o:gfxdata="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yjjAnXAAAACAEAAA8AAAAAAAAAAQAgAAAA&#10;IgAAAGRycy9kb3ducmV2LnhtbFBLAQIUABQAAAAIAIdO4kAu1hyc0wEAAIwDAAAOAAAAAAAAAAEA&#10;IAAAACYBAABkcnMvZTJvRG9jLnhtbFBLBQYAAAAABgAGAFkBAABrBQAAAAA=&#10;">
                      <v:fill on="f" focussize="0,0"/>
                      <v:stroke weight="0.25pt" color="#000000" joinstyle="round" endarrow="block"/>
                      <v:imagedata o:title=""/>
                      <o:lock v:ext="edit" aspectratio="f"/>
                    </v:line>
                  </w:pict>
                </mc:Fallback>
              </mc:AlternateContent>
            </w:r>
            <w:r>
              <w:rPr>
                <w:sz w:val="24"/>
                <w:lang w:val="en-US"/>
              </w:rPr>
              <mc:AlternateContent>
                <mc:Choice Requires="wps">
                  <w:drawing>
                    <wp:anchor distT="0" distB="0" distL="114300" distR="114300" simplePos="0" relativeHeight="251704320" behindDoc="0" locked="0" layoutInCell="1" allowOverlap="1">
                      <wp:simplePos x="0" y="0"/>
                      <wp:positionH relativeFrom="column">
                        <wp:posOffset>2062480</wp:posOffset>
                      </wp:positionH>
                      <wp:positionV relativeFrom="paragraph">
                        <wp:posOffset>48260</wp:posOffset>
                      </wp:positionV>
                      <wp:extent cx="561340" cy="8890"/>
                      <wp:effectExtent l="5080" t="57785" r="24130" b="47625"/>
                      <wp:wrapNone/>
                      <wp:docPr id="8" name="Line 45"/>
                      <wp:cNvGraphicFramePr/>
                      <a:graphic xmlns:a="http://schemas.openxmlformats.org/drawingml/2006/main">
                        <a:graphicData uri="http://schemas.microsoft.com/office/word/2010/wordprocessingShape">
                          <wps:wsp>
                            <wps:cNvCnPr>
                              <a:cxnSpLocks noChangeShapeType="1"/>
                            </wps:cNvCnPr>
                            <wps:spPr bwMode="auto">
                              <a:xfrm flipV="1">
                                <a:off x="0" y="0"/>
                                <a:ext cx="561340" cy="8890"/>
                              </a:xfrm>
                              <a:prstGeom prst="line">
                                <a:avLst/>
                              </a:prstGeom>
                              <a:noFill/>
                              <a:ln w="3175">
                                <a:solidFill>
                                  <a:srgbClr val="000000"/>
                                </a:solidFill>
                                <a:round/>
                                <a:tailEnd type="triangle" w="med" len="med"/>
                              </a:ln>
                            </wps:spPr>
                            <wps:bodyPr/>
                          </wps:wsp>
                        </a:graphicData>
                      </a:graphic>
                    </wp:anchor>
                  </w:drawing>
                </mc:Choice>
                <mc:Fallback>
                  <w:pict>
                    <v:line id="Line 45" o:spid="_x0000_s1026" o:spt="20" style="position:absolute;left:0pt;flip:y;margin-left:162.4pt;margin-top:3.8pt;height:0.7pt;width:44.2pt;z-index:251704320;mso-width-relative:page;mso-height-relative:page;" filled="f" stroked="t" coordsize="21600,21600" o:gfxdata="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LHTI1gAAAAcBAAAPAAAAAAAAAAEAIAAAACIA&#10;AABkcnMvZG93bnJldi54bWxQSwECFAAUAAAACACHTuJA20jnpNIBAACMAwAADgAAAAAAAAABACAA&#10;AAAlAQAAZHJzL2Uyb0RvYy54bWxQSwUGAAAAAAYABgBZAQAAaQUAAAAA&#10;">
                      <v:fill on="f" focussize="0,0"/>
                      <v:stroke weight="0.25pt" color="#000000" joinstyle="round" endarrow="block"/>
                      <v:imagedata o:title=""/>
                      <o:lock v:ext="edit" aspectratio="f"/>
                    </v:line>
                  </w:pict>
                </mc:Fallback>
              </mc:AlternateContent>
            </w:r>
            <w:r>
              <w:rPr>
                <w:sz w:val="24"/>
                <w:lang w:val="en-US"/>
              </w:rPr>
              <mc:AlternateContent>
                <mc:Choice Requires="wps">
                  <w:drawing>
                    <wp:anchor distT="0" distB="0" distL="114300" distR="114300" simplePos="0" relativeHeight="251698176" behindDoc="0" locked="0" layoutInCell="1" allowOverlap="1">
                      <wp:simplePos x="0" y="0"/>
                      <wp:positionH relativeFrom="column">
                        <wp:posOffset>805180</wp:posOffset>
                      </wp:positionH>
                      <wp:positionV relativeFrom="paragraph">
                        <wp:posOffset>76200</wp:posOffset>
                      </wp:positionV>
                      <wp:extent cx="447675" cy="635"/>
                      <wp:effectExtent l="5080" t="57150" r="23495" b="56515"/>
                      <wp:wrapNone/>
                      <wp:docPr id="5" name="Line 46"/>
                      <wp:cNvGraphicFramePr/>
                      <a:graphic xmlns:a="http://schemas.openxmlformats.org/drawingml/2006/main">
                        <a:graphicData uri="http://schemas.microsoft.com/office/word/2010/wordprocessingShape">
                          <wps:wsp>
                            <wps:cNvCnPr>
                              <a:cxnSpLocks noChangeShapeType="1"/>
                            </wps:cNvCnPr>
                            <wps:spPr bwMode="auto">
                              <a:xfrm>
                                <a:off x="0" y="0"/>
                                <a:ext cx="447675" cy="635"/>
                              </a:xfrm>
                              <a:prstGeom prst="line">
                                <a:avLst/>
                              </a:prstGeom>
                              <a:noFill/>
                              <a:ln w="3175">
                                <a:solidFill>
                                  <a:srgbClr val="000000"/>
                                </a:solidFill>
                                <a:round/>
                                <a:tailEnd type="triangle" w="med" len="med"/>
                              </a:ln>
                            </wps:spPr>
                            <wps:bodyPr/>
                          </wps:wsp>
                        </a:graphicData>
                      </a:graphic>
                    </wp:anchor>
                  </w:drawing>
                </mc:Choice>
                <mc:Fallback>
                  <w:pict>
                    <v:line id="Line 46" o:spid="_x0000_s1026" o:spt="20" style="position:absolute;left:0pt;margin-left:63.4pt;margin-top:6pt;height:0.05pt;width:35.25pt;z-index:251698176;mso-width-relative:page;mso-height-relative:page;" filled="f" stroked="t" coordsize="21600,21600" o:gfxdata="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yzg1zYAAAACQEAAA8AAAAAAAAAAQAgAAAAIgAAAGRycy9k&#10;b3ducmV2LnhtbFBLAQIUABQAAAAIAIdO4kB2TLCYyQEAAIEDAAAOAAAAAAAAAAEAIAAAACcBAABk&#10;cnMvZTJvRG9jLnhtbFBLBQYAAAAABgAGAFkBAABiBQAAAAA=&#10;">
                      <v:fill on="f" focussize="0,0"/>
                      <v:stroke weight="0.25pt" color="#000000" joinstyle="round" endarrow="block"/>
                      <v:imagedata o:title=""/>
                      <o:lock v:ext="edit" aspectratio="f"/>
                    </v:line>
                  </w:pict>
                </mc:Fallback>
              </mc:AlternateContent>
            </w:r>
            <w:r>
              <w:rPr>
                <w:rFonts w:hint="eastAsia" w:hAnsi="宋体"/>
                <w:kern w:val="0"/>
                <w:sz w:val="24"/>
                <w:szCs w:val="24"/>
                <w:lang w:val="en-US"/>
              </w:rPr>
              <w:t xml:space="preserve"> </w:t>
            </w:r>
          </w:p>
          <w:p>
            <w:pPr>
              <w:autoSpaceDE w:val="0"/>
              <w:autoSpaceDN w:val="0"/>
              <w:adjustRightInd w:val="0"/>
              <w:spacing w:line="360" w:lineRule="auto"/>
              <w:ind w:firstLine="360" w:firstLineChars="150"/>
              <w:jc w:val="left"/>
              <w:rPr>
                <w:rFonts w:hAnsi="宋体"/>
                <w:kern w:val="0"/>
                <w:sz w:val="24"/>
                <w:szCs w:val="24"/>
              </w:rPr>
            </w:pPr>
          </w:p>
          <w:p>
            <w:pPr>
              <w:autoSpaceDE w:val="0"/>
              <w:autoSpaceDN w:val="0"/>
              <w:adjustRightInd w:val="0"/>
              <w:spacing w:line="360" w:lineRule="auto"/>
              <w:ind w:firstLine="361" w:firstLineChars="150"/>
              <w:jc w:val="center"/>
              <w:rPr>
                <w:rFonts w:hAnsi="宋体"/>
                <w:b/>
                <w:bCs/>
                <w:kern w:val="0"/>
                <w:sz w:val="24"/>
                <w:szCs w:val="24"/>
                <w:lang w:val="en-US"/>
              </w:rPr>
            </w:pPr>
            <w:r>
              <w:rPr>
                <w:rFonts w:hint="eastAsia" w:hAnsi="宋体"/>
                <w:b/>
                <w:bCs/>
                <w:kern w:val="0"/>
                <w:sz w:val="24"/>
                <w:szCs w:val="24"/>
              </w:rPr>
              <w:t>图</w:t>
            </w:r>
            <w:r>
              <w:rPr>
                <w:rFonts w:hint="eastAsia" w:hAnsi="宋体"/>
                <w:b/>
                <w:bCs/>
                <w:kern w:val="0"/>
                <w:sz w:val="24"/>
                <w:szCs w:val="24"/>
                <w:lang w:val="en-US"/>
              </w:rPr>
              <w:t>5-2  本项目水量平衡图（t/a）</w:t>
            </w:r>
          </w:p>
          <w:p>
            <w:pPr>
              <w:autoSpaceDE w:val="0"/>
              <w:autoSpaceDN w:val="0"/>
              <w:adjustRightInd w:val="0"/>
              <w:spacing w:line="360" w:lineRule="auto"/>
              <w:ind w:firstLine="360" w:firstLineChars="150"/>
              <w:jc w:val="left"/>
              <w:rPr>
                <w:rFonts w:hAnsi="宋体"/>
                <w:kern w:val="0"/>
                <w:sz w:val="24"/>
                <w:szCs w:val="24"/>
                <w:lang w:val="en-US"/>
              </w:rPr>
            </w:pPr>
            <w:r>
              <w:rPr>
                <w:rFonts w:hAnsi="宋体"/>
                <w:kern w:val="0"/>
                <w:sz w:val="24"/>
                <w:szCs w:val="24"/>
              </w:rPr>
              <w:t>（</w:t>
            </w:r>
            <w:r>
              <w:rPr>
                <w:kern w:val="0"/>
                <w:sz w:val="24"/>
                <w:szCs w:val="24"/>
              </w:rPr>
              <w:t>3</w:t>
            </w:r>
            <w:r>
              <w:rPr>
                <w:rFonts w:hAnsi="宋体"/>
                <w:kern w:val="0"/>
                <w:sz w:val="24"/>
                <w:szCs w:val="24"/>
              </w:rPr>
              <w:t>）</w:t>
            </w:r>
            <w:r>
              <w:rPr>
                <w:rFonts w:hAnsi="宋体"/>
                <w:kern w:val="0"/>
                <w:sz w:val="24"/>
                <w:szCs w:val="24"/>
                <w:lang w:val="en-US"/>
              </w:rPr>
              <w:t>噪声</w:t>
            </w:r>
          </w:p>
          <w:p>
            <w:pPr>
              <w:autoSpaceDE w:val="0"/>
              <w:autoSpaceDN w:val="0"/>
              <w:adjustRightInd w:val="0"/>
              <w:spacing w:line="360" w:lineRule="auto"/>
              <w:ind w:firstLine="480" w:firstLineChars="200"/>
              <w:jc w:val="left"/>
              <w:rPr>
                <w:rFonts w:hAnsi="宋体"/>
                <w:kern w:val="0"/>
                <w:sz w:val="24"/>
                <w:szCs w:val="24"/>
                <w:lang w:val="en-US"/>
              </w:rPr>
            </w:pPr>
            <w:r>
              <w:rPr>
                <w:rFonts w:hint="eastAsia" w:hAnsi="宋体"/>
                <w:kern w:val="0"/>
                <w:sz w:val="24"/>
                <w:szCs w:val="24"/>
                <w:lang w:val="en-US"/>
              </w:rPr>
              <w:t>本项目噪声源主要为设备运行时产生的噪声。根据同类企业类比调查，设备噪声级见表5-</w:t>
            </w:r>
            <w:r>
              <w:rPr>
                <w:rFonts w:hint="eastAsia" w:hAnsi="宋体"/>
                <w:kern w:val="0"/>
                <w:sz w:val="24"/>
                <w:szCs w:val="24"/>
                <w:lang w:val="en-US" w:eastAsia="zh-CN"/>
              </w:rPr>
              <w:t>3</w:t>
            </w:r>
            <w:r>
              <w:rPr>
                <w:rFonts w:hint="eastAsia" w:hAnsi="宋体"/>
                <w:kern w:val="0"/>
                <w:sz w:val="24"/>
                <w:szCs w:val="24"/>
                <w:lang w:val="en-US"/>
              </w:rPr>
              <w:t>。</w:t>
            </w:r>
          </w:p>
          <w:p>
            <w:pPr>
              <w:pStyle w:val="134"/>
              <w:numPr>
                <w:ilvl w:val="0"/>
                <w:numId w:val="0"/>
              </w:numPr>
              <w:spacing w:line="400" w:lineRule="exact"/>
              <w:rPr>
                <w:rFonts w:hAnsi="Times New Roman"/>
                <w:sz w:val="24"/>
                <w:szCs w:val="24"/>
              </w:rPr>
            </w:pPr>
            <w:r>
              <w:rPr>
                <w:bCs/>
                <w:sz w:val="24"/>
                <w:szCs w:val="24"/>
              </w:rPr>
              <w:t>表</w:t>
            </w:r>
            <w:r>
              <w:rPr>
                <w:rFonts w:hint="eastAsia"/>
                <w:bCs/>
                <w:sz w:val="24"/>
                <w:szCs w:val="24"/>
              </w:rPr>
              <w:t>5-</w:t>
            </w:r>
            <w:r>
              <w:rPr>
                <w:rFonts w:hint="eastAsia"/>
                <w:bCs/>
                <w:sz w:val="24"/>
                <w:szCs w:val="24"/>
                <w:lang w:val="en-US" w:eastAsia="zh-CN"/>
              </w:rPr>
              <w:t>3</w:t>
            </w:r>
            <w:r>
              <w:rPr>
                <w:rFonts w:hint="eastAsia" w:hAnsi="Times New Roman"/>
                <w:bCs/>
                <w:sz w:val="24"/>
                <w:szCs w:val="24"/>
              </w:rPr>
              <w:t xml:space="preserve"> 本</w:t>
            </w:r>
            <w:r>
              <w:rPr>
                <w:rFonts w:hint="eastAsia"/>
                <w:bCs/>
                <w:sz w:val="24"/>
                <w:szCs w:val="24"/>
              </w:rPr>
              <w:t>项目主要设备噪声源强</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59"/>
              <w:gridCol w:w="1238"/>
              <w:gridCol w:w="1491"/>
              <w:gridCol w:w="214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b/>
                      <w:bCs/>
                      <w:szCs w:val="21"/>
                    </w:rPr>
                  </w:pPr>
                  <w:r>
                    <w:rPr>
                      <w:rFonts w:hint="eastAsia" w:hAnsi="宋体"/>
                      <w:b/>
                      <w:bCs/>
                      <w:szCs w:val="21"/>
                    </w:rPr>
                    <w:t>序号</w:t>
                  </w:r>
                </w:p>
              </w:tc>
              <w:tc>
                <w:tcPr>
                  <w:tcW w:w="2559" w:type="dxa"/>
                  <w:vAlign w:val="center"/>
                </w:tcPr>
                <w:p>
                  <w:pPr>
                    <w:jc w:val="center"/>
                    <w:rPr>
                      <w:b/>
                      <w:bCs/>
                      <w:szCs w:val="21"/>
                    </w:rPr>
                  </w:pPr>
                  <w:r>
                    <w:rPr>
                      <w:rFonts w:hint="eastAsia"/>
                      <w:b/>
                      <w:bCs/>
                      <w:szCs w:val="21"/>
                    </w:rPr>
                    <w:t>设备名称</w:t>
                  </w:r>
                </w:p>
              </w:tc>
              <w:tc>
                <w:tcPr>
                  <w:tcW w:w="1238" w:type="dxa"/>
                  <w:vAlign w:val="center"/>
                </w:tcPr>
                <w:p>
                  <w:pPr>
                    <w:jc w:val="center"/>
                    <w:rPr>
                      <w:b/>
                      <w:bCs/>
                      <w:szCs w:val="21"/>
                    </w:rPr>
                  </w:pPr>
                  <w:r>
                    <w:rPr>
                      <w:rFonts w:hint="eastAsia"/>
                      <w:b/>
                      <w:bCs/>
                      <w:szCs w:val="21"/>
                    </w:rPr>
                    <w:t>数量</w:t>
                  </w:r>
                </w:p>
              </w:tc>
              <w:tc>
                <w:tcPr>
                  <w:tcW w:w="1491" w:type="dxa"/>
                  <w:vAlign w:val="center"/>
                </w:tcPr>
                <w:p>
                  <w:pPr>
                    <w:jc w:val="center"/>
                    <w:rPr>
                      <w:b/>
                      <w:bCs/>
                      <w:szCs w:val="21"/>
                    </w:rPr>
                  </w:pPr>
                  <w:r>
                    <w:rPr>
                      <w:rFonts w:hint="eastAsia"/>
                      <w:b/>
                      <w:bCs/>
                      <w:szCs w:val="21"/>
                    </w:rPr>
                    <w:t>排放方式</w:t>
                  </w:r>
                </w:p>
              </w:tc>
              <w:tc>
                <w:tcPr>
                  <w:tcW w:w="2148" w:type="dxa"/>
                  <w:vAlign w:val="center"/>
                </w:tcPr>
                <w:p>
                  <w:pPr>
                    <w:jc w:val="center"/>
                    <w:rPr>
                      <w:b/>
                      <w:bCs/>
                      <w:szCs w:val="21"/>
                    </w:rPr>
                  </w:pPr>
                  <w:r>
                    <w:rPr>
                      <w:rFonts w:hint="eastAsia"/>
                      <w:b/>
                      <w:bCs/>
                      <w:szCs w:val="21"/>
                    </w:rPr>
                    <w:t>噪声值dB（A）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rPr>
                  </w:pPr>
                  <w:r>
                    <w:rPr>
                      <w:rFonts w:hint="eastAsia"/>
                      <w:kern w:val="0"/>
                      <w:szCs w:val="21"/>
                    </w:rPr>
                    <w:t>1</w:t>
                  </w:r>
                </w:p>
              </w:tc>
              <w:tc>
                <w:tcPr>
                  <w:tcW w:w="2559" w:type="dxa"/>
                  <w:vAlign w:val="center"/>
                </w:tcPr>
                <w:p>
                  <w:pPr>
                    <w:jc w:val="center"/>
                    <w:rPr>
                      <w:szCs w:val="21"/>
                    </w:rPr>
                  </w:pPr>
                  <w:r>
                    <w:rPr>
                      <w:rFonts w:hint="eastAsia"/>
                      <w:szCs w:val="21"/>
                    </w:rPr>
                    <w:t>加工中心</w:t>
                  </w:r>
                </w:p>
              </w:tc>
              <w:tc>
                <w:tcPr>
                  <w:tcW w:w="1238" w:type="dxa"/>
                  <w:vAlign w:val="center"/>
                </w:tcPr>
                <w:p>
                  <w:pPr>
                    <w:jc w:val="center"/>
                    <w:rPr>
                      <w:szCs w:val="21"/>
                      <w:lang w:val="en-US"/>
                    </w:rPr>
                  </w:pPr>
                  <w:r>
                    <w:rPr>
                      <w:rFonts w:hint="eastAsia"/>
                      <w:szCs w:val="21"/>
                      <w:lang w:val="en-US"/>
                    </w:rPr>
                    <w:t>11台</w:t>
                  </w:r>
                </w:p>
              </w:tc>
              <w:tc>
                <w:tcPr>
                  <w:tcW w:w="1491" w:type="dxa"/>
                  <w:vAlign w:val="center"/>
                </w:tcPr>
                <w:p>
                  <w:pPr>
                    <w:jc w:val="center"/>
                    <w:outlineLvl w:val="2"/>
                    <w:rPr>
                      <w:bCs/>
                      <w:kern w:val="0"/>
                      <w:szCs w:val="21"/>
                    </w:rPr>
                  </w:pPr>
                  <w:r>
                    <w:rPr>
                      <w:rFonts w:hAnsi="宋体"/>
                      <w:bCs/>
                      <w:kern w:val="0"/>
                      <w:szCs w:val="21"/>
                    </w:rPr>
                    <w:t>间歇</w:t>
                  </w:r>
                </w:p>
              </w:tc>
              <w:tc>
                <w:tcPr>
                  <w:tcW w:w="2148" w:type="dxa"/>
                  <w:vAlign w:val="center"/>
                </w:tcPr>
                <w:p>
                  <w:pPr>
                    <w:jc w:val="center"/>
                    <w:rPr>
                      <w:bCs/>
                      <w:szCs w:val="21"/>
                    </w:rPr>
                  </w:pPr>
                  <w:r>
                    <w:rPr>
                      <w:rFonts w:hint="eastAsia"/>
                      <w:bCs/>
                      <w:szCs w:val="21"/>
                      <w:lang w:val="en-US"/>
                    </w:rPr>
                    <w:t>70</w:t>
                  </w:r>
                  <w:r>
                    <w:rPr>
                      <w:rFonts w:hint="eastAsia"/>
                      <w:bCs/>
                      <w:szCs w:val="21"/>
                    </w:rPr>
                    <w:t>~</w:t>
                  </w:r>
                  <w:r>
                    <w:rPr>
                      <w:rFonts w:hint="eastAsia"/>
                      <w:bCs/>
                      <w:szCs w:val="21"/>
                      <w:lang w:val="en-US"/>
                    </w:rPr>
                    <w:t>8</w:t>
                  </w:r>
                  <w:r>
                    <w:rPr>
                      <w:rFonts w:hint="eastAsia"/>
                      <w:bCs/>
                      <w:szCs w:val="21"/>
                    </w:rPr>
                    <w:t>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lang w:val="en-US"/>
                    </w:rPr>
                  </w:pPr>
                  <w:r>
                    <w:rPr>
                      <w:rFonts w:hint="eastAsia"/>
                      <w:kern w:val="0"/>
                      <w:szCs w:val="21"/>
                      <w:lang w:val="en-US"/>
                    </w:rPr>
                    <w:t>2</w:t>
                  </w:r>
                </w:p>
              </w:tc>
              <w:tc>
                <w:tcPr>
                  <w:tcW w:w="2559" w:type="dxa"/>
                  <w:vAlign w:val="center"/>
                </w:tcPr>
                <w:p>
                  <w:pPr>
                    <w:jc w:val="center"/>
                    <w:rPr>
                      <w:szCs w:val="21"/>
                    </w:rPr>
                  </w:pPr>
                  <w:r>
                    <w:rPr>
                      <w:rFonts w:hint="eastAsia"/>
                      <w:szCs w:val="21"/>
                      <w:lang w:val="en-US"/>
                    </w:rPr>
                    <w:t>除尘设施</w:t>
                  </w:r>
                </w:p>
              </w:tc>
              <w:tc>
                <w:tcPr>
                  <w:tcW w:w="1238" w:type="dxa"/>
                  <w:vAlign w:val="center"/>
                </w:tcPr>
                <w:p>
                  <w:pPr>
                    <w:jc w:val="center"/>
                    <w:rPr>
                      <w:szCs w:val="21"/>
                      <w:lang w:val="en-US"/>
                    </w:rPr>
                  </w:pPr>
                  <w:r>
                    <w:rPr>
                      <w:rFonts w:hint="eastAsia"/>
                      <w:szCs w:val="21"/>
                      <w:lang w:val="en-US"/>
                    </w:rPr>
                    <w:t>1套</w:t>
                  </w:r>
                </w:p>
              </w:tc>
              <w:tc>
                <w:tcPr>
                  <w:tcW w:w="1491" w:type="dxa"/>
                  <w:vAlign w:val="center"/>
                </w:tcPr>
                <w:p>
                  <w:pPr>
                    <w:jc w:val="center"/>
                  </w:pPr>
                  <w:r>
                    <w:rPr>
                      <w:rFonts w:hAnsi="宋体"/>
                      <w:bCs/>
                      <w:kern w:val="0"/>
                      <w:szCs w:val="21"/>
                    </w:rPr>
                    <w:t>间歇</w:t>
                  </w:r>
                </w:p>
              </w:tc>
              <w:tc>
                <w:tcPr>
                  <w:tcW w:w="2148" w:type="dxa"/>
                  <w:vAlign w:val="center"/>
                </w:tcPr>
                <w:p>
                  <w:pPr>
                    <w:jc w:val="center"/>
                    <w:rPr>
                      <w:bCs/>
                      <w:szCs w:val="21"/>
                    </w:rPr>
                  </w:pPr>
                  <w:r>
                    <w:rPr>
                      <w:rFonts w:hint="eastAsia"/>
                      <w:bCs/>
                      <w:szCs w:val="21"/>
                    </w:rPr>
                    <w:t>75~85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lang w:val="en-US"/>
                    </w:rPr>
                  </w:pPr>
                  <w:r>
                    <w:rPr>
                      <w:rFonts w:hint="eastAsia"/>
                      <w:kern w:val="0"/>
                      <w:szCs w:val="21"/>
                      <w:lang w:val="en-US"/>
                    </w:rPr>
                    <w:t>3</w:t>
                  </w:r>
                </w:p>
              </w:tc>
              <w:tc>
                <w:tcPr>
                  <w:tcW w:w="2559" w:type="dxa"/>
                  <w:vAlign w:val="center"/>
                </w:tcPr>
                <w:p>
                  <w:pPr>
                    <w:jc w:val="center"/>
                    <w:rPr>
                      <w:szCs w:val="21"/>
                      <w:lang w:val="en-US"/>
                    </w:rPr>
                  </w:pPr>
                  <w:r>
                    <w:rPr>
                      <w:rFonts w:hint="eastAsia"/>
                      <w:szCs w:val="21"/>
                      <w:lang w:val="en-US"/>
                    </w:rPr>
                    <w:t>磨床</w:t>
                  </w:r>
                </w:p>
              </w:tc>
              <w:tc>
                <w:tcPr>
                  <w:tcW w:w="1238" w:type="dxa"/>
                  <w:vAlign w:val="center"/>
                </w:tcPr>
                <w:p>
                  <w:pPr>
                    <w:jc w:val="center"/>
                    <w:rPr>
                      <w:szCs w:val="21"/>
                      <w:lang w:val="en-US"/>
                    </w:rPr>
                  </w:pPr>
                  <w:r>
                    <w:rPr>
                      <w:rFonts w:hint="eastAsia"/>
                      <w:szCs w:val="21"/>
                      <w:lang w:val="en-US"/>
                    </w:rPr>
                    <w:t>7台</w:t>
                  </w:r>
                </w:p>
              </w:tc>
              <w:tc>
                <w:tcPr>
                  <w:tcW w:w="1491" w:type="dxa"/>
                  <w:vAlign w:val="center"/>
                </w:tcPr>
                <w:p>
                  <w:pPr>
                    <w:jc w:val="center"/>
                  </w:pPr>
                  <w:r>
                    <w:rPr>
                      <w:rFonts w:hAnsi="宋体"/>
                      <w:bCs/>
                      <w:kern w:val="0"/>
                      <w:szCs w:val="21"/>
                    </w:rPr>
                    <w:t>间歇</w:t>
                  </w:r>
                </w:p>
              </w:tc>
              <w:tc>
                <w:tcPr>
                  <w:tcW w:w="2148" w:type="dxa"/>
                  <w:vAlign w:val="center"/>
                </w:tcPr>
                <w:p>
                  <w:pPr>
                    <w:jc w:val="center"/>
                    <w:rPr>
                      <w:rFonts w:hint="default" w:eastAsia="宋体"/>
                      <w:bCs/>
                      <w:szCs w:val="21"/>
                      <w:lang w:val="en-US" w:eastAsia="zh-CN"/>
                    </w:rPr>
                  </w:pPr>
                  <w:r>
                    <w:rPr>
                      <w:rFonts w:hint="eastAsia"/>
                      <w:bCs/>
                      <w:szCs w:val="21"/>
                      <w:lang w:val="en-US" w:eastAsia="zh-CN"/>
                    </w:rPr>
                    <w:t>90</w:t>
                  </w:r>
                  <w:r>
                    <w:rPr>
                      <w:rFonts w:hint="eastAsia"/>
                      <w:bCs/>
                      <w:szCs w:val="21"/>
                    </w:rPr>
                    <w:t>~</w:t>
                  </w:r>
                  <w:r>
                    <w:rPr>
                      <w:rFonts w:hint="eastAsia"/>
                      <w:bCs/>
                      <w:szCs w:val="21"/>
                      <w:lang w:val="en-US" w:eastAsia="zh-CN"/>
                    </w:rPr>
                    <w:t>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lang w:val="en-US"/>
                    </w:rPr>
                  </w:pPr>
                  <w:r>
                    <w:rPr>
                      <w:rFonts w:hint="eastAsia"/>
                      <w:kern w:val="0"/>
                      <w:szCs w:val="21"/>
                      <w:lang w:val="en-US"/>
                    </w:rPr>
                    <w:t>4</w:t>
                  </w:r>
                </w:p>
              </w:tc>
              <w:tc>
                <w:tcPr>
                  <w:tcW w:w="2559" w:type="dxa"/>
                  <w:vAlign w:val="center"/>
                </w:tcPr>
                <w:p>
                  <w:pPr>
                    <w:jc w:val="center"/>
                    <w:rPr>
                      <w:szCs w:val="21"/>
                    </w:rPr>
                  </w:pPr>
                  <w:r>
                    <w:rPr>
                      <w:rFonts w:hint="eastAsia"/>
                      <w:szCs w:val="21"/>
                      <w:lang w:val="en-US"/>
                    </w:rPr>
                    <w:t>铣床</w:t>
                  </w:r>
                </w:p>
              </w:tc>
              <w:tc>
                <w:tcPr>
                  <w:tcW w:w="1238" w:type="dxa"/>
                  <w:vAlign w:val="center"/>
                </w:tcPr>
                <w:p>
                  <w:pPr>
                    <w:jc w:val="center"/>
                    <w:rPr>
                      <w:szCs w:val="21"/>
                      <w:lang w:val="en-US"/>
                    </w:rPr>
                  </w:pPr>
                  <w:r>
                    <w:rPr>
                      <w:rFonts w:hint="eastAsia"/>
                      <w:szCs w:val="21"/>
                      <w:lang w:val="en-US"/>
                    </w:rPr>
                    <w:t>1台</w:t>
                  </w:r>
                </w:p>
              </w:tc>
              <w:tc>
                <w:tcPr>
                  <w:tcW w:w="1491" w:type="dxa"/>
                </w:tcPr>
                <w:p>
                  <w:pPr>
                    <w:jc w:val="center"/>
                  </w:pPr>
                  <w:r>
                    <w:rPr>
                      <w:rFonts w:hAnsi="宋体"/>
                      <w:bCs/>
                      <w:kern w:val="0"/>
                      <w:szCs w:val="21"/>
                    </w:rPr>
                    <w:t>间歇</w:t>
                  </w:r>
                </w:p>
              </w:tc>
              <w:tc>
                <w:tcPr>
                  <w:tcW w:w="2148" w:type="dxa"/>
                  <w:vAlign w:val="center"/>
                </w:tcPr>
                <w:p>
                  <w:pPr>
                    <w:jc w:val="center"/>
                    <w:rPr>
                      <w:rFonts w:hint="default" w:eastAsia="宋体"/>
                      <w:bCs/>
                      <w:szCs w:val="21"/>
                      <w:lang w:val="en-US" w:eastAsia="zh-CN"/>
                    </w:rPr>
                  </w:pPr>
                  <w:r>
                    <w:rPr>
                      <w:rFonts w:hint="eastAsia"/>
                      <w:bCs/>
                      <w:szCs w:val="21"/>
                      <w:lang w:val="en-US" w:eastAsia="zh-CN"/>
                    </w:rPr>
                    <w:t>85</w:t>
                  </w:r>
                  <w:r>
                    <w:rPr>
                      <w:rFonts w:hint="eastAsia"/>
                      <w:bCs/>
                      <w:szCs w:val="21"/>
                    </w:rPr>
                    <w:t>~</w:t>
                  </w:r>
                  <w:r>
                    <w:rPr>
                      <w:rFonts w:hint="eastAsia"/>
                      <w:bCs/>
                      <w:szCs w:val="21"/>
                      <w:lang w:val="en-US" w:eastAsia="zh-CN"/>
                    </w:rPr>
                    <w:t>95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lang w:val="en-US"/>
                    </w:rPr>
                  </w:pPr>
                  <w:r>
                    <w:rPr>
                      <w:rFonts w:hint="eastAsia"/>
                      <w:kern w:val="0"/>
                      <w:szCs w:val="21"/>
                      <w:lang w:val="en-US"/>
                    </w:rPr>
                    <w:t>5</w:t>
                  </w:r>
                </w:p>
              </w:tc>
              <w:tc>
                <w:tcPr>
                  <w:tcW w:w="2559" w:type="dxa"/>
                  <w:vAlign w:val="center"/>
                </w:tcPr>
                <w:p>
                  <w:pPr>
                    <w:jc w:val="center"/>
                    <w:rPr>
                      <w:szCs w:val="21"/>
                    </w:rPr>
                  </w:pPr>
                  <w:r>
                    <w:rPr>
                      <w:rFonts w:hint="eastAsia"/>
                      <w:szCs w:val="21"/>
                      <w:lang w:val="en-US"/>
                    </w:rPr>
                    <w:t>空压机</w:t>
                  </w:r>
                </w:p>
              </w:tc>
              <w:tc>
                <w:tcPr>
                  <w:tcW w:w="1238" w:type="dxa"/>
                  <w:vAlign w:val="center"/>
                </w:tcPr>
                <w:p>
                  <w:pPr>
                    <w:jc w:val="center"/>
                    <w:rPr>
                      <w:szCs w:val="21"/>
                      <w:lang w:val="en-US"/>
                    </w:rPr>
                  </w:pPr>
                  <w:r>
                    <w:rPr>
                      <w:rFonts w:hint="eastAsia"/>
                      <w:szCs w:val="21"/>
                      <w:lang w:val="en-US"/>
                    </w:rPr>
                    <w:t>1台</w:t>
                  </w:r>
                </w:p>
              </w:tc>
              <w:tc>
                <w:tcPr>
                  <w:tcW w:w="1491" w:type="dxa"/>
                </w:tcPr>
                <w:p>
                  <w:pPr>
                    <w:jc w:val="center"/>
                  </w:pPr>
                  <w:r>
                    <w:rPr>
                      <w:rFonts w:hAnsi="宋体"/>
                      <w:bCs/>
                      <w:kern w:val="0"/>
                      <w:szCs w:val="21"/>
                    </w:rPr>
                    <w:t>间歇</w:t>
                  </w:r>
                </w:p>
              </w:tc>
              <w:tc>
                <w:tcPr>
                  <w:tcW w:w="2148" w:type="dxa"/>
                  <w:vAlign w:val="center"/>
                </w:tcPr>
                <w:p>
                  <w:pPr>
                    <w:jc w:val="center"/>
                    <w:rPr>
                      <w:rFonts w:hint="default" w:eastAsia="宋体"/>
                      <w:bCs/>
                      <w:szCs w:val="21"/>
                      <w:lang w:val="en-US" w:eastAsia="zh-CN"/>
                    </w:rPr>
                  </w:pPr>
                  <w:r>
                    <w:rPr>
                      <w:rFonts w:hint="eastAsia"/>
                      <w:bCs/>
                      <w:szCs w:val="21"/>
                      <w:lang w:val="en-US" w:eastAsia="zh-CN"/>
                    </w:rPr>
                    <w:t>80</w:t>
                  </w:r>
                  <w:r>
                    <w:rPr>
                      <w:rFonts w:hint="eastAsia"/>
                      <w:bCs/>
                      <w:szCs w:val="21"/>
                    </w:rPr>
                    <w:t>~</w:t>
                  </w:r>
                  <w:r>
                    <w:rPr>
                      <w:rFonts w:hint="eastAsia"/>
                      <w:bCs/>
                      <w:szCs w:val="21"/>
                      <w:lang w:val="en-US" w:eastAsia="zh-CN"/>
                    </w:rPr>
                    <w:t>85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7" w:type="dxa"/>
                  <w:vAlign w:val="center"/>
                </w:tcPr>
                <w:p>
                  <w:pPr>
                    <w:jc w:val="center"/>
                    <w:rPr>
                      <w:kern w:val="0"/>
                      <w:szCs w:val="21"/>
                      <w:lang w:val="en-US"/>
                    </w:rPr>
                  </w:pPr>
                  <w:r>
                    <w:rPr>
                      <w:rFonts w:hint="eastAsia"/>
                      <w:kern w:val="0"/>
                      <w:szCs w:val="21"/>
                      <w:lang w:val="en-US"/>
                    </w:rPr>
                    <w:t>6</w:t>
                  </w:r>
                </w:p>
              </w:tc>
              <w:tc>
                <w:tcPr>
                  <w:tcW w:w="2559" w:type="dxa"/>
                  <w:vAlign w:val="center"/>
                </w:tcPr>
                <w:p>
                  <w:pPr>
                    <w:jc w:val="center"/>
                    <w:rPr>
                      <w:szCs w:val="21"/>
                      <w:lang w:val="en-US"/>
                    </w:rPr>
                  </w:pPr>
                  <w:r>
                    <w:rPr>
                      <w:rFonts w:hint="eastAsia"/>
                      <w:szCs w:val="21"/>
                      <w:lang w:val="en-US"/>
                    </w:rPr>
                    <w:t>干燥箱</w:t>
                  </w:r>
                </w:p>
              </w:tc>
              <w:tc>
                <w:tcPr>
                  <w:tcW w:w="1238" w:type="dxa"/>
                  <w:vAlign w:val="center"/>
                </w:tcPr>
                <w:p>
                  <w:pPr>
                    <w:jc w:val="center"/>
                    <w:rPr>
                      <w:szCs w:val="21"/>
                      <w:lang w:val="en-US"/>
                    </w:rPr>
                  </w:pPr>
                  <w:r>
                    <w:rPr>
                      <w:rFonts w:hint="eastAsia"/>
                      <w:szCs w:val="21"/>
                      <w:lang w:val="en-US"/>
                    </w:rPr>
                    <w:t>1台</w:t>
                  </w:r>
                </w:p>
              </w:tc>
              <w:tc>
                <w:tcPr>
                  <w:tcW w:w="1491" w:type="dxa"/>
                </w:tcPr>
                <w:p>
                  <w:pPr>
                    <w:jc w:val="center"/>
                    <w:rPr>
                      <w:rFonts w:hAnsi="宋体"/>
                      <w:bCs/>
                      <w:kern w:val="0"/>
                      <w:szCs w:val="21"/>
                    </w:rPr>
                  </w:pPr>
                  <w:r>
                    <w:rPr>
                      <w:rFonts w:hint="eastAsia" w:hAnsi="宋体"/>
                      <w:bCs/>
                      <w:kern w:val="0"/>
                      <w:szCs w:val="21"/>
                    </w:rPr>
                    <w:t>间歇</w:t>
                  </w:r>
                </w:p>
              </w:tc>
              <w:tc>
                <w:tcPr>
                  <w:tcW w:w="2148" w:type="dxa"/>
                  <w:vAlign w:val="center"/>
                </w:tcPr>
                <w:p>
                  <w:pPr>
                    <w:jc w:val="center"/>
                    <w:rPr>
                      <w:bCs/>
                      <w:szCs w:val="21"/>
                      <w:lang w:val="en-US"/>
                    </w:rPr>
                  </w:pPr>
                  <w:r>
                    <w:rPr>
                      <w:rFonts w:hint="eastAsia"/>
                      <w:bCs/>
                      <w:szCs w:val="21"/>
                      <w:lang w:val="en-US"/>
                    </w:rPr>
                    <w:t>60~70</w:t>
                  </w:r>
                </w:p>
              </w:tc>
            </w:tr>
          </w:tbl>
          <w:p>
            <w:pPr>
              <w:autoSpaceDE w:val="0"/>
              <w:autoSpaceDN w:val="0"/>
              <w:adjustRightInd w:val="0"/>
              <w:snapToGrid w:val="0"/>
              <w:spacing w:line="360" w:lineRule="auto"/>
              <w:ind w:firstLine="480" w:firstLineChars="200"/>
              <w:jc w:val="left"/>
              <w:rPr>
                <w:rFonts w:hAnsi="宋体"/>
                <w:kern w:val="0"/>
                <w:sz w:val="24"/>
                <w:szCs w:val="24"/>
                <w:lang w:val="en-US"/>
              </w:rPr>
            </w:pPr>
            <w:r>
              <w:rPr>
                <w:rFonts w:hAnsi="宋体"/>
                <w:kern w:val="0"/>
                <w:sz w:val="24"/>
                <w:szCs w:val="24"/>
                <w:lang w:val="en-US"/>
              </w:rPr>
              <w:t>（</w:t>
            </w:r>
            <w:r>
              <w:rPr>
                <w:kern w:val="0"/>
                <w:sz w:val="24"/>
                <w:szCs w:val="24"/>
                <w:lang w:val="en-US"/>
              </w:rPr>
              <w:t>4</w:t>
            </w:r>
            <w:r>
              <w:rPr>
                <w:rFonts w:hAnsi="宋体"/>
                <w:kern w:val="0"/>
                <w:sz w:val="24"/>
                <w:szCs w:val="24"/>
                <w:lang w:val="en-US"/>
              </w:rPr>
              <w:t>）固废</w:t>
            </w:r>
          </w:p>
          <w:p>
            <w:pPr>
              <w:adjustRightInd w:val="0"/>
              <w:snapToGrid w:val="0"/>
              <w:spacing w:line="360" w:lineRule="auto"/>
              <w:ind w:firstLine="480" w:firstLineChars="200"/>
              <w:rPr>
                <w:rFonts w:hAnsi="宋体"/>
                <w:sz w:val="24"/>
                <w:szCs w:val="24"/>
                <w:lang w:val="en-US"/>
              </w:rPr>
            </w:pPr>
            <w:r>
              <w:rPr>
                <w:rFonts w:hint="eastAsia" w:hAnsi="宋体"/>
                <w:sz w:val="24"/>
                <w:szCs w:val="24"/>
                <w:lang w:val="en-US"/>
              </w:rPr>
              <w:t>本项目生产过程中固废主要为打孔工序产生的废陶瓷、循环水沉淀后的陶瓷泥料、检验工序产生的废次品、布袋除尘器收集的废瓷粉和与员工的生活垃圾。</w:t>
            </w:r>
          </w:p>
          <w:p>
            <w:pPr>
              <w:adjustRightInd w:val="0"/>
              <w:snapToGrid w:val="0"/>
              <w:spacing w:line="360" w:lineRule="auto"/>
              <w:ind w:firstLine="480" w:firstLineChars="200"/>
              <w:rPr>
                <w:rFonts w:ascii="宋体" w:hAnsi="宋体" w:cs="宋体"/>
                <w:kern w:val="0"/>
                <w:sz w:val="24"/>
                <w:szCs w:val="24"/>
                <w:lang w:val="en-US"/>
              </w:rPr>
            </w:pPr>
            <w:r>
              <w:rPr>
                <w:rFonts w:hint="eastAsia"/>
                <w:kern w:val="0"/>
                <w:sz w:val="24"/>
                <w:szCs w:val="24"/>
                <w:lang w:val="en-US"/>
              </w:rPr>
              <w:t>废陶瓷、陶瓷泥料、废次品、</w:t>
            </w:r>
            <w:r>
              <w:rPr>
                <w:rFonts w:hint="eastAsia" w:ascii="宋体" w:hAnsi="宋体" w:cs="宋体"/>
                <w:kern w:val="0"/>
                <w:sz w:val="24"/>
                <w:szCs w:val="24"/>
                <w:lang w:val="en-US"/>
              </w:rPr>
              <w:t>废</w:t>
            </w:r>
            <w:r>
              <w:rPr>
                <w:rFonts w:hint="eastAsia"/>
                <w:kern w:val="0"/>
                <w:sz w:val="24"/>
                <w:szCs w:val="24"/>
                <w:lang w:val="en-US"/>
              </w:rPr>
              <w:t>瓷粉：打孔工序产生的废陶瓷产生量约为0.3t/a；水磨过程中使用水润滑，产生的陶瓷泥料约</w:t>
            </w:r>
            <w:r>
              <w:rPr>
                <w:rFonts w:hint="eastAsia"/>
                <w:kern w:val="0"/>
                <w:sz w:val="24"/>
                <w:szCs w:val="24"/>
                <w:lang w:val="en-US" w:eastAsia="zh-CN"/>
              </w:rPr>
              <w:t>0.8</w:t>
            </w:r>
            <w:r>
              <w:rPr>
                <w:rFonts w:hint="eastAsia"/>
                <w:kern w:val="0"/>
                <w:sz w:val="24"/>
                <w:szCs w:val="24"/>
                <w:lang w:val="en-US"/>
              </w:rPr>
              <w:t>t/a；废次品，根据同行业类比，本项目产生量约为0.2t/a，出售给相应公司回收利用；打孔工序粉尘产生量为0.0</w:t>
            </w:r>
            <w:r>
              <w:rPr>
                <w:rFonts w:hint="eastAsia"/>
                <w:kern w:val="0"/>
                <w:sz w:val="24"/>
                <w:szCs w:val="24"/>
                <w:lang w:val="en-US" w:eastAsia="zh-CN"/>
              </w:rPr>
              <w:t>0</w:t>
            </w:r>
            <w:r>
              <w:rPr>
                <w:rFonts w:hint="eastAsia"/>
                <w:kern w:val="0"/>
                <w:sz w:val="24"/>
                <w:szCs w:val="24"/>
                <w:lang w:val="en-US"/>
              </w:rPr>
              <w:t>5t/a，捕集率为90%，布袋除尘器收集率为9</w:t>
            </w:r>
            <w:r>
              <w:rPr>
                <w:rFonts w:hint="eastAsia"/>
                <w:kern w:val="0"/>
                <w:sz w:val="24"/>
                <w:szCs w:val="24"/>
                <w:lang w:val="en-US" w:eastAsia="zh-CN"/>
              </w:rPr>
              <w:t>5</w:t>
            </w:r>
            <w:r>
              <w:rPr>
                <w:rFonts w:hint="eastAsia"/>
                <w:kern w:val="0"/>
                <w:sz w:val="24"/>
                <w:szCs w:val="24"/>
                <w:lang w:val="en-US"/>
              </w:rPr>
              <w:t>%，故布袋除尘器收集废瓷粉0.0</w:t>
            </w:r>
            <w:r>
              <w:rPr>
                <w:rFonts w:hint="eastAsia"/>
                <w:kern w:val="0"/>
                <w:sz w:val="24"/>
                <w:szCs w:val="24"/>
                <w:lang w:val="en-US" w:eastAsia="zh-CN"/>
              </w:rPr>
              <w:t>043</w:t>
            </w:r>
            <w:r>
              <w:rPr>
                <w:rFonts w:hint="eastAsia"/>
                <w:kern w:val="0"/>
                <w:sz w:val="24"/>
                <w:szCs w:val="24"/>
                <w:lang w:val="en-US"/>
              </w:rPr>
              <w:t>t/a。废陶瓷、陶瓷泥料、废次品、</w:t>
            </w:r>
            <w:r>
              <w:rPr>
                <w:rFonts w:hint="eastAsia" w:ascii="宋体" w:hAnsi="宋体" w:cs="宋体"/>
                <w:kern w:val="0"/>
                <w:sz w:val="24"/>
                <w:szCs w:val="24"/>
                <w:lang w:val="en-US"/>
              </w:rPr>
              <w:t>废</w:t>
            </w:r>
            <w:r>
              <w:rPr>
                <w:rFonts w:hint="eastAsia"/>
                <w:kern w:val="0"/>
                <w:sz w:val="24"/>
                <w:szCs w:val="24"/>
                <w:lang w:val="en-US"/>
              </w:rPr>
              <w:t>瓷粉均收集后统一外售相关公司回收利用。</w:t>
            </w:r>
          </w:p>
          <w:p>
            <w:pPr>
              <w:adjustRightInd w:val="0"/>
              <w:snapToGrid w:val="0"/>
              <w:spacing w:line="360" w:lineRule="auto"/>
              <w:ind w:firstLine="480" w:firstLineChars="200"/>
              <w:rPr>
                <w:rFonts w:hint="eastAsia" w:hAnsi="宋体"/>
                <w:kern w:val="0"/>
                <w:sz w:val="24"/>
                <w:szCs w:val="24"/>
                <w:lang w:val="en-US"/>
              </w:rPr>
            </w:pPr>
            <w:r>
              <w:rPr>
                <w:rFonts w:hint="eastAsia" w:hAnsi="宋体"/>
                <w:kern w:val="0"/>
                <w:sz w:val="24"/>
                <w:szCs w:val="24"/>
                <w:lang w:val="en-US"/>
              </w:rPr>
              <w:t>生活垃圾：本项目员工</w:t>
            </w:r>
            <w:r>
              <w:rPr>
                <w:rFonts w:hAnsi="宋体"/>
                <w:kern w:val="0"/>
                <w:sz w:val="24"/>
                <w:szCs w:val="24"/>
                <w:lang w:val="en-US"/>
              </w:rPr>
              <w:t>约</w:t>
            </w:r>
            <w:r>
              <w:rPr>
                <w:rFonts w:hint="eastAsia" w:hAnsi="宋体"/>
                <w:kern w:val="0"/>
                <w:sz w:val="24"/>
                <w:szCs w:val="24"/>
                <w:lang w:val="en-US"/>
              </w:rPr>
              <w:t>6</w:t>
            </w:r>
            <w:r>
              <w:rPr>
                <w:rFonts w:hAnsi="宋体"/>
                <w:kern w:val="0"/>
                <w:sz w:val="24"/>
                <w:szCs w:val="24"/>
                <w:lang w:val="en-US"/>
              </w:rPr>
              <w:t>人，生活垃圾产生量以</w:t>
            </w:r>
            <w:r>
              <w:rPr>
                <w:kern w:val="0"/>
                <w:sz w:val="24"/>
                <w:szCs w:val="24"/>
                <w:lang w:val="en-US"/>
              </w:rPr>
              <w:t>0.5kg/</w:t>
            </w:r>
            <w:r>
              <w:rPr>
                <w:rFonts w:hAnsi="宋体"/>
                <w:kern w:val="0"/>
                <w:sz w:val="24"/>
                <w:szCs w:val="24"/>
                <w:lang w:val="en-US"/>
              </w:rPr>
              <w:t>人</w:t>
            </w:r>
            <w:r>
              <w:rPr>
                <w:kern w:val="0"/>
                <w:sz w:val="24"/>
                <w:szCs w:val="24"/>
                <w:lang w:val="en-US"/>
              </w:rPr>
              <w:t>·d</w:t>
            </w:r>
            <w:r>
              <w:rPr>
                <w:rFonts w:hAnsi="宋体"/>
                <w:kern w:val="0"/>
                <w:sz w:val="24"/>
                <w:szCs w:val="24"/>
                <w:lang w:val="en-US"/>
              </w:rPr>
              <w:t>计，则生活垃圾产生量为</w:t>
            </w:r>
            <w:r>
              <w:rPr>
                <w:rFonts w:hint="eastAsia" w:hAnsi="宋体"/>
                <w:kern w:val="0"/>
                <w:sz w:val="24"/>
                <w:szCs w:val="24"/>
                <w:lang w:val="en-US"/>
              </w:rPr>
              <w:t>0.9</w:t>
            </w:r>
            <w:r>
              <w:rPr>
                <w:kern w:val="0"/>
                <w:sz w:val="24"/>
                <w:szCs w:val="24"/>
                <w:lang w:val="en-US"/>
              </w:rPr>
              <w:t>t</w:t>
            </w:r>
            <w:r>
              <w:rPr>
                <w:rFonts w:hint="eastAsia"/>
                <w:kern w:val="0"/>
                <w:sz w:val="24"/>
                <w:szCs w:val="24"/>
                <w:lang w:val="en-US"/>
              </w:rPr>
              <w:t>/a</w:t>
            </w:r>
            <w:r>
              <w:rPr>
                <w:rFonts w:hint="eastAsia" w:hAnsi="宋体"/>
                <w:kern w:val="0"/>
                <w:sz w:val="24"/>
                <w:szCs w:val="24"/>
                <w:lang w:val="en-US"/>
              </w:rPr>
              <w:t>。收集后由环卫部门统一清运。</w:t>
            </w:r>
          </w:p>
          <w:p>
            <w:pPr>
              <w:spacing w:line="360" w:lineRule="auto"/>
              <w:ind w:firstLine="495"/>
              <w:rPr>
                <w:bCs/>
                <w:sz w:val="24"/>
              </w:rPr>
            </w:pPr>
            <w:r>
              <w:rPr>
                <w:rFonts w:hint="eastAsia" w:hAnsi="宋体"/>
                <w:bCs/>
                <w:sz w:val="24"/>
              </w:rPr>
              <w:t>3.1、</w:t>
            </w:r>
            <w:r>
              <w:rPr>
                <w:rFonts w:hAnsi="宋体"/>
                <w:bCs/>
                <w:sz w:val="24"/>
              </w:rPr>
              <w:t>固体废物属性判定</w:t>
            </w:r>
          </w:p>
          <w:p>
            <w:pPr>
              <w:adjustRightInd w:val="0"/>
              <w:snapToGrid w:val="0"/>
              <w:spacing w:line="360" w:lineRule="auto"/>
              <w:ind w:firstLine="480" w:firstLineChars="200"/>
              <w:rPr>
                <w:rFonts w:hint="eastAsia" w:hAnsi="宋体"/>
                <w:kern w:val="0"/>
                <w:sz w:val="24"/>
                <w:szCs w:val="24"/>
                <w:lang w:val="en-US"/>
              </w:rPr>
            </w:pPr>
            <w:r>
              <w:rPr>
                <w:rFonts w:hint="eastAsia" w:hAnsi="宋体"/>
                <w:kern w:val="0"/>
                <w:sz w:val="24"/>
                <w:szCs w:val="24"/>
                <w:lang w:val="en-US"/>
              </w:rPr>
              <w:t>根据《中华人民共和国固体废物污染环境防治法》的规定，判断建设项目生产过程中产生的副产物是否属于固体废物，判定依据---《固体废物鉴别标准 通则》（GB 34330-2017）。</w:t>
            </w:r>
          </w:p>
          <w:p>
            <w:pPr>
              <w:pStyle w:val="134"/>
              <w:numPr>
                <w:ilvl w:val="0"/>
                <w:numId w:val="0"/>
              </w:numPr>
              <w:spacing w:line="400" w:lineRule="exact"/>
              <w:rPr>
                <w:bCs/>
                <w:sz w:val="24"/>
                <w:szCs w:val="24"/>
              </w:rPr>
            </w:pPr>
            <w:r>
              <w:rPr>
                <w:bCs/>
                <w:sz w:val="24"/>
                <w:szCs w:val="24"/>
              </w:rPr>
              <w:t>表</w:t>
            </w:r>
            <w:r>
              <w:rPr>
                <w:rFonts w:hint="eastAsia"/>
                <w:bCs/>
                <w:sz w:val="24"/>
                <w:szCs w:val="24"/>
              </w:rPr>
              <w:t>5-</w:t>
            </w:r>
            <w:r>
              <w:rPr>
                <w:rFonts w:hint="eastAsia"/>
                <w:bCs/>
                <w:sz w:val="24"/>
                <w:szCs w:val="24"/>
                <w:lang w:val="en-US" w:eastAsia="zh-CN"/>
              </w:rPr>
              <w:t>4</w:t>
            </w:r>
            <w:r>
              <w:rPr>
                <w:rFonts w:hint="eastAsia"/>
                <w:bCs/>
                <w:sz w:val="24"/>
                <w:szCs w:val="24"/>
              </w:rPr>
              <w:t xml:space="preserve"> </w:t>
            </w:r>
            <w:r>
              <w:rPr>
                <w:bCs/>
                <w:sz w:val="24"/>
                <w:szCs w:val="24"/>
              </w:rPr>
              <w:t xml:space="preserve"> 建设项目副产物产生情况汇总表</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504"/>
              <w:gridCol w:w="869"/>
              <w:gridCol w:w="1059"/>
              <w:gridCol w:w="654"/>
              <w:gridCol w:w="928"/>
              <w:gridCol w:w="900"/>
              <w:gridCol w:w="913"/>
              <w:gridCol w:w="917"/>
              <w:gridCol w:w="1569"/>
            </w:tblGrid>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480" w:hRule="atLeast"/>
                <w:jc w:val="center"/>
              </w:trPr>
              <w:tc>
                <w:tcPr>
                  <w:tcW w:w="504" w:type="dxa"/>
                  <w:vMerge w:val="restart"/>
                  <w:tcBorders>
                    <w:tl2br w:val="nil"/>
                    <w:tr2bl w:val="nil"/>
                  </w:tcBorders>
                  <w:noWrap w:val="0"/>
                  <w:vAlign w:val="center"/>
                </w:tcPr>
                <w:p>
                  <w:pPr>
                    <w:jc w:val="center"/>
                    <w:rPr>
                      <w:sz w:val="21"/>
                      <w:szCs w:val="21"/>
                    </w:rPr>
                  </w:pPr>
                  <w:r>
                    <w:rPr>
                      <w:sz w:val="21"/>
                      <w:szCs w:val="21"/>
                    </w:rPr>
                    <w:t>序号</w:t>
                  </w:r>
                </w:p>
              </w:tc>
              <w:tc>
                <w:tcPr>
                  <w:tcW w:w="869" w:type="dxa"/>
                  <w:vMerge w:val="restart"/>
                  <w:tcBorders>
                    <w:tl2br w:val="nil"/>
                    <w:tr2bl w:val="nil"/>
                  </w:tcBorders>
                  <w:noWrap w:val="0"/>
                  <w:vAlign w:val="center"/>
                </w:tcPr>
                <w:p>
                  <w:pPr>
                    <w:jc w:val="center"/>
                    <w:rPr>
                      <w:sz w:val="21"/>
                      <w:szCs w:val="21"/>
                    </w:rPr>
                  </w:pPr>
                  <w:r>
                    <w:rPr>
                      <w:sz w:val="21"/>
                      <w:szCs w:val="21"/>
                    </w:rPr>
                    <w:t>副产物名称</w:t>
                  </w:r>
                </w:p>
              </w:tc>
              <w:tc>
                <w:tcPr>
                  <w:tcW w:w="1059" w:type="dxa"/>
                  <w:vMerge w:val="restart"/>
                  <w:tcBorders>
                    <w:tl2br w:val="nil"/>
                    <w:tr2bl w:val="nil"/>
                  </w:tcBorders>
                  <w:noWrap w:val="0"/>
                  <w:vAlign w:val="center"/>
                </w:tcPr>
                <w:p>
                  <w:pPr>
                    <w:jc w:val="center"/>
                    <w:rPr>
                      <w:sz w:val="21"/>
                      <w:szCs w:val="21"/>
                    </w:rPr>
                  </w:pPr>
                  <w:r>
                    <w:rPr>
                      <w:sz w:val="21"/>
                      <w:szCs w:val="21"/>
                    </w:rPr>
                    <w:t>产生工序</w:t>
                  </w:r>
                </w:p>
              </w:tc>
              <w:tc>
                <w:tcPr>
                  <w:tcW w:w="654" w:type="dxa"/>
                  <w:vMerge w:val="restart"/>
                  <w:tcBorders>
                    <w:tl2br w:val="nil"/>
                    <w:tr2bl w:val="nil"/>
                  </w:tcBorders>
                  <w:noWrap w:val="0"/>
                  <w:vAlign w:val="center"/>
                </w:tcPr>
                <w:p>
                  <w:pPr>
                    <w:jc w:val="center"/>
                    <w:rPr>
                      <w:sz w:val="21"/>
                      <w:szCs w:val="21"/>
                    </w:rPr>
                  </w:pPr>
                  <w:r>
                    <w:rPr>
                      <w:sz w:val="21"/>
                      <w:szCs w:val="21"/>
                    </w:rPr>
                    <w:t>形态</w:t>
                  </w:r>
                </w:p>
              </w:tc>
              <w:tc>
                <w:tcPr>
                  <w:tcW w:w="928" w:type="dxa"/>
                  <w:vMerge w:val="restart"/>
                  <w:tcBorders>
                    <w:tl2br w:val="nil"/>
                    <w:tr2bl w:val="nil"/>
                  </w:tcBorders>
                  <w:noWrap w:val="0"/>
                  <w:vAlign w:val="center"/>
                </w:tcPr>
                <w:p>
                  <w:pPr>
                    <w:jc w:val="center"/>
                    <w:rPr>
                      <w:rFonts w:hint="eastAsia"/>
                      <w:sz w:val="21"/>
                      <w:szCs w:val="21"/>
                    </w:rPr>
                  </w:pPr>
                  <w:r>
                    <w:rPr>
                      <w:sz w:val="21"/>
                      <w:szCs w:val="21"/>
                    </w:rPr>
                    <w:t>主要</w:t>
                  </w:r>
                </w:p>
                <w:p>
                  <w:pPr>
                    <w:jc w:val="center"/>
                    <w:rPr>
                      <w:sz w:val="21"/>
                      <w:szCs w:val="21"/>
                    </w:rPr>
                  </w:pPr>
                  <w:r>
                    <w:rPr>
                      <w:sz w:val="21"/>
                      <w:szCs w:val="21"/>
                    </w:rPr>
                    <w:t>成分</w:t>
                  </w:r>
                </w:p>
              </w:tc>
              <w:tc>
                <w:tcPr>
                  <w:tcW w:w="900" w:type="dxa"/>
                  <w:vMerge w:val="restart"/>
                  <w:tcBorders>
                    <w:tl2br w:val="nil"/>
                    <w:tr2bl w:val="nil"/>
                  </w:tcBorders>
                  <w:noWrap w:val="0"/>
                  <w:vAlign w:val="center"/>
                </w:tcPr>
                <w:p>
                  <w:pPr>
                    <w:jc w:val="center"/>
                    <w:rPr>
                      <w:rFonts w:hint="eastAsia"/>
                      <w:sz w:val="21"/>
                      <w:szCs w:val="21"/>
                    </w:rPr>
                  </w:pPr>
                  <w:r>
                    <w:rPr>
                      <w:sz w:val="21"/>
                      <w:szCs w:val="21"/>
                    </w:rPr>
                    <w:t>预测产生量</w:t>
                  </w:r>
                </w:p>
                <w:p>
                  <w:pPr>
                    <w:jc w:val="center"/>
                    <w:rPr>
                      <w:sz w:val="21"/>
                      <w:szCs w:val="21"/>
                    </w:rPr>
                  </w:pPr>
                  <w:r>
                    <w:rPr>
                      <w:rFonts w:hint="eastAsia"/>
                      <w:sz w:val="21"/>
                      <w:szCs w:val="21"/>
                    </w:rPr>
                    <w:t>t/a</w:t>
                  </w:r>
                </w:p>
              </w:tc>
              <w:tc>
                <w:tcPr>
                  <w:tcW w:w="3399" w:type="dxa"/>
                  <w:gridSpan w:val="3"/>
                  <w:tcBorders>
                    <w:tl2br w:val="nil"/>
                    <w:tr2bl w:val="nil"/>
                  </w:tcBorders>
                  <w:noWrap w:val="0"/>
                  <w:vAlign w:val="center"/>
                </w:tcPr>
                <w:p>
                  <w:pPr>
                    <w:jc w:val="center"/>
                    <w:rPr>
                      <w:sz w:val="21"/>
                      <w:szCs w:val="21"/>
                    </w:rPr>
                  </w:pPr>
                  <w:r>
                    <w:rPr>
                      <w:sz w:val="21"/>
                      <w:szCs w:val="21"/>
                    </w:rPr>
                    <w:t>种类判断</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627" w:hRule="atLeast"/>
                <w:jc w:val="center"/>
              </w:trPr>
              <w:tc>
                <w:tcPr>
                  <w:tcW w:w="504" w:type="dxa"/>
                  <w:vMerge w:val="continue"/>
                  <w:tcBorders>
                    <w:tl2br w:val="nil"/>
                    <w:tr2bl w:val="nil"/>
                  </w:tcBorders>
                  <w:noWrap w:val="0"/>
                  <w:vAlign w:val="center"/>
                </w:tcPr>
                <w:p>
                  <w:pPr>
                    <w:jc w:val="center"/>
                    <w:rPr>
                      <w:sz w:val="21"/>
                      <w:szCs w:val="21"/>
                    </w:rPr>
                  </w:pPr>
                </w:p>
              </w:tc>
              <w:tc>
                <w:tcPr>
                  <w:tcW w:w="869" w:type="dxa"/>
                  <w:vMerge w:val="continue"/>
                  <w:tcBorders>
                    <w:tl2br w:val="nil"/>
                    <w:tr2bl w:val="nil"/>
                  </w:tcBorders>
                  <w:noWrap w:val="0"/>
                  <w:vAlign w:val="center"/>
                </w:tcPr>
                <w:p>
                  <w:pPr>
                    <w:jc w:val="center"/>
                    <w:rPr>
                      <w:sz w:val="21"/>
                      <w:szCs w:val="21"/>
                    </w:rPr>
                  </w:pPr>
                </w:p>
              </w:tc>
              <w:tc>
                <w:tcPr>
                  <w:tcW w:w="1059" w:type="dxa"/>
                  <w:vMerge w:val="continue"/>
                  <w:tcBorders>
                    <w:tl2br w:val="nil"/>
                    <w:tr2bl w:val="nil"/>
                  </w:tcBorders>
                  <w:noWrap w:val="0"/>
                  <w:vAlign w:val="center"/>
                </w:tcPr>
                <w:p>
                  <w:pPr>
                    <w:jc w:val="center"/>
                    <w:rPr>
                      <w:sz w:val="21"/>
                      <w:szCs w:val="21"/>
                    </w:rPr>
                  </w:pPr>
                </w:p>
              </w:tc>
              <w:tc>
                <w:tcPr>
                  <w:tcW w:w="654" w:type="dxa"/>
                  <w:vMerge w:val="continue"/>
                  <w:tcBorders>
                    <w:tl2br w:val="nil"/>
                    <w:tr2bl w:val="nil"/>
                  </w:tcBorders>
                  <w:noWrap w:val="0"/>
                  <w:vAlign w:val="center"/>
                </w:tcPr>
                <w:p>
                  <w:pPr>
                    <w:jc w:val="center"/>
                    <w:rPr>
                      <w:sz w:val="21"/>
                      <w:szCs w:val="21"/>
                    </w:rPr>
                  </w:pPr>
                </w:p>
              </w:tc>
              <w:tc>
                <w:tcPr>
                  <w:tcW w:w="928" w:type="dxa"/>
                  <w:vMerge w:val="continue"/>
                  <w:tcBorders>
                    <w:tl2br w:val="nil"/>
                    <w:tr2bl w:val="nil"/>
                  </w:tcBorders>
                  <w:noWrap w:val="0"/>
                  <w:vAlign w:val="center"/>
                </w:tcPr>
                <w:p>
                  <w:pPr>
                    <w:jc w:val="center"/>
                    <w:rPr>
                      <w:sz w:val="21"/>
                      <w:szCs w:val="21"/>
                    </w:rPr>
                  </w:pPr>
                </w:p>
              </w:tc>
              <w:tc>
                <w:tcPr>
                  <w:tcW w:w="900" w:type="dxa"/>
                  <w:vMerge w:val="continue"/>
                  <w:tcBorders>
                    <w:tl2br w:val="nil"/>
                    <w:tr2bl w:val="nil"/>
                  </w:tcBorders>
                  <w:noWrap w:val="0"/>
                  <w:vAlign w:val="center"/>
                </w:tcPr>
                <w:p>
                  <w:pPr>
                    <w:jc w:val="center"/>
                    <w:rPr>
                      <w:sz w:val="21"/>
                      <w:szCs w:val="21"/>
                    </w:rPr>
                  </w:pPr>
                </w:p>
              </w:tc>
              <w:tc>
                <w:tcPr>
                  <w:tcW w:w="913" w:type="dxa"/>
                  <w:tcBorders>
                    <w:tl2br w:val="nil"/>
                    <w:tr2bl w:val="nil"/>
                  </w:tcBorders>
                  <w:noWrap w:val="0"/>
                  <w:vAlign w:val="center"/>
                </w:tcPr>
                <w:p>
                  <w:pPr>
                    <w:jc w:val="center"/>
                    <w:rPr>
                      <w:rFonts w:hint="eastAsia"/>
                      <w:sz w:val="21"/>
                      <w:szCs w:val="21"/>
                    </w:rPr>
                  </w:pPr>
                  <w:r>
                    <w:rPr>
                      <w:sz w:val="21"/>
                      <w:szCs w:val="21"/>
                    </w:rPr>
                    <w:t>固体废</w:t>
                  </w:r>
                </w:p>
                <w:p>
                  <w:pPr>
                    <w:jc w:val="center"/>
                    <w:rPr>
                      <w:sz w:val="21"/>
                      <w:szCs w:val="21"/>
                    </w:rPr>
                  </w:pPr>
                  <w:r>
                    <w:rPr>
                      <w:sz w:val="21"/>
                      <w:szCs w:val="21"/>
                    </w:rPr>
                    <w:t>物</w:t>
                  </w:r>
                </w:p>
              </w:tc>
              <w:tc>
                <w:tcPr>
                  <w:tcW w:w="917" w:type="dxa"/>
                  <w:tcBorders>
                    <w:tl2br w:val="nil"/>
                    <w:tr2bl w:val="nil"/>
                  </w:tcBorders>
                  <w:noWrap w:val="0"/>
                  <w:vAlign w:val="center"/>
                </w:tcPr>
                <w:p>
                  <w:pPr>
                    <w:jc w:val="center"/>
                    <w:rPr>
                      <w:sz w:val="21"/>
                      <w:szCs w:val="21"/>
                    </w:rPr>
                  </w:pPr>
                  <w:r>
                    <w:rPr>
                      <w:rFonts w:hint="eastAsia"/>
                      <w:sz w:val="21"/>
                      <w:szCs w:val="21"/>
                    </w:rPr>
                    <w:t>副产品</w:t>
                  </w:r>
                </w:p>
              </w:tc>
              <w:tc>
                <w:tcPr>
                  <w:tcW w:w="1569" w:type="dxa"/>
                  <w:tcBorders>
                    <w:tl2br w:val="nil"/>
                    <w:tr2bl w:val="nil"/>
                  </w:tcBorders>
                  <w:noWrap w:val="0"/>
                  <w:vAlign w:val="center"/>
                </w:tcPr>
                <w:p>
                  <w:pPr>
                    <w:jc w:val="center"/>
                    <w:rPr>
                      <w:sz w:val="21"/>
                      <w:szCs w:val="21"/>
                    </w:rPr>
                  </w:pPr>
                  <w:r>
                    <w:rPr>
                      <w:rFonts w:hint="eastAsia"/>
                      <w:sz w:val="21"/>
                      <w:szCs w:val="21"/>
                    </w:rPr>
                    <w:t>判定依据</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trHeight w:val="544" w:hRule="atLeast"/>
                <w:jc w:val="center"/>
              </w:trPr>
              <w:tc>
                <w:tcPr>
                  <w:tcW w:w="504"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1</w:t>
                  </w:r>
                </w:p>
              </w:tc>
              <w:tc>
                <w:tcPr>
                  <w:tcW w:w="869"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废陶瓷</w:t>
                  </w:r>
                </w:p>
              </w:tc>
              <w:tc>
                <w:tcPr>
                  <w:tcW w:w="1059" w:type="dxa"/>
                  <w:tcBorders>
                    <w:tl2br w:val="nil"/>
                    <w:tr2bl w:val="nil"/>
                  </w:tcBorders>
                  <w:noWrap w:val="0"/>
                  <w:vAlign w:val="center"/>
                </w:tcPr>
                <w:p>
                  <w:pPr>
                    <w:pStyle w:val="127"/>
                    <w:spacing w:line="240" w:lineRule="auto"/>
                    <w:rPr>
                      <w:rFonts w:hint="eastAsia" w:eastAsia="宋体"/>
                      <w:sz w:val="21"/>
                      <w:szCs w:val="21"/>
                      <w:lang w:eastAsia="zh-CN"/>
                    </w:rPr>
                  </w:pPr>
                  <w:r>
                    <w:rPr>
                      <w:rFonts w:hint="eastAsia"/>
                      <w:sz w:val="21"/>
                      <w:szCs w:val="21"/>
                      <w:lang w:eastAsia="zh-CN"/>
                    </w:rPr>
                    <w:t>打孔</w:t>
                  </w:r>
                </w:p>
              </w:tc>
              <w:tc>
                <w:tcPr>
                  <w:tcW w:w="654"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固体</w:t>
                  </w:r>
                </w:p>
              </w:tc>
              <w:tc>
                <w:tcPr>
                  <w:tcW w:w="928" w:type="dxa"/>
                  <w:tcBorders>
                    <w:tl2br w:val="nil"/>
                    <w:tr2bl w:val="nil"/>
                  </w:tcBorders>
                  <w:noWrap w:val="0"/>
                  <w:vAlign w:val="center"/>
                </w:tcPr>
                <w:p>
                  <w:pPr>
                    <w:pStyle w:val="127"/>
                    <w:spacing w:line="240" w:lineRule="auto"/>
                    <w:rPr>
                      <w:rFonts w:hint="eastAsia" w:eastAsia="宋体"/>
                      <w:sz w:val="21"/>
                      <w:szCs w:val="21"/>
                      <w:lang w:eastAsia="zh-CN"/>
                    </w:rPr>
                  </w:pPr>
                  <w:r>
                    <w:rPr>
                      <w:rFonts w:hint="eastAsia"/>
                      <w:sz w:val="21"/>
                      <w:szCs w:val="21"/>
                      <w:lang w:eastAsia="zh-CN"/>
                    </w:rPr>
                    <w:t>陶瓷</w:t>
                  </w:r>
                </w:p>
              </w:tc>
              <w:tc>
                <w:tcPr>
                  <w:tcW w:w="900"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rPr>
                    <w:t>0.3</w:t>
                  </w:r>
                </w:p>
              </w:tc>
              <w:tc>
                <w:tcPr>
                  <w:tcW w:w="913" w:type="dxa"/>
                  <w:tcBorders>
                    <w:tl2br w:val="nil"/>
                    <w:tr2bl w:val="nil"/>
                  </w:tcBorders>
                  <w:noWrap w:val="0"/>
                  <w:vAlign w:val="center"/>
                </w:tcPr>
                <w:p>
                  <w:pPr>
                    <w:jc w:val="center"/>
                    <w:rPr>
                      <w:sz w:val="21"/>
                      <w:szCs w:val="21"/>
                    </w:rPr>
                  </w:pPr>
                  <w:r>
                    <w:rPr>
                      <w:sz w:val="21"/>
                      <w:szCs w:val="21"/>
                    </w:rPr>
                    <w:t>√</w:t>
                  </w:r>
                </w:p>
              </w:tc>
              <w:tc>
                <w:tcPr>
                  <w:tcW w:w="917" w:type="dxa"/>
                  <w:tcBorders>
                    <w:tl2br w:val="nil"/>
                    <w:tr2bl w:val="nil"/>
                  </w:tcBorders>
                  <w:noWrap w:val="0"/>
                  <w:vAlign w:val="center"/>
                </w:tcPr>
                <w:p>
                  <w:pPr>
                    <w:jc w:val="center"/>
                    <w:rPr>
                      <w:sz w:val="21"/>
                      <w:szCs w:val="21"/>
                    </w:rPr>
                  </w:pPr>
                  <w:r>
                    <w:rPr>
                      <w:rFonts w:hint="eastAsia"/>
                      <w:sz w:val="21"/>
                      <w:szCs w:val="21"/>
                    </w:rPr>
                    <w:t>/</w:t>
                  </w:r>
                </w:p>
              </w:tc>
              <w:tc>
                <w:tcPr>
                  <w:tcW w:w="1569" w:type="dxa"/>
                  <w:vMerge w:val="restart"/>
                  <w:tcBorders>
                    <w:tl2br w:val="nil"/>
                    <w:tr2bl w:val="nil"/>
                  </w:tcBorders>
                  <w:noWrap w:val="0"/>
                  <w:vAlign w:val="center"/>
                </w:tcPr>
                <w:p>
                  <w:pPr>
                    <w:jc w:val="center"/>
                    <w:rPr>
                      <w:sz w:val="21"/>
                      <w:szCs w:val="21"/>
                    </w:rPr>
                  </w:pPr>
                  <w:r>
                    <w:rPr>
                      <w:rFonts w:hint="eastAsia" w:hAnsi="宋体"/>
                      <w:color w:val="000000"/>
                      <w:kern w:val="0"/>
                      <w:sz w:val="21"/>
                      <w:szCs w:val="21"/>
                    </w:rPr>
                    <w:t>《固体废物鉴别标准 通则》</w:t>
                  </w:r>
                  <w:r>
                    <w:rPr>
                      <w:rFonts w:hAnsi="宋体"/>
                      <w:color w:val="000000"/>
                      <w:kern w:val="0"/>
                      <w:sz w:val="21"/>
                      <w:szCs w:val="21"/>
                    </w:rPr>
                    <w:t>（GB 34330-2017）</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2</w:t>
                  </w:r>
                </w:p>
              </w:tc>
              <w:tc>
                <w:tcPr>
                  <w:tcW w:w="869"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陶瓷泥料</w:t>
                  </w:r>
                </w:p>
              </w:tc>
              <w:tc>
                <w:tcPr>
                  <w:tcW w:w="1059" w:type="dxa"/>
                  <w:tcBorders>
                    <w:tl2br w:val="nil"/>
                    <w:tr2bl w:val="nil"/>
                  </w:tcBorders>
                  <w:noWrap w:val="0"/>
                  <w:vAlign w:val="center"/>
                </w:tcPr>
                <w:p>
                  <w:pPr>
                    <w:pStyle w:val="127"/>
                    <w:spacing w:line="240" w:lineRule="auto"/>
                    <w:rPr>
                      <w:rFonts w:hint="eastAsia" w:eastAsia="宋体"/>
                      <w:sz w:val="21"/>
                      <w:szCs w:val="21"/>
                      <w:lang w:eastAsia="zh-CN"/>
                    </w:rPr>
                  </w:pPr>
                  <w:r>
                    <w:rPr>
                      <w:rFonts w:hint="eastAsia"/>
                      <w:sz w:val="21"/>
                      <w:szCs w:val="21"/>
                      <w:lang w:eastAsia="zh-CN"/>
                    </w:rPr>
                    <w:t>水磨</w:t>
                  </w:r>
                </w:p>
              </w:tc>
              <w:tc>
                <w:tcPr>
                  <w:tcW w:w="654"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固体</w:t>
                  </w:r>
                </w:p>
              </w:tc>
              <w:tc>
                <w:tcPr>
                  <w:tcW w:w="928" w:type="dxa"/>
                  <w:tcBorders>
                    <w:tl2br w:val="nil"/>
                    <w:tr2bl w:val="nil"/>
                  </w:tcBorders>
                  <w:noWrap w:val="0"/>
                  <w:vAlign w:val="center"/>
                </w:tcPr>
                <w:p>
                  <w:pPr>
                    <w:pStyle w:val="127"/>
                    <w:spacing w:line="240" w:lineRule="auto"/>
                    <w:rPr>
                      <w:sz w:val="21"/>
                      <w:szCs w:val="21"/>
                    </w:rPr>
                  </w:pPr>
                  <w:r>
                    <w:rPr>
                      <w:rFonts w:hint="eastAsia"/>
                      <w:sz w:val="21"/>
                      <w:szCs w:val="21"/>
                      <w:lang w:eastAsia="zh-CN"/>
                    </w:rPr>
                    <w:t>陶瓷</w:t>
                  </w:r>
                </w:p>
              </w:tc>
              <w:tc>
                <w:tcPr>
                  <w:tcW w:w="900" w:type="dxa"/>
                  <w:tcBorders>
                    <w:tl2br w:val="nil"/>
                    <w:tr2bl w:val="nil"/>
                  </w:tcBorders>
                  <w:noWrap w:val="0"/>
                  <w:vAlign w:val="center"/>
                </w:tcPr>
                <w:p>
                  <w:pPr>
                    <w:pStyle w:val="127"/>
                    <w:spacing w:line="240" w:lineRule="auto"/>
                    <w:rPr>
                      <w:rFonts w:hint="default" w:eastAsia="宋体"/>
                      <w:sz w:val="21"/>
                      <w:szCs w:val="21"/>
                      <w:lang w:val="en-US" w:eastAsia="zh-CN"/>
                    </w:rPr>
                  </w:pPr>
                  <w:r>
                    <w:rPr>
                      <w:rFonts w:hint="eastAsia" w:ascii="Times New Roman" w:hAnsi="Times New Roman" w:cs="Times New Roman"/>
                      <w:lang w:val="en-US" w:eastAsia="zh-CN"/>
                    </w:rPr>
                    <w:t>0.8</w:t>
                  </w:r>
                </w:p>
              </w:tc>
              <w:tc>
                <w:tcPr>
                  <w:tcW w:w="913" w:type="dxa"/>
                  <w:tcBorders>
                    <w:tl2br w:val="nil"/>
                    <w:tr2bl w:val="nil"/>
                  </w:tcBorders>
                  <w:noWrap w:val="0"/>
                  <w:vAlign w:val="center"/>
                </w:tcPr>
                <w:p>
                  <w:pPr>
                    <w:jc w:val="center"/>
                    <w:rPr>
                      <w:sz w:val="21"/>
                      <w:szCs w:val="21"/>
                    </w:rPr>
                  </w:pPr>
                  <w:r>
                    <w:rPr>
                      <w:sz w:val="21"/>
                      <w:szCs w:val="21"/>
                    </w:rPr>
                    <w:t>√</w:t>
                  </w:r>
                </w:p>
              </w:tc>
              <w:tc>
                <w:tcPr>
                  <w:tcW w:w="917" w:type="dxa"/>
                  <w:tcBorders>
                    <w:tl2br w:val="nil"/>
                    <w:tr2bl w:val="nil"/>
                  </w:tcBorders>
                  <w:noWrap w:val="0"/>
                  <w:vAlign w:val="center"/>
                </w:tcPr>
                <w:p>
                  <w:pPr>
                    <w:jc w:val="center"/>
                    <w:rPr>
                      <w:sz w:val="21"/>
                      <w:szCs w:val="21"/>
                    </w:rPr>
                  </w:pPr>
                  <w:r>
                    <w:rPr>
                      <w:rFonts w:hint="eastAsia"/>
                      <w:sz w:val="21"/>
                      <w:szCs w:val="21"/>
                    </w:rPr>
                    <w:t>/</w:t>
                  </w:r>
                </w:p>
              </w:tc>
              <w:tc>
                <w:tcPr>
                  <w:tcW w:w="1569" w:type="dxa"/>
                  <w:vMerge w:val="continue"/>
                  <w:tcBorders>
                    <w:tl2br w:val="nil"/>
                    <w:tr2bl w:val="nil"/>
                  </w:tcBorders>
                  <w:noWrap w:val="0"/>
                  <w:vAlign w:val="center"/>
                </w:tcPr>
                <w:p>
                  <w:pPr>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3</w:t>
                  </w:r>
                </w:p>
              </w:tc>
              <w:tc>
                <w:tcPr>
                  <w:tcW w:w="869"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废次品</w:t>
                  </w:r>
                </w:p>
              </w:tc>
              <w:tc>
                <w:tcPr>
                  <w:tcW w:w="1059" w:type="dxa"/>
                  <w:tcBorders>
                    <w:tl2br w:val="nil"/>
                    <w:tr2bl w:val="nil"/>
                  </w:tcBorders>
                  <w:noWrap w:val="0"/>
                  <w:vAlign w:val="center"/>
                </w:tcPr>
                <w:p>
                  <w:pPr>
                    <w:pStyle w:val="127"/>
                    <w:spacing w:line="240" w:lineRule="auto"/>
                    <w:rPr>
                      <w:rFonts w:hint="eastAsia" w:eastAsia="宋体"/>
                      <w:sz w:val="21"/>
                      <w:szCs w:val="21"/>
                      <w:lang w:eastAsia="zh-CN"/>
                    </w:rPr>
                  </w:pPr>
                  <w:r>
                    <w:rPr>
                      <w:rFonts w:hint="eastAsia"/>
                      <w:sz w:val="21"/>
                      <w:szCs w:val="21"/>
                      <w:lang w:eastAsia="zh-CN"/>
                    </w:rPr>
                    <w:t>检验</w:t>
                  </w:r>
                </w:p>
              </w:tc>
              <w:tc>
                <w:tcPr>
                  <w:tcW w:w="654"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固体</w:t>
                  </w:r>
                </w:p>
              </w:tc>
              <w:tc>
                <w:tcPr>
                  <w:tcW w:w="928" w:type="dxa"/>
                  <w:tcBorders>
                    <w:tl2br w:val="nil"/>
                    <w:tr2bl w:val="nil"/>
                  </w:tcBorders>
                  <w:noWrap w:val="0"/>
                  <w:vAlign w:val="center"/>
                </w:tcPr>
                <w:p>
                  <w:pPr>
                    <w:pStyle w:val="127"/>
                    <w:spacing w:line="240" w:lineRule="auto"/>
                    <w:rPr>
                      <w:sz w:val="21"/>
                      <w:szCs w:val="21"/>
                    </w:rPr>
                  </w:pPr>
                  <w:r>
                    <w:rPr>
                      <w:rFonts w:hint="eastAsia"/>
                      <w:sz w:val="21"/>
                      <w:szCs w:val="21"/>
                      <w:lang w:eastAsia="zh-CN"/>
                    </w:rPr>
                    <w:t>陶瓷</w:t>
                  </w:r>
                </w:p>
              </w:tc>
              <w:tc>
                <w:tcPr>
                  <w:tcW w:w="900"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rPr>
                    <w:t>0.2</w:t>
                  </w:r>
                </w:p>
              </w:tc>
              <w:tc>
                <w:tcPr>
                  <w:tcW w:w="913" w:type="dxa"/>
                  <w:tcBorders>
                    <w:tl2br w:val="nil"/>
                    <w:tr2bl w:val="nil"/>
                  </w:tcBorders>
                  <w:noWrap w:val="0"/>
                  <w:vAlign w:val="center"/>
                </w:tcPr>
                <w:p>
                  <w:pPr>
                    <w:jc w:val="center"/>
                    <w:rPr>
                      <w:sz w:val="21"/>
                      <w:szCs w:val="21"/>
                    </w:rPr>
                  </w:pPr>
                  <w:r>
                    <w:rPr>
                      <w:sz w:val="21"/>
                      <w:szCs w:val="21"/>
                    </w:rPr>
                    <w:t>√</w:t>
                  </w:r>
                </w:p>
              </w:tc>
              <w:tc>
                <w:tcPr>
                  <w:tcW w:w="917" w:type="dxa"/>
                  <w:tcBorders>
                    <w:tl2br w:val="nil"/>
                    <w:tr2bl w:val="nil"/>
                  </w:tcBorders>
                  <w:noWrap w:val="0"/>
                  <w:vAlign w:val="center"/>
                </w:tcPr>
                <w:p>
                  <w:pPr>
                    <w:jc w:val="center"/>
                    <w:rPr>
                      <w:sz w:val="21"/>
                      <w:szCs w:val="21"/>
                    </w:rPr>
                  </w:pPr>
                  <w:r>
                    <w:rPr>
                      <w:rFonts w:hint="eastAsia"/>
                      <w:sz w:val="21"/>
                      <w:szCs w:val="21"/>
                    </w:rPr>
                    <w:t>/</w:t>
                  </w:r>
                </w:p>
              </w:tc>
              <w:tc>
                <w:tcPr>
                  <w:tcW w:w="1569" w:type="dxa"/>
                  <w:vMerge w:val="continue"/>
                  <w:tcBorders>
                    <w:tl2br w:val="nil"/>
                    <w:tr2bl w:val="nil"/>
                  </w:tcBorders>
                  <w:noWrap w:val="0"/>
                  <w:vAlign w:val="center"/>
                </w:tcPr>
                <w:p>
                  <w:pPr>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noWrap w:val="0"/>
                  <w:vAlign w:val="center"/>
                </w:tcPr>
                <w:p>
                  <w:pPr>
                    <w:jc w:val="center"/>
                    <w:rPr>
                      <w:rFonts w:hint="eastAsia" w:eastAsia="宋体"/>
                      <w:sz w:val="21"/>
                      <w:szCs w:val="21"/>
                      <w:lang w:val="en-US" w:eastAsia="zh-CN"/>
                    </w:rPr>
                  </w:pPr>
                  <w:r>
                    <w:rPr>
                      <w:rFonts w:hint="eastAsia"/>
                      <w:sz w:val="21"/>
                      <w:szCs w:val="21"/>
                      <w:lang w:val="en-US" w:eastAsia="zh-CN"/>
                    </w:rPr>
                    <w:t>4</w:t>
                  </w:r>
                </w:p>
              </w:tc>
              <w:tc>
                <w:tcPr>
                  <w:tcW w:w="869"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废瓷粉</w:t>
                  </w:r>
                </w:p>
              </w:tc>
              <w:tc>
                <w:tcPr>
                  <w:tcW w:w="1059" w:type="dxa"/>
                  <w:tcBorders>
                    <w:tl2br w:val="nil"/>
                    <w:tr2bl w:val="nil"/>
                  </w:tcBorders>
                  <w:noWrap w:val="0"/>
                  <w:vAlign w:val="center"/>
                </w:tcPr>
                <w:p>
                  <w:pPr>
                    <w:jc w:val="center"/>
                    <w:rPr>
                      <w:rFonts w:hint="eastAsia" w:eastAsia="宋体"/>
                      <w:sz w:val="21"/>
                      <w:szCs w:val="21"/>
                      <w:lang w:eastAsia="zh-CN"/>
                    </w:rPr>
                  </w:pPr>
                  <w:r>
                    <w:rPr>
                      <w:rFonts w:hint="eastAsia"/>
                      <w:sz w:val="21"/>
                      <w:szCs w:val="21"/>
                      <w:lang w:eastAsia="zh-CN"/>
                    </w:rPr>
                    <w:t>废气处理</w:t>
                  </w:r>
                </w:p>
              </w:tc>
              <w:tc>
                <w:tcPr>
                  <w:tcW w:w="654" w:type="dxa"/>
                  <w:tcBorders>
                    <w:tl2br w:val="nil"/>
                    <w:tr2bl w:val="nil"/>
                  </w:tcBorders>
                  <w:noWrap w:val="0"/>
                  <w:vAlign w:val="center"/>
                </w:tcPr>
                <w:p>
                  <w:pPr>
                    <w:jc w:val="center"/>
                    <w:rPr>
                      <w:sz w:val="21"/>
                      <w:szCs w:val="21"/>
                    </w:rPr>
                  </w:pPr>
                  <w:r>
                    <w:rPr>
                      <w:rFonts w:hint="eastAsia" w:ascii="Times New Roman" w:hAnsi="Times New Roman" w:cs="Times New Roman"/>
                      <w:lang w:val="fi-FI"/>
                    </w:rPr>
                    <w:t>固体</w:t>
                  </w:r>
                </w:p>
              </w:tc>
              <w:tc>
                <w:tcPr>
                  <w:tcW w:w="928" w:type="dxa"/>
                  <w:tcBorders>
                    <w:tl2br w:val="nil"/>
                    <w:tr2bl w:val="nil"/>
                  </w:tcBorders>
                  <w:noWrap w:val="0"/>
                  <w:vAlign w:val="center"/>
                </w:tcPr>
                <w:p>
                  <w:pPr>
                    <w:jc w:val="center"/>
                    <w:rPr>
                      <w:rFonts w:hint="eastAsia"/>
                      <w:sz w:val="21"/>
                      <w:szCs w:val="21"/>
                    </w:rPr>
                  </w:pPr>
                  <w:r>
                    <w:rPr>
                      <w:rFonts w:hint="eastAsia"/>
                      <w:sz w:val="21"/>
                      <w:szCs w:val="21"/>
                      <w:lang w:eastAsia="zh-CN"/>
                    </w:rPr>
                    <w:t>陶瓷</w:t>
                  </w:r>
                </w:p>
              </w:tc>
              <w:tc>
                <w:tcPr>
                  <w:tcW w:w="900" w:type="dxa"/>
                  <w:tcBorders>
                    <w:tl2br w:val="nil"/>
                    <w:tr2bl w:val="nil"/>
                  </w:tcBorders>
                  <w:noWrap w:val="0"/>
                  <w:vAlign w:val="center"/>
                </w:tcPr>
                <w:p>
                  <w:pPr>
                    <w:pStyle w:val="127"/>
                    <w:spacing w:line="240" w:lineRule="auto"/>
                    <w:rPr>
                      <w:rFonts w:hint="default" w:eastAsia="宋体"/>
                      <w:sz w:val="21"/>
                      <w:szCs w:val="21"/>
                      <w:lang w:val="en-US" w:eastAsia="zh-CN"/>
                    </w:rPr>
                  </w:pPr>
                  <w:r>
                    <w:rPr>
                      <w:rFonts w:hint="eastAsia" w:ascii="Times New Roman" w:hAnsi="Times New Roman" w:cs="Times New Roman"/>
                    </w:rPr>
                    <w:t>0.0</w:t>
                  </w:r>
                  <w:r>
                    <w:rPr>
                      <w:rFonts w:hint="eastAsia" w:ascii="Times New Roman" w:hAnsi="Times New Roman" w:cs="Times New Roman"/>
                      <w:lang w:val="en-US" w:eastAsia="zh-CN"/>
                    </w:rPr>
                    <w:t>043</w:t>
                  </w:r>
                </w:p>
              </w:tc>
              <w:tc>
                <w:tcPr>
                  <w:tcW w:w="913" w:type="dxa"/>
                  <w:tcBorders>
                    <w:tl2br w:val="nil"/>
                    <w:tr2bl w:val="nil"/>
                  </w:tcBorders>
                  <w:noWrap w:val="0"/>
                  <w:vAlign w:val="center"/>
                </w:tcPr>
                <w:p>
                  <w:pPr>
                    <w:jc w:val="center"/>
                    <w:rPr>
                      <w:sz w:val="21"/>
                      <w:szCs w:val="21"/>
                    </w:rPr>
                  </w:pPr>
                  <w:r>
                    <w:rPr>
                      <w:sz w:val="21"/>
                      <w:szCs w:val="21"/>
                    </w:rPr>
                    <w:t>√</w:t>
                  </w:r>
                </w:p>
              </w:tc>
              <w:tc>
                <w:tcPr>
                  <w:tcW w:w="917" w:type="dxa"/>
                  <w:tcBorders>
                    <w:tl2br w:val="nil"/>
                    <w:tr2bl w:val="nil"/>
                  </w:tcBorders>
                  <w:noWrap w:val="0"/>
                  <w:vAlign w:val="center"/>
                </w:tcPr>
                <w:p>
                  <w:pPr>
                    <w:jc w:val="center"/>
                    <w:rPr>
                      <w:rFonts w:hint="eastAsia" w:eastAsia="宋体"/>
                      <w:sz w:val="21"/>
                      <w:szCs w:val="21"/>
                      <w:lang w:val="en-US" w:eastAsia="zh-CN"/>
                    </w:rPr>
                  </w:pPr>
                  <w:r>
                    <w:rPr>
                      <w:rFonts w:hint="eastAsia"/>
                      <w:sz w:val="21"/>
                      <w:szCs w:val="21"/>
                      <w:lang w:val="en-US" w:eastAsia="zh-CN"/>
                    </w:rPr>
                    <w:t>/</w:t>
                  </w:r>
                </w:p>
              </w:tc>
              <w:tc>
                <w:tcPr>
                  <w:tcW w:w="1569" w:type="dxa"/>
                  <w:vMerge w:val="continue"/>
                  <w:tcBorders>
                    <w:tl2br w:val="nil"/>
                    <w:tr2bl w:val="nil"/>
                  </w:tcBorders>
                  <w:noWrap w:val="0"/>
                  <w:vAlign w:val="center"/>
                </w:tcPr>
                <w:p>
                  <w:pPr>
                    <w:jc w:val="center"/>
                    <w:rPr>
                      <w:sz w:val="21"/>
                      <w:szCs w:val="21"/>
                    </w:rPr>
                  </w:pPr>
                </w:p>
              </w:tc>
            </w:tr>
            <w:tr>
              <w:tblPrEx>
                <w:tblBorders>
                  <w:top w:val="double" w:color="auto" w:sz="4" w:space="0"/>
                  <w:left w:val="none" w:color="auto" w:sz="0" w:space="0"/>
                  <w:bottom w:val="double" w:color="auto" w:sz="4" w:space="0"/>
                  <w:right w:val="none" w:color="auto" w:sz="0" w:space="0"/>
                  <w:insideH w:val="single" w:color="auto" w:sz="6" w:space="0"/>
                  <w:insideV w:val="single" w:color="auto" w:sz="4" w:space="0"/>
                </w:tblBorders>
                <w:tblCellMar>
                  <w:top w:w="0" w:type="dxa"/>
                  <w:left w:w="108" w:type="dxa"/>
                  <w:bottom w:w="0" w:type="dxa"/>
                  <w:right w:w="108" w:type="dxa"/>
                </w:tblCellMar>
              </w:tblPrEx>
              <w:trPr>
                <w:jc w:val="center"/>
              </w:trPr>
              <w:tc>
                <w:tcPr>
                  <w:tcW w:w="504" w:type="dxa"/>
                  <w:tcBorders>
                    <w:tl2br w:val="nil"/>
                    <w:tr2bl w:val="nil"/>
                  </w:tcBorders>
                  <w:noWrap w:val="0"/>
                  <w:vAlign w:val="center"/>
                </w:tcPr>
                <w:p>
                  <w:pPr>
                    <w:jc w:val="center"/>
                    <w:rPr>
                      <w:rFonts w:hint="eastAsia" w:eastAsia="宋体"/>
                      <w:sz w:val="21"/>
                      <w:szCs w:val="21"/>
                      <w:lang w:val="en-US" w:eastAsia="zh-CN"/>
                    </w:rPr>
                  </w:pPr>
                  <w:r>
                    <w:rPr>
                      <w:rFonts w:hint="eastAsia"/>
                      <w:sz w:val="21"/>
                      <w:szCs w:val="21"/>
                      <w:lang w:val="en-US" w:eastAsia="zh-CN"/>
                    </w:rPr>
                    <w:t>5</w:t>
                  </w:r>
                </w:p>
              </w:tc>
              <w:tc>
                <w:tcPr>
                  <w:tcW w:w="869"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lang w:val="fi-FI"/>
                    </w:rPr>
                    <w:t>生活垃圾</w:t>
                  </w:r>
                </w:p>
              </w:tc>
              <w:tc>
                <w:tcPr>
                  <w:tcW w:w="1059" w:type="dxa"/>
                  <w:tcBorders>
                    <w:tl2br w:val="nil"/>
                    <w:tr2bl w:val="nil"/>
                  </w:tcBorders>
                  <w:noWrap w:val="0"/>
                  <w:vAlign w:val="center"/>
                </w:tcPr>
                <w:p>
                  <w:pPr>
                    <w:pStyle w:val="127"/>
                    <w:spacing w:line="240" w:lineRule="auto"/>
                    <w:rPr>
                      <w:rFonts w:hint="eastAsia" w:eastAsia="宋体"/>
                      <w:sz w:val="21"/>
                      <w:szCs w:val="21"/>
                      <w:lang w:eastAsia="zh-CN"/>
                    </w:rPr>
                  </w:pPr>
                  <w:r>
                    <w:rPr>
                      <w:rFonts w:hint="eastAsia"/>
                      <w:sz w:val="21"/>
                      <w:szCs w:val="21"/>
                      <w:lang w:eastAsia="zh-CN"/>
                    </w:rPr>
                    <w:t>员工生活</w:t>
                  </w:r>
                </w:p>
              </w:tc>
              <w:tc>
                <w:tcPr>
                  <w:tcW w:w="654" w:type="dxa"/>
                  <w:tcBorders>
                    <w:tl2br w:val="nil"/>
                    <w:tr2bl w:val="nil"/>
                  </w:tcBorders>
                  <w:noWrap w:val="0"/>
                  <w:vAlign w:val="center"/>
                </w:tcPr>
                <w:p>
                  <w:pPr>
                    <w:pStyle w:val="127"/>
                    <w:spacing w:line="240" w:lineRule="auto"/>
                    <w:rPr>
                      <w:sz w:val="21"/>
                      <w:szCs w:val="21"/>
                    </w:rPr>
                  </w:pPr>
                  <w:r>
                    <w:rPr>
                      <w:rFonts w:hint="eastAsia" w:ascii="Times New Roman" w:hAnsi="Times New Roman" w:cs="Times New Roman"/>
                      <w:lang w:val="fi-FI"/>
                    </w:rPr>
                    <w:t>固体</w:t>
                  </w:r>
                </w:p>
              </w:tc>
              <w:tc>
                <w:tcPr>
                  <w:tcW w:w="928" w:type="dxa"/>
                  <w:tcBorders>
                    <w:tl2br w:val="nil"/>
                    <w:tr2bl w:val="nil"/>
                  </w:tcBorders>
                  <w:noWrap w:val="0"/>
                  <w:vAlign w:val="center"/>
                </w:tcPr>
                <w:p>
                  <w:pPr>
                    <w:jc w:val="center"/>
                    <w:rPr>
                      <w:rFonts w:hint="eastAsia" w:eastAsia="宋体"/>
                      <w:sz w:val="21"/>
                      <w:szCs w:val="21"/>
                      <w:lang w:eastAsia="zh-CN"/>
                    </w:rPr>
                  </w:pPr>
                  <w:r>
                    <w:rPr>
                      <w:rFonts w:hint="eastAsia"/>
                      <w:sz w:val="21"/>
                      <w:szCs w:val="21"/>
                      <w:lang w:eastAsia="zh-CN"/>
                    </w:rPr>
                    <w:t>纸等</w:t>
                  </w:r>
                </w:p>
              </w:tc>
              <w:tc>
                <w:tcPr>
                  <w:tcW w:w="900" w:type="dxa"/>
                  <w:tcBorders>
                    <w:tl2br w:val="nil"/>
                    <w:tr2bl w:val="nil"/>
                  </w:tcBorders>
                  <w:noWrap w:val="0"/>
                  <w:vAlign w:val="center"/>
                </w:tcPr>
                <w:p>
                  <w:pPr>
                    <w:pStyle w:val="127"/>
                    <w:spacing w:line="240" w:lineRule="auto"/>
                    <w:rPr>
                      <w:rFonts w:hint="eastAsia"/>
                      <w:sz w:val="21"/>
                      <w:szCs w:val="21"/>
                    </w:rPr>
                  </w:pPr>
                  <w:r>
                    <w:rPr>
                      <w:rFonts w:hint="eastAsia" w:ascii="Times New Roman" w:hAnsi="Times New Roman" w:cs="Times New Roman"/>
                    </w:rPr>
                    <w:t>0.9</w:t>
                  </w:r>
                </w:p>
              </w:tc>
              <w:tc>
                <w:tcPr>
                  <w:tcW w:w="913" w:type="dxa"/>
                  <w:tcBorders>
                    <w:tl2br w:val="nil"/>
                    <w:tr2bl w:val="nil"/>
                  </w:tcBorders>
                  <w:noWrap w:val="0"/>
                  <w:vAlign w:val="center"/>
                </w:tcPr>
                <w:p>
                  <w:pPr>
                    <w:jc w:val="center"/>
                    <w:rPr>
                      <w:sz w:val="21"/>
                      <w:szCs w:val="21"/>
                    </w:rPr>
                  </w:pPr>
                  <w:r>
                    <w:rPr>
                      <w:sz w:val="21"/>
                      <w:szCs w:val="21"/>
                    </w:rPr>
                    <w:t>√</w:t>
                  </w:r>
                </w:p>
              </w:tc>
              <w:tc>
                <w:tcPr>
                  <w:tcW w:w="917" w:type="dxa"/>
                  <w:tcBorders>
                    <w:tl2br w:val="nil"/>
                    <w:tr2bl w:val="nil"/>
                  </w:tcBorders>
                  <w:noWrap w:val="0"/>
                  <w:vAlign w:val="center"/>
                </w:tcPr>
                <w:p>
                  <w:pPr>
                    <w:jc w:val="center"/>
                    <w:rPr>
                      <w:rFonts w:hint="eastAsia" w:eastAsia="宋体"/>
                      <w:sz w:val="21"/>
                      <w:szCs w:val="21"/>
                      <w:lang w:val="en-US" w:eastAsia="zh-CN"/>
                    </w:rPr>
                  </w:pPr>
                  <w:r>
                    <w:rPr>
                      <w:rFonts w:hint="eastAsia"/>
                      <w:sz w:val="21"/>
                      <w:szCs w:val="21"/>
                      <w:lang w:val="en-US" w:eastAsia="zh-CN"/>
                    </w:rPr>
                    <w:t>/</w:t>
                  </w:r>
                </w:p>
              </w:tc>
              <w:tc>
                <w:tcPr>
                  <w:tcW w:w="1569" w:type="dxa"/>
                  <w:vMerge w:val="continue"/>
                  <w:tcBorders>
                    <w:tl2br w:val="nil"/>
                    <w:tr2bl w:val="nil"/>
                  </w:tcBorders>
                  <w:noWrap w:val="0"/>
                  <w:vAlign w:val="center"/>
                </w:tcPr>
                <w:p>
                  <w:pPr>
                    <w:jc w:val="center"/>
                    <w:rPr>
                      <w:sz w:val="21"/>
                      <w:szCs w:val="21"/>
                    </w:rPr>
                  </w:pPr>
                </w:p>
              </w:tc>
            </w:tr>
          </w:tbl>
          <w:p>
            <w:pPr>
              <w:adjustRightInd w:val="0"/>
              <w:snapToGrid w:val="0"/>
              <w:spacing w:line="360" w:lineRule="auto"/>
              <w:ind w:firstLine="480" w:firstLineChars="200"/>
              <w:rPr>
                <w:rFonts w:hint="eastAsia" w:hAnsi="宋体"/>
                <w:kern w:val="0"/>
                <w:sz w:val="24"/>
                <w:szCs w:val="24"/>
                <w:lang w:val="en-US"/>
              </w:rPr>
            </w:pPr>
            <w:r>
              <w:rPr>
                <w:rFonts w:hint="eastAsia" w:hAnsi="宋体"/>
                <w:kern w:val="0"/>
                <w:sz w:val="24"/>
                <w:szCs w:val="24"/>
                <w:lang w:val="en-US"/>
              </w:rPr>
              <w:t>3.2、危险废物的判定</w:t>
            </w:r>
          </w:p>
          <w:p>
            <w:pPr>
              <w:adjustRightInd w:val="0"/>
              <w:snapToGrid w:val="0"/>
              <w:spacing w:line="360" w:lineRule="auto"/>
              <w:ind w:firstLine="480" w:firstLineChars="200"/>
              <w:rPr>
                <w:rFonts w:hint="eastAsia" w:hAnsi="宋体"/>
                <w:kern w:val="0"/>
                <w:sz w:val="24"/>
                <w:szCs w:val="24"/>
                <w:lang w:val="en-US"/>
              </w:rPr>
            </w:pPr>
            <w:r>
              <w:rPr>
                <w:rFonts w:hint="eastAsia" w:hAnsi="宋体"/>
                <w:kern w:val="0"/>
                <w:sz w:val="24"/>
                <w:szCs w:val="24"/>
                <w:lang w:val="en-US"/>
              </w:rPr>
              <w:t>根据《国家危险废物名录》（2016版），判断建设项目生产过程中是否产生危废。</w:t>
            </w:r>
          </w:p>
          <w:p>
            <w:pPr>
              <w:pStyle w:val="134"/>
              <w:numPr>
                <w:ilvl w:val="0"/>
                <w:numId w:val="0"/>
              </w:numPr>
              <w:spacing w:line="400" w:lineRule="exact"/>
              <w:rPr>
                <w:bCs/>
                <w:sz w:val="24"/>
                <w:szCs w:val="24"/>
              </w:rPr>
            </w:pPr>
            <w:r>
              <w:rPr>
                <w:bCs/>
                <w:sz w:val="24"/>
                <w:szCs w:val="24"/>
              </w:rPr>
              <w:t>表</w:t>
            </w:r>
            <w:r>
              <w:rPr>
                <w:rFonts w:hint="eastAsia"/>
                <w:bCs/>
                <w:sz w:val="24"/>
                <w:szCs w:val="24"/>
              </w:rPr>
              <w:t>5-</w:t>
            </w:r>
            <w:r>
              <w:rPr>
                <w:rFonts w:hint="eastAsia"/>
                <w:bCs/>
                <w:sz w:val="24"/>
                <w:szCs w:val="24"/>
                <w:lang w:val="en-US" w:eastAsia="zh-CN"/>
              </w:rPr>
              <w:t>5</w:t>
            </w:r>
            <w:r>
              <w:rPr>
                <w:bCs/>
                <w:sz w:val="24"/>
                <w:szCs w:val="24"/>
              </w:rPr>
              <w:t xml:space="preserve"> 固体废物分析结果汇总表</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2" w:space="0"/>
                <w:insideV w:val="single" w:color="auto" w:sz="4" w:space="0"/>
              </w:tblBorders>
              <w:tblLayout w:type="fixed"/>
              <w:tblCellMar>
                <w:top w:w="0" w:type="dxa"/>
                <w:left w:w="0" w:type="dxa"/>
                <w:bottom w:w="0" w:type="dxa"/>
                <w:right w:w="0" w:type="dxa"/>
              </w:tblCellMar>
            </w:tblPr>
            <w:tblGrid>
              <w:gridCol w:w="346"/>
              <w:gridCol w:w="696"/>
              <w:gridCol w:w="860"/>
              <w:gridCol w:w="634"/>
              <w:gridCol w:w="588"/>
              <w:gridCol w:w="697"/>
              <w:gridCol w:w="696"/>
              <w:gridCol w:w="560"/>
              <w:gridCol w:w="833"/>
              <w:gridCol w:w="923"/>
              <w:gridCol w:w="1480"/>
            </w:tblGrid>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hint="eastAsia"/>
                      <w:sz w:val="21"/>
                      <w:szCs w:val="21"/>
                    </w:rPr>
                  </w:pPr>
                  <w:r>
                    <w:rPr>
                      <w:rFonts w:hint="eastAsia"/>
                      <w:sz w:val="21"/>
                      <w:szCs w:val="21"/>
                    </w:rPr>
                    <w:t>序号</w:t>
                  </w:r>
                </w:p>
              </w:tc>
              <w:tc>
                <w:tcPr>
                  <w:tcW w:w="696" w:type="dxa"/>
                  <w:tcBorders>
                    <w:tl2br w:val="nil"/>
                    <w:tr2bl w:val="nil"/>
                  </w:tcBorders>
                  <w:vAlign w:val="center"/>
                </w:tcPr>
                <w:p>
                  <w:pPr>
                    <w:jc w:val="center"/>
                    <w:rPr>
                      <w:rFonts w:hint="eastAsia"/>
                      <w:sz w:val="21"/>
                      <w:szCs w:val="21"/>
                    </w:rPr>
                  </w:pPr>
                  <w:r>
                    <w:rPr>
                      <w:rFonts w:hint="eastAsia"/>
                      <w:sz w:val="21"/>
                      <w:szCs w:val="21"/>
                    </w:rPr>
                    <w:t>固废</w:t>
                  </w:r>
                </w:p>
                <w:p>
                  <w:pPr>
                    <w:jc w:val="center"/>
                    <w:rPr>
                      <w:rFonts w:hint="eastAsia"/>
                      <w:sz w:val="21"/>
                      <w:szCs w:val="21"/>
                    </w:rPr>
                  </w:pPr>
                  <w:r>
                    <w:rPr>
                      <w:rFonts w:hint="eastAsia"/>
                      <w:sz w:val="21"/>
                      <w:szCs w:val="21"/>
                    </w:rPr>
                    <w:t>名称</w:t>
                  </w:r>
                </w:p>
              </w:tc>
              <w:tc>
                <w:tcPr>
                  <w:tcW w:w="860" w:type="dxa"/>
                  <w:tcBorders>
                    <w:tl2br w:val="nil"/>
                    <w:tr2bl w:val="nil"/>
                  </w:tcBorders>
                  <w:vAlign w:val="center"/>
                </w:tcPr>
                <w:p>
                  <w:pPr>
                    <w:jc w:val="center"/>
                    <w:rPr>
                      <w:rFonts w:hint="eastAsia"/>
                      <w:sz w:val="21"/>
                      <w:szCs w:val="21"/>
                    </w:rPr>
                  </w:pPr>
                  <w:r>
                    <w:rPr>
                      <w:rFonts w:hint="eastAsia"/>
                      <w:sz w:val="21"/>
                      <w:szCs w:val="21"/>
                    </w:rPr>
                    <w:t>属性</w:t>
                  </w:r>
                </w:p>
              </w:tc>
              <w:tc>
                <w:tcPr>
                  <w:tcW w:w="634" w:type="dxa"/>
                  <w:tcBorders>
                    <w:tl2br w:val="nil"/>
                    <w:tr2bl w:val="nil"/>
                  </w:tcBorders>
                  <w:vAlign w:val="center"/>
                </w:tcPr>
                <w:p>
                  <w:pPr>
                    <w:jc w:val="center"/>
                    <w:rPr>
                      <w:rFonts w:hint="eastAsia"/>
                      <w:sz w:val="21"/>
                      <w:szCs w:val="21"/>
                    </w:rPr>
                  </w:pPr>
                  <w:r>
                    <w:rPr>
                      <w:rFonts w:hint="eastAsia"/>
                      <w:sz w:val="21"/>
                      <w:szCs w:val="21"/>
                    </w:rPr>
                    <w:t>产生</w:t>
                  </w:r>
                </w:p>
                <w:p>
                  <w:pPr>
                    <w:jc w:val="center"/>
                    <w:rPr>
                      <w:rFonts w:hint="eastAsia"/>
                      <w:sz w:val="21"/>
                      <w:szCs w:val="21"/>
                    </w:rPr>
                  </w:pPr>
                  <w:r>
                    <w:rPr>
                      <w:rFonts w:hint="eastAsia"/>
                      <w:sz w:val="21"/>
                      <w:szCs w:val="21"/>
                    </w:rPr>
                    <w:t>工序</w:t>
                  </w:r>
                </w:p>
              </w:tc>
              <w:tc>
                <w:tcPr>
                  <w:tcW w:w="588" w:type="dxa"/>
                  <w:tcBorders>
                    <w:tl2br w:val="nil"/>
                    <w:tr2bl w:val="nil"/>
                  </w:tcBorders>
                  <w:vAlign w:val="center"/>
                </w:tcPr>
                <w:p>
                  <w:pPr>
                    <w:jc w:val="center"/>
                    <w:rPr>
                      <w:rFonts w:hint="eastAsia"/>
                      <w:sz w:val="21"/>
                      <w:szCs w:val="21"/>
                    </w:rPr>
                  </w:pPr>
                  <w:r>
                    <w:rPr>
                      <w:rFonts w:hint="eastAsia"/>
                      <w:sz w:val="21"/>
                      <w:szCs w:val="21"/>
                    </w:rPr>
                    <w:t>形态</w:t>
                  </w:r>
                </w:p>
              </w:tc>
              <w:tc>
                <w:tcPr>
                  <w:tcW w:w="697" w:type="dxa"/>
                  <w:tcBorders>
                    <w:tl2br w:val="nil"/>
                    <w:tr2bl w:val="nil"/>
                  </w:tcBorders>
                  <w:vAlign w:val="center"/>
                </w:tcPr>
                <w:p>
                  <w:pPr>
                    <w:jc w:val="center"/>
                    <w:rPr>
                      <w:rFonts w:hint="eastAsia"/>
                      <w:sz w:val="21"/>
                      <w:szCs w:val="21"/>
                    </w:rPr>
                  </w:pPr>
                  <w:r>
                    <w:rPr>
                      <w:rFonts w:hint="eastAsia"/>
                      <w:sz w:val="21"/>
                      <w:szCs w:val="21"/>
                    </w:rPr>
                    <w:t>主要</w:t>
                  </w:r>
                </w:p>
                <w:p>
                  <w:pPr>
                    <w:jc w:val="center"/>
                    <w:rPr>
                      <w:rFonts w:hint="eastAsia"/>
                      <w:sz w:val="21"/>
                      <w:szCs w:val="21"/>
                    </w:rPr>
                  </w:pPr>
                  <w:r>
                    <w:rPr>
                      <w:rFonts w:hint="eastAsia"/>
                      <w:sz w:val="21"/>
                      <w:szCs w:val="21"/>
                    </w:rPr>
                    <w:t>成分</w:t>
                  </w:r>
                </w:p>
              </w:tc>
              <w:tc>
                <w:tcPr>
                  <w:tcW w:w="696" w:type="dxa"/>
                  <w:tcBorders>
                    <w:tl2br w:val="nil"/>
                    <w:tr2bl w:val="nil"/>
                  </w:tcBorders>
                  <w:vAlign w:val="center"/>
                </w:tcPr>
                <w:p>
                  <w:pPr>
                    <w:jc w:val="center"/>
                    <w:rPr>
                      <w:rFonts w:hint="eastAsia"/>
                      <w:sz w:val="21"/>
                      <w:szCs w:val="21"/>
                    </w:rPr>
                  </w:pPr>
                  <w:r>
                    <w:rPr>
                      <w:rFonts w:hint="eastAsia"/>
                      <w:sz w:val="21"/>
                      <w:szCs w:val="21"/>
                    </w:rPr>
                    <w:t>危险特性鉴别方法</w:t>
                  </w:r>
                </w:p>
              </w:tc>
              <w:tc>
                <w:tcPr>
                  <w:tcW w:w="560" w:type="dxa"/>
                  <w:tcBorders>
                    <w:tl2br w:val="nil"/>
                    <w:tr2bl w:val="nil"/>
                  </w:tcBorders>
                  <w:vAlign w:val="center"/>
                </w:tcPr>
                <w:p>
                  <w:pPr>
                    <w:jc w:val="center"/>
                    <w:rPr>
                      <w:rFonts w:hint="eastAsia"/>
                      <w:sz w:val="21"/>
                      <w:szCs w:val="21"/>
                    </w:rPr>
                  </w:pPr>
                  <w:r>
                    <w:rPr>
                      <w:rFonts w:hint="eastAsia"/>
                      <w:sz w:val="21"/>
                      <w:szCs w:val="21"/>
                    </w:rPr>
                    <w:t>危险特性</w:t>
                  </w:r>
                </w:p>
              </w:tc>
              <w:tc>
                <w:tcPr>
                  <w:tcW w:w="833" w:type="dxa"/>
                  <w:tcBorders>
                    <w:tl2br w:val="nil"/>
                    <w:tr2bl w:val="nil"/>
                  </w:tcBorders>
                  <w:vAlign w:val="center"/>
                </w:tcPr>
                <w:p>
                  <w:pPr>
                    <w:jc w:val="center"/>
                    <w:rPr>
                      <w:rFonts w:hint="eastAsia"/>
                      <w:sz w:val="21"/>
                      <w:szCs w:val="21"/>
                    </w:rPr>
                  </w:pPr>
                  <w:r>
                    <w:rPr>
                      <w:rFonts w:hint="eastAsia"/>
                      <w:sz w:val="21"/>
                      <w:szCs w:val="21"/>
                    </w:rPr>
                    <w:t>废物</w:t>
                  </w:r>
                </w:p>
                <w:p>
                  <w:pPr>
                    <w:jc w:val="center"/>
                    <w:rPr>
                      <w:rFonts w:hint="eastAsia"/>
                      <w:sz w:val="21"/>
                      <w:szCs w:val="21"/>
                    </w:rPr>
                  </w:pPr>
                  <w:r>
                    <w:rPr>
                      <w:rFonts w:hint="eastAsia"/>
                      <w:sz w:val="21"/>
                      <w:szCs w:val="21"/>
                    </w:rPr>
                    <w:t>类别</w:t>
                  </w:r>
                </w:p>
              </w:tc>
              <w:tc>
                <w:tcPr>
                  <w:tcW w:w="923" w:type="dxa"/>
                  <w:tcBorders>
                    <w:tl2br w:val="nil"/>
                    <w:tr2bl w:val="nil"/>
                  </w:tcBorders>
                  <w:vAlign w:val="center"/>
                </w:tcPr>
                <w:p>
                  <w:pPr>
                    <w:jc w:val="center"/>
                    <w:rPr>
                      <w:rFonts w:hint="eastAsia"/>
                      <w:sz w:val="21"/>
                      <w:szCs w:val="21"/>
                    </w:rPr>
                  </w:pPr>
                  <w:r>
                    <w:rPr>
                      <w:rFonts w:hint="eastAsia"/>
                      <w:sz w:val="21"/>
                      <w:szCs w:val="21"/>
                    </w:rPr>
                    <w:t>废物</w:t>
                  </w:r>
                </w:p>
                <w:p>
                  <w:pPr>
                    <w:jc w:val="center"/>
                    <w:rPr>
                      <w:rFonts w:hint="eastAsia"/>
                      <w:sz w:val="21"/>
                      <w:szCs w:val="21"/>
                    </w:rPr>
                  </w:pPr>
                  <w:r>
                    <w:rPr>
                      <w:rFonts w:hint="eastAsia"/>
                      <w:sz w:val="21"/>
                      <w:szCs w:val="21"/>
                    </w:rPr>
                    <w:t>代码</w:t>
                  </w:r>
                </w:p>
              </w:tc>
              <w:tc>
                <w:tcPr>
                  <w:tcW w:w="1480" w:type="dxa"/>
                  <w:tcBorders>
                    <w:tl2br w:val="nil"/>
                    <w:tr2bl w:val="nil"/>
                  </w:tcBorders>
                  <w:vAlign w:val="center"/>
                </w:tcPr>
                <w:p>
                  <w:pPr>
                    <w:jc w:val="center"/>
                    <w:rPr>
                      <w:rFonts w:hint="eastAsia"/>
                      <w:sz w:val="21"/>
                      <w:szCs w:val="21"/>
                    </w:rPr>
                  </w:pPr>
                  <w:r>
                    <w:rPr>
                      <w:rFonts w:hint="eastAsia"/>
                      <w:sz w:val="21"/>
                      <w:szCs w:val="21"/>
                    </w:rPr>
                    <w:t>估算产生量</w:t>
                  </w:r>
                </w:p>
                <w:p>
                  <w:pPr>
                    <w:jc w:val="center"/>
                    <w:rPr>
                      <w:rFonts w:hint="eastAsia"/>
                      <w:sz w:val="21"/>
                      <w:szCs w:val="21"/>
                    </w:rPr>
                  </w:pPr>
                  <w:r>
                    <w:rPr>
                      <w:rFonts w:hint="eastAsia"/>
                      <w:sz w:val="21"/>
                      <w:szCs w:val="21"/>
                    </w:rPr>
                    <w:t>（吨/年）</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696" w:type="dxa"/>
                  <w:tcBorders>
                    <w:tl2br w:val="nil"/>
                    <w:tr2bl w:val="nil"/>
                  </w:tcBorders>
                  <w:vAlign w:val="center"/>
                </w:tcPr>
                <w:p>
                  <w:pPr>
                    <w:pStyle w:val="127"/>
                    <w:spacing w:line="240" w:lineRule="auto"/>
                    <w:rPr>
                      <w:rFonts w:ascii="Times New Roman" w:hAnsi="Times New Roman" w:eastAsia="Times New Roman" w:cs="Times New Roman"/>
                      <w:snapToGrid w:val="0"/>
                      <w:sz w:val="21"/>
                      <w:szCs w:val="21"/>
                    </w:rPr>
                  </w:pPr>
                  <w:r>
                    <w:rPr>
                      <w:rFonts w:hint="eastAsia" w:ascii="Times New Roman" w:hAnsi="Times New Roman" w:cs="Times New Roman"/>
                      <w:lang w:val="fi-FI"/>
                    </w:rPr>
                    <w:t>废陶瓷</w:t>
                  </w:r>
                </w:p>
              </w:tc>
              <w:tc>
                <w:tcPr>
                  <w:tcW w:w="860" w:type="dxa"/>
                  <w:tcBorders>
                    <w:tl2br w:val="nil"/>
                    <w:tr2bl w:val="nil"/>
                  </w:tcBorders>
                  <w:vAlign w:val="center"/>
                </w:tcPr>
                <w:p>
                  <w:pPr>
                    <w:spacing w:line="360" w:lineRule="auto"/>
                    <w:jc w:val="center"/>
                    <w:rPr>
                      <w:rFonts w:ascii="Times New Roman" w:hAnsi="Times New Roman" w:eastAsia="Times New Roman" w:cs="Times New Roman"/>
                      <w:sz w:val="21"/>
                      <w:szCs w:val="21"/>
                    </w:rPr>
                  </w:pPr>
                  <w:r>
                    <w:rPr>
                      <w:rFonts w:hint="eastAsia"/>
                      <w:sz w:val="21"/>
                      <w:szCs w:val="21"/>
                    </w:rPr>
                    <w:t>一般固废</w:t>
                  </w:r>
                </w:p>
              </w:tc>
              <w:tc>
                <w:tcPr>
                  <w:tcW w:w="634" w:type="dxa"/>
                  <w:tcBorders>
                    <w:tl2br w:val="nil"/>
                    <w:tr2bl w:val="nil"/>
                  </w:tcBorders>
                  <w:vAlign w:val="center"/>
                </w:tcPr>
                <w:p>
                  <w:pPr>
                    <w:jc w:val="center"/>
                    <w:rPr>
                      <w:rFonts w:ascii="Times New Roman" w:hAnsi="Times New Roman" w:eastAsia="Times New Roman" w:cs="Times New Roman"/>
                      <w:sz w:val="21"/>
                      <w:szCs w:val="21"/>
                    </w:rPr>
                  </w:pPr>
                  <w:r>
                    <w:rPr>
                      <w:rFonts w:hint="eastAsia" w:cs="Times New Roman"/>
                      <w:sz w:val="21"/>
                      <w:szCs w:val="21"/>
                    </w:rPr>
                    <w:t>加工</w:t>
                  </w:r>
                </w:p>
              </w:tc>
              <w:tc>
                <w:tcPr>
                  <w:tcW w:w="588" w:type="dxa"/>
                  <w:tcBorders>
                    <w:tl2br w:val="nil"/>
                    <w:tr2bl w:val="nil"/>
                  </w:tcBorders>
                  <w:vAlign w:val="center"/>
                </w:tcPr>
                <w:p>
                  <w:pPr>
                    <w:jc w:val="center"/>
                    <w:rPr>
                      <w:rFonts w:ascii="Times New Roman" w:hAnsi="Times New Roman" w:cs="Times New Roman"/>
                      <w:sz w:val="21"/>
                      <w:szCs w:val="21"/>
                    </w:rPr>
                  </w:pPr>
                  <w:r>
                    <w:rPr>
                      <w:rFonts w:hint="eastAsia" w:ascii="Times New Roman" w:hAnsi="Times New Roman" w:eastAsia="Times New Roman" w:cs="Times New Roman"/>
                      <w:sz w:val="21"/>
                      <w:szCs w:val="21"/>
                    </w:rPr>
                    <w:t>固态</w:t>
                  </w:r>
                </w:p>
              </w:tc>
              <w:tc>
                <w:tcPr>
                  <w:tcW w:w="697" w:type="dxa"/>
                  <w:tcBorders>
                    <w:tl2br w:val="nil"/>
                    <w:tr2bl w:val="nil"/>
                  </w:tcBorders>
                  <w:vAlign w:val="center"/>
                </w:tcPr>
                <w:p>
                  <w:pPr>
                    <w:pStyle w:val="127"/>
                    <w:spacing w:line="240" w:lineRule="auto"/>
                    <w:rPr>
                      <w:rFonts w:ascii="Times New Roman" w:hAnsi="Times New Roman" w:eastAsia="Times New Roman" w:cs="Times New Roman"/>
                      <w:snapToGrid w:val="0"/>
                      <w:sz w:val="21"/>
                      <w:szCs w:val="21"/>
                    </w:rPr>
                  </w:pPr>
                  <w:r>
                    <w:rPr>
                      <w:rFonts w:hint="eastAsia"/>
                      <w:sz w:val="21"/>
                      <w:szCs w:val="21"/>
                      <w:lang w:eastAsia="zh-CN"/>
                    </w:rPr>
                    <w:t>陶瓷</w:t>
                  </w:r>
                </w:p>
              </w:tc>
              <w:tc>
                <w:tcPr>
                  <w:tcW w:w="696" w:type="dxa"/>
                  <w:vMerge w:val="restart"/>
                  <w:tcBorders>
                    <w:tl2br w:val="nil"/>
                    <w:tr2bl w:val="nil"/>
                  </w:tcBorders>
                  <w:vAlign w:val="center"/>
                </w:tcPr>
                <w:p>
                  <w:pPr>
                    <w:jc w:val="center"/>
                    <w:rPr>
                      <w:rFonts w:ascii="Times New Roman" w:hAnsi="Times New Roman" w:eastAsia="Times New Roman" w:cs="Times New Roman"/>
                      <w:sz w:val="21"/>
                      <w:szCs w:val="21"/>
                    </w:rPr>
                  </w:pPr>
                  <w:r>
                    <w:rPr>
                      <w:rFonts w:hint="eastAsia"/>
                      <w:sz w:val="21"/>
                      <w:szCs w:val="21"/>
                    </w:rPr>
                    <w:t>《国家危险废物名录》</w:t>
                  </w:r>
                </w:p>
              </w:tc>
              <w:tc>
                <w:tcPr>
                  <w:tcW w:w="560" w:type="dxa"/>
                  <w:tcBorders>
                    <w:tl2br w:val="nil"/>
                    <w:tr2bl w:val="nil"/>
                  </w:tcBorders>
                  <w:vAlign w:val="center"/>
                </w:tcPr>
                <w:p>
                  <w:pPr>
                    <w:jc w:val="center"/>
                    <w:rPr>
                      <w:rFonts w:ascii="Times New Roman" w:hAnsi="Times New Roman" w:eastAsia="Times New Roman" w:cs="Times New Roman"/>
                      <w:snapToGrid w:val="0"/>
                      <w:sz w:val="21"/>
                      <w:szCs w:val="21"/>
                    </w:rPr>
                  </w:pPr>
                  <w:r>
                    <w:rPr>
                      <w:rFonts w:hint="eastAsia" w:ascii="Times New Roman" w:hAnsi="Times New Roman" w:eastAsia="Times New Roman" w:cs="Times New Roman"/>
                      <w:snapToGrid w:val="0"/>
                      <w:sz w:val="21"/>
                      <w:szCs w:val="21"/>
                    </w:rPr>
                    <w:t>/</w:t>
                  </w:r>
                </w:p>
              </w:tc>
              <w:tc>
                <w:tcPr>
                  <w:tcW w:w="833"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923"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480" w:type="dxa"/>
                  <w:tcBorders>
                    <w:tl2br w:val="nil"/>
                    <w:tr2bl w:val="nil"/>
                  </w:tcBorders>
                  <w:vAlign w:val="center"/>
                </w:tcPr>
                <w:p>
                  <w:pPr>
                    <w:pStyle w:val="127"/>
                    <w:spacing w:line="240" w:lineRule="auto"/>
                    <w:rPr>
                      <w:rFonts w:ascii="Times New Roman" w:hAnsi="Times New Roman" w:cs="Times New Roman"/>
                      <w:sz w:val="21"/>
                      <w:szCs w:val="21"/>
                    </w:rPr>
                  </w:pPr>
                  <w:r>
                    <w:rPr>
                      <w:rFonts w:hint="eastAsia" w:ascii="Times New Roman" w:hAnsi="Times New Roman" w:cs="Times New Roman"/>
                    </w:rPr>
                    <w:t>0.3</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696" w:type="dxa"/>
                  <w:tcBorders>
                    <w:tl2br w:val="nil"/>
                    <w:tr2bl w:val="nil"/>
                  </w:tcBorders>
                  <w:vAlign w:val="center"/>
                </w:tcPr>
                <w:p>
                  <w:pPr>
                    <w:pStyle w:val="127"/>
                    <w:spacing w:line="240" w:lineRule="auto"/>
                    <w:rPr>
                      <w:snapToGrid w:val="0"/>
                      <w:sz w:val="21"/>
                      <w:szCs w:val="21"/>
                    </w:rPr>
                  </w:pPr>
                  <w:r>
                    <w:rPr>
                      <w:rFonts w:hint="eastAsia" w:ascii="Times New Roman" w:hAnsi="Times New Roman" w:cs="Times New Roman"/>
                      <w:lang w:val="fi-FI"/>
                    </w:rPr>
                    <w:t>陶瓷泥料</w:t>
                  </w:r>
                </w:p>
              </w:tc>
              <w:tc>
                <w:tcPr>
                  <w:tcW w:w="860" w:type="dxa"/>
                  <w:tcBorders>
                    <w:tl2br w:val="nil"/>
                    <w:tr2bl w:val="nil"/>
                  </w:tcBorders>
                  <w:vAlign w:val="center"/>
                </w:tcPr>
                <w:p>
                  <w:pPr>
                    <w:spacing w:line="360" w:lineRule="auto"/>
                    <w:jc w:val="center"/>
                    <w:rPr>
                      <w:rFonts w:ascii="Times New Roman" w:hAnsi="Times New Roman" w:cs="Times New Roman" w:eastAsiaTheme="minorEastAsia"/>
                      <w:sz w:val="21"/>
                      <w:szCs w:val="21"/>
                    </w:rPr>
                  </w:pPr>
                  <w:r>
                    <w:rPr>
                      <w:rFonts w:hint="eastAsia"/>
                      <w:sz w:val="21"/>
                      <w:szCs w:val="21"/>
                    </w:rPr>
                    <w:t>一般固废</w:t>
                  </w:r>
                </w:p>
              </w:tc>
              <w:tc>
                <w:tcPr>
                  <w:tcW w:w="634" w:type="dxa"/>
                  <w:tcBorders>
                    <w:tl2br w:val="nil"/>
                    <w:tr2bl w:val="nil"/>
                  </w:tcBorders>
                  <w:vAlign w:val="center"/>
                </w:tcPr>
                <w:p>
                  <w:pPr>
                    <w:jc w:val="center"/>
                    <w:rPr>
                      <w:sz w:val="21"/>
                      <w:szCs w:val="21"/>
                    </w:rPr>
                  </w:pPr>
                  <w:r>
                    <w:rPr>
                      <w:rFonts w:hint="eastAsia"/>
                      <w:sz w:val="21"/>
                      <w:szCs w:val="21"/>
                    </w:rPr>
                    <w:t>加工</w:t>
                  </w:r>
                </w:p>
              </w:tc>
              <w:tc>
                <w:tcPr>
                  <w:tcW w:w="588" w:type="dxa"/>
                  <w:tcBorders>
                    <w:tl2br w:val="nil"/>
                    <w:tr2bl w:val="nil"/>
                  </w:tcBorders>
                  <w:vAlign w:val="center"/>
                </w:tcPr>
                <w:p>
                  <w:pPr>
                    <w:jc w:val="center"/>
                    <w:rPr>
                      <w:sz w:val="21"/>
                      <w:szCs w:val="21"/>
                    </w:rPr>
                  </w:pPr>
                  <w:r>
                    <w:rPr>
                      <w:rFonts w:hint="eastAsia" w:ascii="Times New Roman" w:hAnsi="Times New Roman" w:eastAsia="Times New Roman" w:cs="Times New Roman"/>
                      <w:sz w:val="21"/>
                      <w:szCs w:val="21"/>
                    </w:rPr>
                    <w:t>固态</w:t>
                  </w:r>
                </w:p>
              </w:tc>
              <w:tc>
                <w:tcPr>
                  <w:tcW w:w="697" w:type="dxa"/>
                  <w:tcBorders>
                    <w:tl2br w:val="nil"/>
                    <w:tr2bl w:val="nil"/>
                  </w:tcBorders>
                  <w:vAlign w:val="center"/>
                </w:tcPr>
                <w:p>
                  <w:pPr>
                    <w:pStyle w:val="127"/>
                    <w:spacing w:line="240" w:lineRule="auto"/>
                    <w:rPr>
                      <w:rFonts w:cs="Times New Roman"/>
                      <w:snapToGrid w:val="0"/>
                      <w:sz w:val="21"/>
                      <w:szCs w:val="21"/>
                    </w:rPr>
                  </w:pPr>
                  <w:r>
                    <w:rPr>
                      <w:rFonts w:hint="eastAsia"/>
                      <w:sz w:val="21"/>
                      <w:szCs w:val="21"/>
                      <w:lang w:eastAsia="zh-CN"/>
                    </w:rPr>
                    <w:t>陶瓷</w:t>
                  </w:r>
                </w:p>
              </w:tc>
              <w:tc>
                <w:tcPr>
                  <w:tcW w:w="696" w:type="dxa"/>
                  <w:vMerge w:val="continue"/>
                  <w:tcBorders>
                    <w:tl2br w:val="nil"/>
                    <w:tr2bl w:val="nil"/>
                  </w:tcBorders>
                  <w:vAlign w:val="center"/>
                </w:tcPr>
                <w:p>
                  <w:pPr>
                    <w:jc w:val="center"/>
                    <w:rPr>
                      <w:rFonts w:ascii="Times New Roman" w:hAnsi="Times New Roman" w:eastAsia="Times New Roman" w:cs="Times New Roman"/>
                      <w:snapToGrid w:val="0"/>
                      <w:sz w:val="21"/>
                      <w:szCs w:val="21"/>
                    </w:rPr>
                  </w:pPr>
                </w:p>
              </w:tc>
              <w:tc>
                <w:tcPr>
                  <w:tcW w:w="560" w:type="dxa"/>
                  <w:tcBorders>
                    <w:tl2br w:val="nil"/>
                    <w:tr2bl w:val="nil"/>
                  </w:tcBorders>
                  <w:vAlign w:val="center"/>
                </w:tcPr>
                <w:p>
                  <w:pPr>
                    <w:jc w:val="center"/>
                    <w:rPr>
                      <w:rFonts w:hint="eastAsia" w:ascii="Times New Roman" w:hAnsi="Times New Roman" w:cs="Times New Roman" w:eastAsiaTheme="minorEastAsia"/>
                      <w:snapToGrid w:val="0"/>
                      <w:sz w:val="21"/>
                      <w:szCs w:val="21"/>
                      <w:lang w:eastAsia="zh-CN"/>
                    </w:rPr>
                  </w:pPr>
                  <w:r>
                    <w:rPr>
                      <w:rFonts w:hint="eastAsia" w:cs="Times New Roman" w:eastAsiaTheme="minorEastAsia"/>
                      <w:snapToGrid w:val="0"/>
                      <w:sz w:val="21"/>
                      <w:szCs w:val="21"/>
                      <w:lang w:val="en-US" w:eastAsia="zh-CN"/>
                    </w:rPr>
                    <w:t>/</w:t>
                  </w:r>
                </w:p>
              </w:tc>
              <w:tc>
                <w:tcPr>
                  <w:tcW w:w="833" w:type="dxa"/>
                  <w:tcBorders>
                    <w:tl2br w:val="nil"/>
                    <w:tr2bl w:val="nil"/>
                  </w:tcBorders>
                  <w:vAlign w:val="center"/>
                </w:tcPr>
                <w:p>
                  <w:pPr>
                    <w:spacing w:line="360" w:lineRule="auto"/>
                    <w:jc w:val="cente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923" w:type="dxa"/>
                  <w:tcBorders>
                    <w:tl2br w:val="nil"/>
                    <w:tr2bl w:val="nil"/>
                  </w:tcBorders>
                  <w:vAlign w:val="center"/>
                </w:tcPr>
                <w:p>
                  <w:pPr>
                    <w:spacing w:line="360" w:lineRule="auto"/>
                    <w:ind w:left="-53" w:leftChars="-25" w:right="-53" w:rightChars="-25"/>
                    <w:jc w:val="cente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1480" w:type="dxa"/>
                  <w:tcBorders>
                    <w:tl2br w:val="nil"/>
                    <w:tr2bl w:val="nil"/>
                  </w:tcBorders>
                  <w:vAlign w:val="center"/>
                </w:tcPr>
                <w:p>
                  <w:pPr>
                    <w:pStyle w:val="127"/>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lang w:val="en-US" w:eastAsia="zh-CN"/>
                    </w:rPr>
                    <w:t>0.8</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696" w:type="dxa"/>
                  <w:tcBorders>
                    <w:tl2br w:val="nil"/>
                    <w:tr2bl w:val="nil"/>
                  </w:tcBorders>
                  <w:vAlign w:val="center"/>
                </w:tcPr>
                <w:p>
                  <w:pPr>
                    <w:pStyle w:val="127"/>
                    <w:spacing w:line="240" w:lineRule="auto"/>
                    <w:rPr>
                      <w:snapToGrid w:val="0"/>
                      <w:sz w:val="21"/>
                      <w:szCs w:val="21"/>
                    </w:rPr>
                  </w:pPr>
                  <w:r>
                    <w:rPr>
                      <w:rFonts w:hint="eastAsia" w:ascii="Times New Roman" w:hAnsi="Times New Roman" w:cs="Times New Roman"/>
                      <w:lang w:val="fi-FI"/>
                    </w:rPr>
                    <w:t>废次品</w:t>
                  </w:r>
                </w:p>
              </w:tc>
              <w:tc>
                <w:tcPr>
                  <w:tcW w:w="860" w:type="dxa"/>
                  <w:tcBorders>
                    <w:tl2br w:val="nil"/>
                    <w:tr2bl w:val="nil"/>
                  </w:tcBorders>
                  <w:vAlign w:val="center"/>
                </w:tcPr>
                <w:p>
                  <w:pPr>
                    <w:spacing w:line="360" w:lineRule="auto"/>
                    <w:jc w:val="center"/>
                    <w:rPr>
                      <w:rFonts w:ascii="Times New Roman" w:hAnsi="Times New Roman" w:eastAsia="Times New Roman" w:cs="Times New Roman"/>
                      <w:sz w:val="21"/>
                      <w:szCs w:val="21"/>
                    </w:rPr>
                  </w:pPr>
                  <w:r>
                    <w:rPr>
                      <w:rFonts w:hint="eastAsia"/>
                      <w:sz w:val="21"/>
                      <w:szCs w:val="21"/>
                    </w:rPr>
                    <w:t>一般固废</w:t>
                  </w:r>
                </w:p>
              </w:tc>
              <w:tc>
                <w:tcPr>
                  <w:tcW w:w="634" w:type="dxa"/>
                  <w:tcBorders>
                    <w:tl2br w:val="nil"/>
                    <w:tr2bl w:val="nil"/>
                  </w:tcBorders>
                  <w:vAlign w:val="center"/>
                </w:tcPr>
                <w:p>
                  <w:pPr>
                    <w:jc w:val="center"/>
                    <w:rPr>
                      <w:sz w:val="21"/>
                      <w:szCs w:val="21"/>
                    </w:rPr>
                  </w:pPr>
                  <w:r>
                    <w:rPr>
                      <w:rFonts w:hint="eastAsia"/>
                      <w:sz w:val="21"/>
                      <w:szCs w:val="21"/>
                    </w:rPr>
                    <w:t>加工</w:t>
                  </w:r>
                </w:p>
              </w:tc>
              <w:tc>
                <w:tcPr>
                  <w:tcW w:w="588" w:type="dxa"/>
                  <w:tcBorders>
                    <w:tl2br w:val="nil"/>
                    <w:tr2bl w:val="nil"/>
                  </w:tcBorders>
                  <w:vAlign w:val="center"/>
                </w:tcPr>
                <w:p>
                  <w:pPr>
                    <w:jc w:val="center"/>
                    <w:rPr>
                      <w:sz w:val="21"/>
                      <w:szCs w:val="21"/>
                    </w:rPr>
                  </w:pPr>
                  <w:r>
                    <w:rPr>
                      <w:rFonts w:hint="eastAsia" w:ascii="Times New Roman" w:hAnsi="Times New Roman" w:eastAsia="Times New Roman" w:cs="Times New Roman"/>
                      <w:sz w:val="21"/>
                      <w:szCs w:val="21"/>
                    </w:rPr>
                    <w:t>固态</w:t>
                  </w:r>
                </w:p>
              </w:tc>
              <w:tc>
                <w:tcPr>
                  <w:tcW w:w="697" w:type="dxa"/>
                  <w:tcBorders>
                    <w:tl2br w:val="nil"/>
                    <w:tr2bl w:val="nil"/>
                  </w:tcBorders>
                  <w:vAlign w:val="center"/>
                </w:tcPr>
                <w:p>
                  <w:pPr>
                    <w:pStyle w:val="127"/>
                    <w:spacing w:line="240" w:lineRule="auto"/>
                    <w:rPr>
                      <w:rFonts w:cs="Times New Roman"/>
                      <w:snapToGrid w:val="0"/>
                      <w:sz w:val="21"/>
                      <w:szCs w:val="21"/>
                    </w:rPr>
                  </w:pPr>
                  <w:r>
                    <w:rPr>
                      <w:rFonts w:hint="eastAsia"/>
                      <w:sz w:val="21"/>
                      <w:szCs w:val="21"/>
                      <w:lang w:eastAsia="zh-CN"/>
                    </w:rPr>
                    <w:t>陶瓷</w:t>
                  </w:r>
                </w:p>
              </w:tc>
              <w:tc>
                <w:tcPr>
                  <w:tcW w:w="696" w:type="dxa"/>
                  <w:vMerge w:val="continue"/>
                  <w:tcBorders>
                    <w:tl2br w:val="nil"/>
                    <w:tr2bl w:val="nil"/>
                  </w:tcBorders>
                  <w:vAlign w:val="center"/>
                </w:tcPr>
                <w:p>
                  <w:pPr>
                    <w:jc w:val="center"/>
                    <w:rPr>
                      <w:rFonts w:ascii="Times New Roman" w:hAnsi="Times New Roman" w:eastAsia="Times New Roman" w:cs="Times New Roman"/>
                      <w:snapToGrid w:val="0"/>
                      <w:sz w:val="21"/>
                      <w:szCs w:val="21"/>
                    </w:rPr>
                  </w:pPr>
                </w:p>
              </w:tc>
              <w:tc>
                <w:tcPr>
                  <w:tcW w:w="560" w:type="dxa"/>
                  <w:tcBorders>
                    <w:tl2br w:val="nil"/>
                    <w:tr2bl w:val="nil"/>
                  </w:tcBorders>
                  <w:vAlign w:val="center"/>
                </w:tcPr>
                <w:p>
                  <w:pPr>
                    <w:jc w:val="center"/>
                    <w:rPr>
                      <w:rFonts w:hint="eastAsia" w:ascii="Times New Roman" w:hAnsi="Times New Roman" w:cs="Times New Roman" w:eastAsiaTheme="minorEastAsia"/>
                      <w:snapToGrid w:val="0"/>
                      <w:sz w:val="21"/>
                      <w:szCs w:val="21"/>
                      <w:lang w:eastAsia="zh-CN"/>
                    </w:rPr>
                  </w:pPr>
                  <w:r>
                    <w:rPr>
                      <w:rFonts w:hint="eastAsia" w:cs="Times New Roman" w:eastAsiaTheme="minorEastAsia"/>
                      <w:snapToGrid w:val="0"/>
                      <w:sz w:val="21"/>
                      <w:szCs w:val="21"/>
                      <w:lang w:val="en-US" w:eastAsia="zh-CN"/>
                    </w:rPr>
                    <w:t>/</w:t>
                  </w:r>
                </w:p>
              </w:tc>
              <w:tc>
                <w:tcPr>
                  <w:tcW w:w="833" w:type="dxa"/>
                  <w:tcBorders>
                    <w:tl2br w:val="nil"/>
                    <w:tr2bl w:val="nil"/>
                  </w:tcBorders>
                  <w:vAlign w:val="center"/>
                </w:tcPr>
                <w:p>
                  <w:pPr>
                    <w:spacing w:line="360" w:lineRule="auto"/>
                    <w:jc w:val="cente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923" w:type="dxa"/>
                  <w:tcBorders>
                    <w:tl2br w:val="nil"/>
                    <w:tr2bl w:val="nil"/>
                  </w:tcBorders>
                  <w:vAlign w:val="center"/>
                </w:tcPr>
                <w:p>
                  <w:pPr>
                    <w:spacing w:line="360" w:lineRule="auto"/>
                    <w:ind w:left="-53" w:leftChars="-25" w:right="-53" w:rightChars="-25"/>
                    <w:jc w:val="center"/>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w:t>
                  </w:r>
                </w:p>
              </w:tc>
              <w:tc>
                <w:tcPr>
                  <w:tcW w:w="1480" w:type="dxa"/>
                  <w:tcBorders>
                    <w:tl2br w:val="nil"/>
                    <w:tr2bl w:val="nil"/>
                  </w:tcBorders>
                  <w:vAlign w:val="center"/>
                </w:tcPr>
                <w:p>
                  <w:pPr>
                    <w:pStyle w:val="127"/>
                    <w:spacing w:line="240" w:lineRule="auto"/>
                    <w:rPr>
                      <w:rFonts w:ascii="Times New Roman" w:hAnsi="Times New Roman" w:cs="Times New Roman"/>
                      <w:sz w:val="21"/>
                      <w:szCs w:val="21"/>
                    </w:rPr>
                  </w:pPr>
                  <w:r>
                    <w:rPr>
                      <w:rFonts w:hint="eastAsia" w:ascii="Times New Roman" w:hAnsi="Times New Roman" w:cs="Times New Roman"/>
                    </w:rPr>
                    <w:t>0.2</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696" w:type="dxa"/>
                  <w:tcBorders>
                    <w:tl2br w:val="nil"/>
                    <w:tr2bl w:val="nil"/>
                  </w:tcBorders>
                  <w:vAlign w:val="center"/>
                </w:tcPr>
                <w:p>
                  <w:pPr>
                    <w:pStyle w:val="127"/>
                    <w:spacing w:line="240" w:lineRule="auto"/>
                    <w:rPr>
                      <w:rFonts w:ascii="Times New Roman" w:hAnsi="Times New Roman" w:eastAsia="Times New Roman" w:cs="Times New Roman"/>
                      <w:snapToGrid w:val="0"/>
                      <w:sz w:val="21"/>
                      <w:szCs w:val="21"/>
                    </w:rPr>
                  </w:pPr>
                  <w:r>
                    <w:rPr>
                      <w:rFonts w:hint="eastAsia" w:ascii="Times New Roman" w:hAnsi="Times New Roman" w:cs="Times New Roman"/>
                      <w:lang w:val="fi-FI"/>
                    </w:rPr>
                    <w:t>废瓷粉</w:t>
                  </w:r>
                </w:p>
              </w:tc>
              <w:tc>
                <w:tcPr>
                  <w:tcW w:w="860" w:type="dxa"/>
                  <w:tcBorders>
                    <w:tl2br w:val="nil"/>
                    <w:tr2bl w:val="nil"/>
                  </w:tcBorders>
                  <w:vAlign w:val="center"/>
                </w:tcPr>
                <w:p>
                  <w:pPr>
                    <w:spacing w:line="360" w:lineRule="auto"/>
                    <w:jc w:val="center"/>
                    <w:rPr>
                      <w:rFonts w:ascii="Times New Roman" w:hAnsi="Times New Roman" w:eastAsia="Times New Roman" w:cs="Times New Roman"/>
                      <w:sz w:val="21"/>
                      <w:szCs w:val="21"/>
                    </w:rPr>
                  </w:pPr>
                  <w:r>
                    <w:rPr>
                      <w:rFonts w:hint="eastAsia"/>
                      <w:sz w:val="21"/>
                      <w:szCs w:val="21"/>
                    </w:rPr>
                    <w:t>一般固废</w:t>
                  </w:r>
                </w:p>
              </w:tc>
              <w:tc>
                <w:tcPr>
                  <w:tcW w:w="634" w:type="dxa"/>
                  <w:tcBorders>
                    <w:tl2br w:val="nil"/>
                    <w:tr2bl w:val="nil"/>
                  </w:tcBorders>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eastAsia="zh-CN"/>
                    </w:rPr>
                    <w:t>加工</w:t>
                  </w:r>
                </w:p>
              </w:tc>
              <w:tc>
                <w:tcPr>
                  <w:tcW w:w="588" w:type="dxa"/>
                  <w:tcBorders>
                    <w:tl2br w:val="nil"/>
                    <w:tr2bl w:val="nil"/>
                  </w:tcBorders>
                  <w:vAlign w:val="center"/>
                </w:tcPr>
                <w:p>
                  <w:pPr>
                    <w:jc w:val="center"/>
                    <w:rPr>
                      <w:rFonts w:ascii="Times New Roman" w:hAnsi="Times New Roman" w:eastAsia="Times New Roman" w:cs="Times New Roman"/>
                      <w:sz w:val="21"/>
                      <w:szCs w:val="21"/>
                    </w:rPr>
                  </w:pPr>
                  <w:r>
                    <w:rPr>
                      <w:rFonts w:hint="eastAsia"/>
                      <w:sz w:val="21"/>
                      <w:szCs w:val="21"/>
                    </w:rPr>
                    <w:t>固态</w:t>
                  </w:r>
                </w:p>
              </w:tc>
              <w:tc>
                <w:tcPr>
                  <w:tcW w:w="697" w:type="dxa"/>
                  <w:tcBorders>
                    <w:tl2br w:val="nil"/>
                    <w:tr2bl w:val="nil"/>
                  </w:tcBorders>
                  <w:vAlign w:val="center"/>
                </w:tcPr>
                <w:p>
                  <w:pPr>
                    <w:jc w:val="center"/>
                    <w:rPr>
                      <w:rFonts w:ascii="Times New Roman" w:hAnsi="Times New Roman" w:cs="Times New Roman"/>
                      <w:snapToGrid w:val="0"/>
                      <w:sz w:val="21"/>
                      <w:szCs w:val="21"/>
                    </w:rPr>
                  </w:pPr>
                  <w:r>
                    <w:rPr>
                      <w:rFonts w:hint="eastAsia"/>
                      <w:sz w:val="21"/>
                      <w:szCs w:val="21"/>
                      <w:lang w:eastAsia="zh-CN"/>
                    </w:rPr>
                    <w:t>陶瓷</w:t>
                  </w:r>
                </w:p>
              </w:tc>
              <w:tc>
                <w:tcPr>
                  <w:tcW w:w="696" w:type="dxa"/>
                  <w:vMerge w:val="continue"/>
                  <w:tcBorders>
                    <w:tl2br w:val="nil"/>
                    <w:tr2bl w:val="nil"/>
                  </w:tcBorders>
                  <w:vAlign w:val="center"/>
                </w:tcPr>
                <w:p>
                  <w:pPr>
                    <w:jc w:val="center"/>
                    <w:rPr>
                      <w:rFonts w:ascii="Times New Roman" w:hAnsi="Times New Roman" w:eastAsia="Times New Roman" w:cs="Times New Roman"/>
                      <w:snapToGrid w:val="0"/>
                      <w:sz w:val="21"/>
                      <w:szCs w:val="21"/>
                    </w:rPr>
                  </w:pPr>
                </w:p>
              </w:tc>
              <w:tc>
                <w:tcPr>
                  <w:tcW w:w="560" w:type="dxa"/>
                  <w:tcBorders>
                    <w:tl2br w:val="nil"/>
                    <w:tr2bl w:val="nil"/>
                  </w:tcBorders>
                  <w:vAlign w:val="center"/>
                </w:tcPr>
                <w:p>
                  <w:pPr>
                    <w:jc w:val="center"/>
                    <w:rPr>
                      <w:rFonts w:ascii="Times New Roman" w:hAnsi="Times New Roman" w:cs="Times New Roman"/>
                      <w:snapToGrid w:val="0"/>
                      <w:sz w:val="21"/>
                      <w:szCs w:val="21"/>
                    </w:rPr>
                  </w:pPr>
                  <w:r>
                    <w:rPr>
                      <w:rFonts w:hint="eastAsia" w:ascii="Times New Roman" w:hAnsi="Times New Roman" w:eastAsia="Times New Roman" w:cs="Times New Roman"/>
                      <w:snapToGrid w:val="0"/>
                      <w:sz w:val="21"/>
                      <w:szCs w:val="21"/>
                    </w:rPr>
                    <w:t>/</w:t>
                  </w:r>
                </w:p>
              </w:tc>
              <w:tc>
                <w:tcPr>
                  <w:tcW w:w="833" w:type="dxa"/>
                  <w:tcBorders>
                    <w:tl2br w:val="nil"/>
                    <w:tr2bl w:val="nil"/>
                  </w:tcBorders>
                  <w:vAlign w:val="center"/>
                </w:tcPr>
                <w:p>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923" w:type="dxa"/>
                  <w:tcBorders>
                    <w:tl2br w:val="nil"/>
                    <w:tr2bl w:val="nil"/>
                  </w:tcBorders>
                  <w:vAlign w:val="center"/>
                </w:tcPr>
                <w:p>
                  <w:pPr>
                    <w:spacing w:line="360" w:lineRule="auto"/>
                    <w:ind w:left="-53" w:leftChars="-25" w:right="-53" w:rightChars="-25"/>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480" w:type="dxa"/>
                  <w:tcBorders>
                    <w:tl2br w:val="nil"/>
                    <w:tr2bl w:val="nil"/>
                  </w:tcBorders>
                  <w:vAlign w:val="center"/>
                </w:tcPr>
                <w:p>
                  <w:pPr>
                    <w:pStyle w:val="127"/>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rPr>
                    <w:t>0.0</w:t>
                  </w:r>
                  <w:r>
                    <w:rPr>
                      <w:rFonts w:hint="eastAsia" w:ascii="Times New Roman" w:hAnsi="Times New Roman" w:cs="Times New Roman"/>
                      <w:lang w:val="en-US" w:eastAsia="zh-CN"/>
                    </w:rPr>
                    <w:t>043</w:t>
                  </w:r>
                </w:p>
              </w:tc>
            </w:tr>
            <w:tr>
              <w:tblPrEx>
                <w:tblBorders>
                  <w:top w:val="double" w:color="auto" w:sz="4" w:space="0"/>
                  <w:left w:val="none" w:color="auto" w:sz="0" w:space="0"/>
                  <w:bottom w:val="double" w:color="auto" w:sz="4" w:space="0"/>
                  <w:right w:val="none" w:color="auto" w:sz="0" w:space="0"/>
                  <w:insideH w:val="single" w:color="auto" w:sz="2" w:space="0"/>
                  <w:insideV w:val="single" w:color="auto" w:sz="4" w:space="0"/>
                </w:tblBorders>
                <w:tblCellMar>
                  <w:top w:w="0" w:type="dxa"/>
                  <w:left w:w="0" w:type="dxa"/>
                  <w:bottom w:w="0" w:type="dxa"/>
                  <w:right w:w="0" w:type="dxa"/>
                </w:tblCellMar>
              </w:tblPrEx>
              <w:trPr>
                <w:trHeight w:val="340" w:hRule="atLeast"/>
                <w:jc w:val="center"/>
              </w:trPr>
              <w:tc>
                <w:tcPr>
                  <w:tcW w:w="346"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696" w:type="dxa"/>
                  <w:tcBorders>
                    <w:tl2br w:val="nil"/>
                    <w:tr2bl w:val="nil"/>
                  </w:tcBorders>
                  <w:vAlign w:val="center"/>
                </w:tcPr>
                <w:p>
                  <w:pPr>
                    <w:pStyle w:val="127"/>
                    <w:spacing w:line="240" w:lineRule="auto"/>
                    <w:rPr>
                      <w:rFonts w:ascii="Times New Roman" w:hAnsi="Times New Roman" w:eastAsia="Times New Roman" w:cs="Times New Roman"/>
                      <w:snapToGrid w:val="0"/>
                      <w:sz w:val="21"/>
                      <w:szCs w:val="21"/>
                    </w:rPr>
                  </w:pPr>
                  <w:r>
                    <w:rPr>
                      <w:rFonts w:hint="eastAsia" w:ascii="Times New Roman" w:hAnsi="Times New Roman" w:cs="Times New Roman"/>
                      <w:lang w:val="fi-FI"/>
                    </w:rPr>
                    <w:t>生活垃圾</w:t>
                  </w:r>
                </w:p>
              </w:tc>
              <w:tc>
                <w:tcPr>
                  <w:tcW w:w="860"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生活垃圾</w:t>
                  </w:r>
                </w:p>
              </w:tc>
              <w:tc>
                <w:tcPr>
                  <w:tcW w:w="634" w:type="dxa"/>
                  <w:tcBorders>
                    <w:tl2br w:val="nil"/>
                    <w:tr2bl w:val="nil"/>
                  </w:tcBorders>
                  <w:vAlign w:val="center"/>
                </w:tcPr>
                <w:p>
                  <w:pPr>
                    <w:jc w:val="center"/>
                    <w:rPr>
                      <w:rFonts w:hint="eastAsia"/>
                      <w:sz w:val="21"/>
                      <w:szCs w:val="21"/>
                    </w:rPr>
                  </w:pPr>
                  <w:r>
                    <w:rPr>
                      <w:rFonts w:hint="eastAsia"/>
                      <w:sz w:val="21"/>
                      <w:szCs w:val="21"/>
                    </w:rPr>
                    <w:t>员工生活</w:t>
                  </w:r>
                </w:p>
              </w:tc>
              <w:tc>
                <w:tcPr>
                  <w:tcW w:w="588" w:type="dxa"/>
                  <w:tcBorders>
                    <w:tl2br w:val="nil"/>
                    <w:tr2bl w:val="nil"/>
                  </w:tcBorders>
                  <w:vAlign w:val="center"/>
                </w:tcPr>
                <w:p>
                  <w:pPr>
                    <w:jc w:val="center"/>
                    <w:rPr>
                      <w:rFonts w:hint="eastAsia"/>
                      <w:sz w:val="21"/>
                      <w:szCs w:val="21"/>
                    </w:rPr>
                  </w:pPr>
                  <w:r>
                    <w:rPr>
                      <w:rFonts w:hint="eastAsia"/>
                      <w:sz w:val="21"/>
                      <w:szCs w:val="21"/>
                    </w:rPr>
                    <w:t>固态</w:t>
                  </w:r>
                </w:p>
              </w:tc>
              <w:tc>
                <w:tcPr>
                  <w:tcW w:w="697" w:type="dxa"/>
                  <w:tcBorders>
                    <w:tl2br w:val="nil"/>
                    <w:tr2bl w:val="nil"/>
                  </w:tcBorders>
                  <w:vAlign w:val="center"/>
                </w:tcPr>
                <w:p>
                  <w:pPr>
                    <w:jc w:val="center"/>
                    <w:rPr>
                      <w:rFonts w:hint="eastAsia" w:ascii="Times New Roman" w:hAnsi="Times New Roman" w:cs="Times New Roman"/>
                      <w:snapToGrid w:val="0"/>
                      <w:sz w:val="21"/>
                      <w:szCs w:val="21"/>
                    </w:rPr>
                  </w:pPr>
                  <w:r>
                    <w:rPr>
                      <w:rFonts w:hint="eastAsia"/>
                      <w:sz w:val="21"/>
                      <w:szCs w:val="21"/>
                      <w:lang w:eastAsia="zh-CN"/>
                    </w:rPr>
                    <w:t>纸等</w:t>
                  </w:r>
                </w:p>
              </w:tc>
              <w:tc>
                <w:tcPr>
                  <w:tcW w:w="696" w:type="dxa"/>
                  <w:vMerge w:val="continue"/>
                  <w:tcBorders>
                    <w:tl2br w:val="nil"/>
                    <w:tr2bl w:val="nil"/>
                  </w:tcBorders>
                  <w:vAlign w:val="center"/>
                </w:tcPr>
                <w:p>
                  <w:pPr>
                    <w:jc w:val="center"/>
                    <w:rPr>
                      <w:rFonts w:ascii="Times New Roman" w:hAnsi="Times New Roman" w:eastAsia="Times New Roman" w:cs="Times New Roman"/>
                      <w:snapToGrid w:val="0"/>
                      <w:sz w:val="21"/>
                      <w:szCs w:val="21"/>
                    </w:rPr>
                  </w:pPr>
                </w:p>
              </w:tc>
              <w:tc>
                <w:tcPr>
                  <w:tcW w:w="560" w:type="dxa"/>
                  <w:tcBorders>
                    <w:tl2br w:val="nil"/>
                    <w:tr2bl w:val="nil"/>
                  </w:tcBorders>
                  <w:vAlign w:val="center"/>
                </w:tcPr>
                <w:p>
                  <w:pPr>
                    <w:jc w:val="center"/>
                    <w:rPr>
                      <w:rFonts w:hint="eastAsia" w:ascii="Times New Roman" w:hAnsi="Times New Roman" w:eastAsia="宋体" w:cs="Times New Roman"/>
                      <w:snapToGrid w:val="0"/>
                      <w:sz w:val="21"/>
                      <w:szCs w:val="21"/>
                      <w:lang w:val="en-US" w:eastAsia="zh-CN"/>
                    </w:rPr>
                  </w:pPr>
                  <w:r>
                    <w:rPr>
                      <w:rFonts w:hint="eastAsia" w:cs="Times New Roman"/>
                      <w:snapToGrid w:val="0"/>
                      <w:sz w:val="21"/>
                      <w:szCs w:val="21"/>
                      <w:lang w:val="en-US" w:eastAsia="zh-CN"/>
                    </w:rPr>
                    <w:t>/</w:t>
                  </w:r>
                </w:p>
              </w:tc>
              <w:tc>
                <w:tcPr>
                  <w:tcW w:w="833" w:type="dxa"/>
                  <w:tcBorders>
                    <w:tl2br w:val="nil"/>
                    <w:tr2bl w:val="nil"/>
                  </w:tcBorders>
                  <w:vAlign w:val="center"/>
                </w:tcPr>
                <w:p>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99</w:t>
                  </w:r>
                </w:p>
              </w:tc>
              <w:tc>
                <w:tcPr>
                  <w:tcW w:w="923" w:type="dxa"/>
                  <w:tcBorders>
                    <w:tl2br w:val="nil"/>
                    <w:tr2bl w:val="nil"/>
                  </w:tcBorders>
                  <w:vAlign w:val="center"/>
                </w:tcPr>
                <w:p>
                  <w:pPr>
                    <w:spacing w:line="360" w:lineRule="auto"/>
                    <w:ind w:left="-53" w:leftChars="-25" w:right="-53" w:rightChars="-25"/>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c>
                <w:tcPr>
                  <w:tcW w:w="1480" w:type="dxa"/>
                  <w:tcBorders>
                    <w:tl2br w:val="nil"/>
                    <w:tr2bl w:val="nil"/>
                  </w:tcBorders>
                  <w:vAlign w:val="center"/>
                </w:tcPr>
                <w:p>
                  <w:pPr>
                    <w:pStyle w:val="127"/>
                    <w:spacing w:line="240" w:lineRule="auto"/>
                    <w:rPr>
                      <w:rFonts w:ascii="Times New Roman" w:hAnsi="Times New Roman" w:cs="Times New Roman"/>
                      <w:sz w:val="21"/>
                      <w:szCs w:val="21"/>
                    </w:rPr>
                  </w:pPr>
                  <w:r>
                    <w:rPr>
                      <w:rFonts w:hint="eastAsia" w:ascii="Times New Roman" w:hAnsi="Times New Roman" w:cs="Times New Roman"/>
                    </w:rPr>
                    <w:t>0.9</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textAlignment w:val="auto"/>
              <w:rPr>
                <w:rFonts w:hint="eastAsia" w:eastAsia="宋体"/>
                <w:lang w:val="en-US" w:eastAsia="zh-CN"/>
              </w:rPr>
            </w:pPr>
            <w:r>
              <w:rPr>
                <w:rFonts w:hint="eastAsia"/>
                <w:sz w:val="24"/>
              </w:rPr>
              <w:t>本项目</w:t>
            </w:r>
            <w:r>
              <w:rPr>
                <w:sz w:val="24"/>
              </w:rPr>
              <w:t>固体废物利用处置方式</w:t>
            </w:r>
            <w:r>
              <w:rPr>
                <w:rFonts w:hint="eastAsia"/>
                <w:sz w:val="24"/>
                <w:lang w:eastAsia="zh-CN"/>
              </w:rPr>
              <w:t>见</w:t>
            </w:r>
            <w:r>
              <w:rPr>
                <w:sz w:val="24"/>
              </w:rPr>
              <w:t>下表</w:t>
            </w:r>
          </w:p>
          <w:p>
            <w:pPr>
              <w:pStyle w:val="114"/>
              <w:numPr>
                <w:ilvl w:val="0"/>
                <w:numId w:val="0"/>
              </w:numPr>
              <w:spacing w:line="400" w:lineRule="exact"/>
              <w:rPr>
                <w:sz w:val="24"/>
                <w:szCs w:val="24"/>
              </w:rPr>
            </w:pPr>
            <w:r>
              <w:rPr>
                <w:rFonts w:hAnsi="宋体"/>
                <w:sz w:val="24"/>
                <w:szCs w:val="24"/>
              </w:rPr>
              <w:t>表</w:t>
            </w:r>
            <w:r>
              <w:rPr>
                <w:sz w:val="24"/>
                <w:szCs w:val="24"/>
              </w:rPr>
              <w:t>5-</w:t>
            </w:r>
            <w:r>
              <w:rPr>
                <w:rFonts w:hint="eastAsia"/>
                <w:sz w:val="24"/>
                <w:szCs w:val="24"/>
                <w:lang w:val="en-US" w:eastAsia="zh-CN"/>
              </w:rPr>
              <w:t xml:space="preserve">6 </w:t>
            </w:r>
            <w:r>
              <w:rPr>
                <w:rFonts w:hint="eastAsia" w:hAnsi="宋体"/>
                <w:sz w:val="24"/>
                <w:szCs w:val="24"/>
              </w:rPr>
              <w:t>建设项目固废产生及处置情况</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560"/>
              <w:gridCol w:w="1275"/>
              <w:gridCol w:w="1703"/>
              <w:gridCol w:w="278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b/>
                      <w:lang w:val="fi-FI"/>
                    </w:rPr>
                  </w:pPr>
                  <w:r>
                    <w:rPr>
                      <w:rFonts w:hint="eastAsia" w:ascii="Times New Roman" w:hAnsi="宋体" w:cs="Times New Roman"/>
                      <w:b/>
                      <w:lang w:val="fi-FI"/>
                    </w:rPr>
                    <w:t>序号</w:t>
                  </w:r>
                </w:p>
              </w:tc>
              <w:tc>
                <w:tcPr>
                  <w:tcW w:w="1560" w:type="dxa"/>
                  <w:vAlign w:val="center"/>
                </w:tcPr>
                <w:p>
                  <w:pPr>
                    <w:pStyle w:val="127"/>
                    <w:spacing w:line="240" w:lineRule="auto"/>
                    <w:rPr>
                      <w:rFonts w:ascii="Times New Roman" w:hAnsi="Times New Roman" w:cs="Times New Roman"/>
                      <w:b/>
                      <w:lang w:val="fi-FI"/>
                    </w:rPr>
                  </w:pPr>
                  <w:r>
                    <w:rPr>
                      <w:rFonts w:hint="eastAsia" w:ascii="Times New Roman" w:hAnsi="Times New Roman" w:cs="Times New Roman"/>
                      <w:b/>
                      <w:lang w:val="fi-FI"/>
                    </w:rPr>
                    <w:t>名称</w:t>
                  </w:r>
                </w:p>
              </w:tc>
              <w:tc>
                <w:tcPr>
                  <w:tcW w:w="1275" w:type="dxa"/>
                  <w:vAlign w:val="center"/>
                </w:tcPr>
                <w:p>
                  <w:pPr>
                    <w:pStyle w:val="127"/>
                    <w:spacing w:line="240" w:lineRule="auto"/>
                    <w:rPr>
                      <w:rFonts w:ascii="Times New Roman" w:hAnsi="Times New Roman" w:cs="Times New Roman"/>
                      <w:b/>
                      <w:lang w:val="fi-FI"/>
                    </w:rPr>
                  </w:pPr>
                  <w:r>
                    <w:rPr>
                      <w:rFonts w:hint="eastAsia" w:ascii="Times New Roman" w:hAnsi="Times New Roman" w:cs="Times New Roman"/>
                      <w:b/>
                      <w:lang w:val="fi-FI"/>
                    </w:rPr>
                    <w:t>性状</w:t>
                  </w:r>
                </w:p>
              </w:tc>
              <w:tc>
                <w:tcPr>
                  <w:tcW w:w="1703" w:type="dxa"/>
                  <w:vAlign w:val="center"/>
                </w:tcPr>
                <w:p>
                  <w:pPr>
                    <w:pStyle w:val="127"/>
                    <w:spacing w:line="240" w:lineRule="auto"/>
                    <w:rPr>
                      <w:rFonts w:ascii="Times New Roman" w:hAnsi="Times New Roman" w:cs="Times New Roman"/>
                      <w:b/>
                      <w:lang w:val="fi-FI"/>
                    </w:rPr>
                  </w:pPr>
                  <w:r>
                    <w:rPr>
                      <w:rFonts w:hint="eastAsia" w:ascii="Times New Roman" w:hAnsi="Times New Roman" w:cs="Times New Roman"/>
                      <w:b/>
                      <w:lang w:val="fi-FI"/>
                    </w:rPr>
                    <w:t>产生量（t/a）</w:t>
                  </w:r>
                </w:p>
              </w:tc>
              <w:tc>
                <w:tcPr>
                  <w:tcW w:w="2783" w:type="dxa"/>
                  <w:vAlign w:val="center"/>
                </w:tcPr>
                <w:p>
                  <w:pPr>
                    <w:pStyle w:val="127"/>
                    <w:spacing w:line="240" w:lineRule="auto"/>
                    <w:rPr>
                      <w:rFonts w:ascii="Times New Roman" w:hAnsi="Times New Roman" w:cs="Times New Roman"/>
                      <w:b/>
                      <w:lang w:val="fi-FI"/>
                    </w:rPr>
                  </w:pPr>
                  <w:r>
                    <w:rPr>
                      <w:rFonts w:hint="eastAsia" w:ascii="Times New Roman" w:hAnsi="Times New Roman" w:cs="Times New Roman"/>
                      <w:b/>
                      <w:lang w:val="fi-FI"/>
                    </w:rPr>
                    <w:t>处理方式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1</w:t>
                  </w:r>
                </w:p>
              </w:tc>
              <w:tc>
                <w:tcPr>
                  <w:tcW w:w="1560"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废陶瓷</w:t>
                  </w:r>
                </w:p>
              </w:tc>
              <w:tc>
                <w:tcPr>
                  <w:tcW w:w="1275"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固体</w:t>
                  </w:r>
                </w:p>
              </w:tc>
              <w:tc>
                <w:tcPr>
                  <w:tcW w:w="1703" w:type="dxa"/>
                  <w:vAlign w:val="center"/>
                </w:tcPr>
                <w:p>
                  <w:pPr>
                    <w:pStyle w:val="127"/>
                    <w:spacing w:line="240" w:lineRule="auto"/>
                    <w:rPr>
                      <w:rFonts w:ascii="Times New Roman" w:hAnsi="Times New Roman" w:cs="Times New Roman"/>
                    </w:rPr>
                  </w:pPr>
                  <w:r>
                    <w:rPr>
                      <w:rFonts w:hint="eastAsia" w:ascii="Times New Roman" w:hAnsi="Times New Roman" w:cs="Times New Roman"/>
                    </w:rPr>
                    <w:t>0.3</w:t>
                  </w:r>
                </w:p>
              </w:tc>
              <w:tc>
                <w:tcPr>
                  <w:tcW w:w="2783" w:type="dxa"/>
                  <w:vMerge w:val="restart"/>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收集后统一外售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2</w:t>
                  </w:r>
                </w:p>
              </w:tc>
              <w:tc>
                <w:tcPr>
                  <w:tcW w:w="1560"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陶瓷泥料</w:t>
                  </w:r>
                </w:p>
              </w:tc>
              <w:tc>
                <w:tcPr>
                  <w:tcW w:w="1275"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固体</w:t>
                  </w:r>
                </w:p>
              </w:tc>
              <w:tc>
                <w:tcPr>
                  <w:tcW w:w="1703" w:type="dxa"/>
                  <w:vAlign w:val="center"/>
                </w:tcPr>
                <w:p>
                  <w:pPr>
                    <w:pStyle w:val="127"/>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c>
              <w:tc>
                <w:tcPr>
                  <w:tcW w:w="2783"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3</w:t>
                  </w:r>
                </w:p>
              </w:tc>
              <w:tc>
                <w:tcPr>
                  <w:tcW w:w="1560"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废次品</w:t>
                  </w:r>
                </w:p>
              </w:tc>
              <w:tc>
                <w:tcPr>
                  <w:tcW w:w="1275"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固体</w:t>
                  </w:r>
                </w:p>
              </w:tc>
              <w:tc>
                <w:tcPr>
                  <w:tcW w:w="1703" w:type="dxa"/>
                  <w:vAlign w:val="center"/>
                </w:tcPr>
                <w:p>
                  <w:pPr>
                    <w:pStyle w:val="127"/>
                    <w:spacing w:line="240" w:lineRule="auto"/>
                    <w:rPr>
                      <w:rFonts w:ascii="Times New Roman" w:hAnsi="Times New Roman" w:cs="Times New Roman"/>
                    </w:rPr>
                  </w:pPr>
                  <w:r>
                    <w:rPr>
                      <w:rFonts w:hint="eastAsia" w:ascii="Times New Roman" w:hAnsi="Times New Roman" w:cs="Times New Roman"/>
                    </w:rPr>
                    <w:t>0.2</w:t>
                  </w:r>
                </w:p>
              </w:tc>
              <w:tc>
                <w:tcPr>
                  <w:tcW w:w="2783"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rPr>
                  </w:pPr>
                  <w:r>
                    <w:rPr>
                      <w:rFonts w:hint="eastAsia" w:ascii="Times New Roman" w:hAnsi="Times New Roman" w:cs="Times New Roman"/>
                    </w:rPr>
                    <w:t>4</w:t>
                  </w:r>
                </w:p>
              </w:tc>
              <w:tc>
                <w:tcPr>
                  <w:tcW w:w="1560"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废瓷粉</w:t>
                  </w:r>
                </w:p>
              </w:tc>
              <w:tc>
                <w:tcPr>
                  <w:tcW w:w="1275"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固体</w:t>
                  </w:r>
                </w:p>
              </w:tc>
              <w:tc>
                <w:tcPr>
                  <w:tcW w:w="1703" w:type="dxa"/>
                  <w:vAlign w:val="center"/>
                </w:tcPr>
                <w:p>
                  <w:pPr>
                    <w:pStyle w:val="127"/>
                    <w:spacing w:line="240" w:lineRule="auto"/>
                    <w:rPr>
                      <w:rFonts w:hint="default" w:ascii="Times New Roman" w:hAnsi="Times New Roman" w:eastAsia="宋体" w:cs="Times New Roman"/>
                      <w:lang w:val="en-US" w:eastAsia="zh-CN"/>
                    </w:rPr>
                  </w:pPr>
                  <w:r>
                    <w:rPr>
                      <w:rFonts w:hint="eastAsia" w:ascii="Times New Roman" w:hAnsi="Times New Roman" w:cs="Times New Roman"/>
                    </w:rPr>
                    <w:t>0.0</w:t>
                  </w:r>
                  <w:r>
                    <w:rPr>
                      <w:rFonts w:hint="eastAsia" w:ascii="Times New Roman" w:hAnsi="Times New Roman" w:cs="Times New Roman"/>
                      <w:lang w:val="en-US" w:eastAsia="zh-CN"/>
                    </w:rPr>
                    <w:t>043</w:t>
                  </w:r>
                </w:p>
              </w:tc>
              <w:tc>
                <w:tcPr>
                  <w:tcW w:w="2783"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92"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rPr>
                    <w:t>5</w:t>
                  </w:r>
                </w:p>
              </w:tc>
              <w:tc>
                <w:tcPr>
                  <w:tcW w:w="1560"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生活垃圾</w:t>
                  </w:r>
                </w:p>
              </w:tc>
              <w:tc>
                <w:tcPr>
                  <w:tcW w:w="1275"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固体</w:t>
                  </w:r>
                </w:p>
              </w:tc>
              <w:tc>
                <w:tcPr>
                  <w:tcW w:w="1703" w:type="dxa"/>
                  <w:vAlign w:val="center"/>
                </w:tcPr>
                <w:p>
                  <w:pPr>
                    <w:pStyle w:val="127"/>
                    <w:spacing w:line="240" w:lineRule="auto"/>
                    <w:rPr>
                      <w:rFonts w:ascii="Times New Roman" w:hAnsi="Times New Roman" w:cs="Times New Roman"/>
                    </w:rPr>
                  </w:pPr>
                  <w:r>
                    <w:rPr>
                      <w:rFonts w:hint="eastAsia" w:ascii="Times New Roman" w:hAnsi="Times New Roman" w:cs="Times New Roman"/>
                    </w:rPr>
                    <w:t>0.9</w:t>
                  </w:r>
                </w:p>
              </w:tc>
              <w:tc>
                <w:tcPr>
                  <w:tcW w:w="2783"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收集后由环卫部门统一清运</w:t>
                  </w:r>
                </w:p>
              </w:tc>
            </w:tr>
          </w:tbl>
          <w:p>
            <w:pPr>
              <w:pStyle w:val="2"/>
              <w:rPr>
                <w:lang w:val="en-US"/>
              </w:rPr>
            </w:pPr>
          </w:p>
          <w:p>
            <w:pPr>
              <w:pStyle w:val="2"/>
            </w:pPr>
          </w:p>
          <w:p>
            <w:pPr>
              <w:pStyle w:val="2"/>
            </w:pPr>
          </w:p>
          <w:p/>
          <w:p/>
          <w:p>
            <w:pPr>
              <w:pStyle w:val="2"/>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p>
            <w:pPr>
              <w:pStyle w:val="2"/>
              <w:rPr>
                <w:kern w:val="0"/>
                <w:sz w:val="24"/>
                <w:szCs w:val="24"/>
                <w:lang w:val="en-US"/>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38" w:name="_Toc294082157"/>
      <w:bookmarkStart w:id="39" w:name="_Toc303260178"/>
      <w:bookmarkStart w:id="40" w:name="_Toc199814215"/>
      <w:bookmarkStart w:id="41" w:name="_Toc367970829"/>
      <w:bookmarkStart w:id="42" w:name="_Toc367970390"/>
      <w:bookmarkStart w:id="43" w:name="_Toc367970635"/>
    </w:p>
    <w:p>
      <w:pPr>
        <w:pStyle w:val="4"/>
        <w:jc w:val="both"/>
        <w:rPr>
          <w:rFonts w:hAnsi="宋体"/>
          <w:bCs w:val="0"/>
          <w:spacing w:val="0"/>
          <w:kern w:val="0"/>
          <w:sz w:val="32"/>
          <w:szCs w:val="32"/>
        </w:rPr>
      </w:pPr>
      <w:bookmarkStart w:id="44" w:name="_Toc29484"/>
      <w:r>
        <w:rPr>
          <w:rFonts w:hint="eastAsia" w:hAnsi="宋体"/>
          <w:bCs w:val="0"/>
          <w:spacing w:val="0"/>
          <w:kern w:val="0"/>
          <w:sz w:val="32"/>
          <w:szCs w:val="32"/>
          <w:lang w:val="en-US"/>
        </w:rPr>
        <w:t>6</w:t>
      </w:r>
      <w:r>
        <w:rPr>
          <w:rFonts w:hAnsi="宋体"/>
          <w:bCs w:val="0"/>
          <w:spacing w:val="0"/>
          <w:kern w:val="0"/>
          <w:sz w:val="32"/>
          <w:szCs w:val="32"/>
        </w:rPr>
        <w:t>、</w:t>
      </w:r>
      <w:bookmarkEnd w:id="38"/>
      <w:bookmarkEnd w:id="39"/>
      <w:bookmarkEnd w:id="40"/>
      <w:bookmarkStart w:id="45" w:name="_Toc199814216"/>
      <w:bookmarkStart w:id="46" w:name="_Toc303260179"/>
      <w:bookmarkStart w:id="47" w:name="_Toc294082158"/>
      <w:bookmarkStart w:id="48" w:name="_Toc199814217"/>
      <w:r>
        <w:rPr>
          <w:rFonts w:hAnsi="宋体"/>
          <w:bCs w:val="0"/>
          <w:spacing w:val="0"/>
          <w:kern w:val="0"/>
          <w:sz w:val="32"/>
          <w:szCs w:val="32"/>
        </w:rPr>
        <w:t>项目主要污染物产生及预计排放情况</w:t>
      </w:r>
      <w:bookmarkEnd w:id="41"/>
      <w:bookmarkEnd w:id="42"/>
      <w:bookmarkEnd w:id="43"/>
      <w:bookmarkEnd w:id="44"/>
    </w:p>
    <w:tbl>
      <w:tblPr>
        <w:tblStyle w:val="75"/>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854"/>
        <w:gridCol w:w="660"/>
        <w:gridCol w:w="1035"/>
        <w:gridCol w:w="1035"/>
        <w:gridCol w:w="1185"/>
        <w:gridCol w:w="900"/>
        <w:gridCol w:w="990"/>
        <w:gridCol w:w="923"/>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rPr>
                <w:b/>
              </w:rPr>
            </w:pPr>
            <w:r>
              <w:rPr>
                <w:rFonts w:hAnsi="宋体"/>
                <w:b/>
              </w:rPr>
              <w:t>内容</w:t>
            </w:r>
          </w:p>
          <w:p>
            <w:pPr>
              <w:jc w:val="center"/>
              <w:rPr>
                <w:b/>
              </w:rPr>
            </w:pPr>
            <w:r>
              <w:rPr>
                <w:rFonts w:hAnsi="宋体"/>
                <w:b/>
              </w:rPr>
              <w:t>类型</w:t>
            </w:r>
          </w:p>
        </w:tc>
        <w:tc>
          <w:tcPr>
            <w:tcW w:w="1514" w:type="dxa"/>
            <w:gridSpan w:val="2"/>
            <w:vAlign w:val="center"/>
          </w:tcPr>
          <w:p>
            <w:pPr>
              <w:jc w:val="center"/>
              <w:rPr>
                <w:b/>
              </w:rPr>
            </w:pPr>
            <w:r>
              <w:rPr>
                <w:rFonts w:hAnsi="宋体"/>
                <w:b/>
              </w:rPr>
              <w:t>排放源</w:t>
            </w:r>
          </w:p>
        </w:tc>
        <w:tc>
          <w:tcPr>
            <w:tcW w:w="1035" w:type="dxa"/>
            <w:vAlign w:val="center"/>
          </w:tcPr>
          <w:p>
            <w:pPr>
              <w:jc w:val="center"/>
              <w:rPr>
                <w:b/>
              </w:rPr>
            </w:pPr>
            <w:r>
              <w:rPr>
                <w:rFonts w:hAnsi="宋体"/>
                <w:b/>
              </w:rPr>
              <w:t>污染物名称</w:t>
            </w:r>
          </w:p>
        </w:tc>
        <w:tc>
          <w:tcPr>
            <w:tcW w:w="1035" w:type="dxa"/>
            <w:vAlign w:val="center"/>
          </w:tcPr>
          <w:p>
            <w:pPr>
              <w:jc w:val="center"/>
              <w:rPr>
                <w:b/>
              </w:rPr>
            </w:pPr>
            <w:r>
              <w:rPr>
                <w:rFonts w:hAnsi="宋体"/>
                <w:b/>
              </w:rPr>
              <w:t>产生浓度</w:t>
            </w:r>
            <w:r>
              <w:rPr>
                <w:b/>
                <w:kern w:val="0"/>
                <w:szCs w:val="21"/>
              </w:rPr>
              <w:t>mg/m</w:t>
            </w:r>
            <w:r>
              <w:rPr>
                <w:b/>
                <w:kern w:val="0"/>
                <w:szCs w:val="21"/>
                <w:vertAlign w:val="superscript"/>
              </w:rPr>
              <w:t>3</w:t>
            </w:r>
          </w:p>
        </w:tc>
        <w:tc>
          <w:tcPr>
            <w:tcW w:w="1185" w:type="dxa"/>
            <w:vAlign w:val="center"/>
          </w:tcPr>
          <w:p>
            <w:pPr>
              <w:jc w:val="center"/>
              <w:rPr>
                <w:b/>
              </w:rPr>
            </w:pPr>
            <w:r>
              <w:rPr>
                <w:rFonts w:hAnsi="宋体"/>
                <w:b/>
              </w:rPr>
              <w:t>产生量</w:t>
            </w:r>
            <w:r>
              <w:rPr>
                <w:b/>
                <w:kern w:val="0"/>
                <w:szCs w:val="21"/>
              </w:rPr>
              <w:t>t/a</w:t>
            </w:r>
          </w:p>
        </w:tc>
        <w:tc>
          <w:tcPr>
            <w:tcW w:w="900" w:type="dxa"/>
            <w:vAlign w:val="center"/>
          </w:tcPr>
          <w:p>
            <w:pPr>
              <w:jc w:val="center"/>
              <w:rPr>
                <w:b/>
              </w:rPr>
            </w:pPr>
            <w:r>
              <w:rPr>
                <w:rFonts w:hAnsi="宋体"/>
                <w:b/>
              </w:rPr>
              <w:t>排放浓度</w:t>
            </w:r>
            <w:r>
              <w:rPr>
                <w:b/>
                <w:kern w:val="0"/>
                <w:szCs w:val="21"/>
              </w:rPr>
              <w:t>mg/m</w:t>
            </w:r>
            <w:r>
              <w:rPr>
                <w:b/>
                <w:kern w:val="0"/>
                <w:szCs w:val="21"/>
                <w:vertAlign w:val="superscript"/>
              </w:rPr>
              <w:t>3</w:t>
            </w:r>
          </w:p>
        </w:tc>
        <w:tc>
          <w:tcPr>
            <w:tcW w:w="990" w:type="dxa"/>
            <w:vAlign w:val="center"/>
          </w:tcPr>
          <w:p>
            <w:pPr>
              <w:jc w:val="center"/>
              <w:rPr>
                <w:b/>
                <w:lang w:val="en-US"/>
              </w:rPr>
            </w:pPr>
            <w:r>
              <w:rPr>
                <w:rFonts w:hAnsi="宋体"/>
                <w:b/>
              </w:rPr>
              <w:t>排放速率</w:t>
            </w:r>
            <w:r>
              <w:rPr>
                <w:b/>
              </w:rPr>
              <w:t>kg/h</w:t>
            </w:r>
          </w:p>
        </w:tc>
        <w:tc>
          <w:tcPr>
            <w:tcW w:w="923" w:type="dxa"/>
            <w:vAlign w:val="center"/>
          </w:tcPr>
          <w:p>
            <w:pPr>
              <w:jc w:val="center"/>
              <w:rPr>
                <w:b/>
              </w:rPr>
            </w:pPr>
            <w:r>
              <w:rPr>
                <w:rFonts w:hAnsi="宋体"/>
                <w:b/>
              </w:rPr>
              <w:t>排放量</w:t>
            </w:r>
            <w:r>
              <w:rPr>
                <w:b/>
                <w:kern w:val="0"/>
                <w:szCs w:val="21"/>
              </w:rPr>
              <w:t>t/a</w:t>
            </w:r>
          </w:p>
        </w:tc>
        <w:tc>
          <w:tcPr>
            <w:tcW w:w="978" w:type="dxa"/>
            <w:vAlign w:val="center"/>
          </w:tcPr>
          <w:p>
            <w:pPr>
              <w:jc w:val="center"/>
              <w:rPr>
                <w:b/>
              </w:rPr>
            </w:pPr>
            <w:r>
              <w:rPr>
                <w:rFonts w:hAnsi="宋体"/>
                <w:b/>
              </w:rPr>
              <w:t>排放</w:t>
            </w:r>
          </w:p>
          <w:p>
            <w:pPr>
              <w:jc w:val="center"/>
              <w:rPr>
                <w:b/>
              </w:rPr>
            </w:pPr>
            <w:r>
              <w:rPr>
                <w:rFonts w:hAnsi="宋体"/>
                <w:b/>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49" w:type="dxa"/>
            <w:vMerge w:val="restart"/>
            <w:vAlign w:val="center"/>
          </w:tcPr>
          <w:p>
            <w:pPr>
              <w:jc w:val="center"/>
            </w:pPr>
            <w:r>
              <w:rPr>
                <w:rFonts w:hint="eastAsia"/>
              </w:rPr>
              <w:t>大气污染物</w:t>
            </w:r>
          </w:p>
        </w:tc>
        <w:tc>
          <w:tcPr>
            <w:tcW w:w="854" w:type="dxa"/>
            <w:vAlign w:val="center"/>
          </w:tcPr>
          <w:p>
            <w:pPr>
              <w:jc w:val="center"/>
              <w:rPr>
                <w:kern w:val="0"/>
                <w:szCs w:val="21"/>
                <w:lang w:val="en-US"/>
              </w:rPr>
            </w:pPr>
            <w:r>
              <w:rPr>
                <w:rFonts w:hint="eastAsia"/>
                <w:kern w:val="0"/>
                <w:szCs w:val="21"/>
                <w:lang w:val="en-US"/>
              </w:rPr>
              <w:t>有组织排放</w:t>
            </w:r>
          </w:p>
        </w:tc>
        <w:tc>
          <w:tcPr>
            <w:tcW w:w="660" w:type="dxa"/>
            <w:vAlign w:val="center"/>
          </w:tcPr>
          <w:p>
            <w:pPr>
              <w:jc w:val="center"/>
              <w:rPr>
                <w:rFonts w:hAnsi="宋体"/>
                <w:b/>
                <w:lang w:val="en-US"/>
              </w:rPr>
            </w:pPr>
            <w:r>
              <w:rPr>
                <w:rFonts w:hint="eastAsia" w:hAnsi="宋体"/>
                <w:b/>
                <w:lang w:val="en-US"/>
              </w:rPr>
              <w:t>/</w:t>
            </w:r>
          </w:p>
        </w:tc>
        <w:tc>
          <w:tcPr>
            <w:tcW w:w="1035" w:type="dxa"/>
            <w:vAlign w:val="center"/>
          </w:tcPr>
          <w:p>
            <w:pPr>
              <w:jc w:val="center"/>
              <w:rPr>
                <w:rFonts w:hAnsi="宋体"/>
                <w:b/>
                <w:lang w:val="en-US"/>
              </w:rPr>
            </w:pPr>
            <w:r>
              <w:rPr>
                <w:rFonts w:hint="eastAsia" w:hAnsi="宋体"/>
                <w:b/>
                <w:lang w:val="en-US"/>
              </w:rPr>
              <w:t>/</w:t>
            </w:r>
          </w:p>
        </w:tc>
        <w:tc>
          <w:tcPr>
            <w:tcW w:w="1035" w:type="dxa"/>
            <w:vAlign w:val="center"/>
          </w:tcPr>
          <w:p>
            <w:pPr>
              <w:jc w:val="center"/>
              <w:rPr>
                <w:rFonts w:hAnsi="宋体"/>
                <w:b/>
                <w:lang w:val="en-US"/>
              </w:rPr>
            </w:pPr>
            <w:r>
              <w:rPr>
                <w:rFonts w:hint="eastAsia" w:hAnsi="宋体"/>
                <w:b/>
                <w:lang w:val="en-US"/>
              </w:rPr>
              <w:t>/</w:t>
            </w:r>
          </w:p>
        </w:tc>
        <w:tc>
          <w:tcPr>
            <w:tcW w:w="1185" w:type="dxa"/>
            <w:vAlign w:val="center"/>
          </w:tcPr>
          <w:p>
            <w:pPr>
              <w:jc w:val="center"/>
              <w:rPr>
                <w:rFonts w:hAnsi="宋体"/>
                <w:b/>
                <w:lang w:val="en-US"/>
              </w:rPr>
            </w:pPr>
            <w:r>
              <w:rPr>
                <w:rFonts w:hint="eastAsia" w:hAnsi="宋体"/>
                <w:b/>
                <w:lang w:val="en-US"/>
              </w:rPr>
              <w:t>/</w:t>
            </w:r>
          </w:p>
        </w:tc>
        <w:tc>
          <w:tcPr>
            <w:tcW w:w="900" w:type="dxa"/>
            <w:vAlign w:val="center"/>
          </w:tcPr>
          <w:p>
            <w:pPr>
              <w:jc w:val="center"/>
              <w:rPr>
                <w:rFonts w:hAnsi="宋体"/>
                <w:b/>
                <w:lang w:val="en-US"/>
              </w:rPr>
            </w:pPr>
            <w:r>
              <w:rPr>
                <w:rFonts w:hint="eastAsia" w:hAnsi="宋体"/>
                <w:b/>
                <w:lang w:val="en-US"/>
              </w:rPr>
              <w:t>/</w:t>
            </w:r>
          </w:p>
        </w:tc>
        <w:tc>
          <w:tcPr>
            <w:tcW w:w="990" w:type="dxa"/>
            <w:vAlign w:val="center"/>
          </w:tcPr>
          <w:p>
            <w:pPr>
              <w:jc w:val="center"/>
              <w:rPr>
                <w:rFonts w:hAnsi="宋体"/>
                <w:b/>
                <w:lang w:val="en-US"/>
              </w:rPr>
            </w:pPr>
            <w:r>
              <w:rPr>
                <w:rFonts w:hint="eastAsia" w:hAnsi="宋体"/>
                <w:b/>
                <w:lang w:val="en-US"/>
              </w:rPr>
              <w:t>/</w:t>
            </w:r>
          </w:p>
        </w:tc>
        <w:tc>
          <w:tcPr>
            <w:tcW w:w="923" w:type="dxa"/>
            <w:vAlign w:val="center"/>
          </w:tcPr>
          <w:p>
            <w:pPr>
              <w:jc w:val="center"/>
              <w:rPr>
                <w:rFonts w:hAnsi="宋体"/>
                <w:b/>
                <w:lang w:val="en-US"/>
              </w:rPr>
            </w:pPr>
            <w:r>
              <w:rPr>
                <w:rFonts w:hint="eastAsia" w:hAnsi="宋体"/>
                <w:b/>
                <w:lang w:val="en-US"/>
              </w:rPr>
              <w:t>/</w:t>
            </w:r>
          </w:p>
        </w:tc>
        <w:tc>
          <w:tcPr>
            <w:tcW w:w="978" w:type="dxa"/>
            <w:vAlign w:val="center"/>
          </w:tcPr>
          <w:p>
            <w:pPr>
              <w:jc w:val="center"/>
              <w:rPr>
                <w:rFonts w:hAnsi="宋体"/>
                <w:b/>
                <w:lang w:val="en-US"/>
              </w:rPr>
            </w:pPr>
            <w:r>
              <w:rPr>
                <w:rFonts w:hint="eastAsia" w:hAnsi="宋体"/>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449" w:type="dxa"/>
            <w:vMerge w:val="continue"/>
            <w:vAlign w:val="center"/>
          </w:tcPr>
          <w:p>
            <w:pPr>
              <w:jc w:val="center"/>
            </w:pPr>
          </w:p>
        </w:tc>
        <w:tc>
          <w:tcPr>
            <w:tcW w:w="854" w:type="dxa"/>
            <w:vMerge w:val="restart"/>
            <w:vAlign w:val="center"/>
          </w:tcPr>
          <w:p>
            <w:pPr>
              <w:jc w:val="center"/>
              <w:rPr>
                <w:kern w:val="0"/>
                <w:szCs w:val="21"/>
                <w:lang w:val="en-US"/>
              </w:rPr>
            </w:pPr>
            <w:r>
              <w:rPr>
                <w:rFonts w:hint="eastAsia"/>
                <w:kern w:val="0"/>
                <w:szCs w:val="21"/>
                <w:lang w:val="en-US"/>
              </w:rPr>
              <w:t>无组织排放</w:t>
            </w:r>
          </w:p>
        </w:tc>
        <w:tc>
          <w:tcPr>
            <w:tcW w:w="660" w:type="dxa"/>
            <w:vAlign w:val="center"/>
          </w:tcPr>
          <w:p>
            <w:pPr>
              <w:jc w:val="center"/>
              <w:rPr>
                <w:kern w:val="0"/>
                <w:szCs w:val="21"/>
                <w:lang w:val="en-US"/>
              </w:rPr>
            </w:pPr>
          </w:p>
        </w:tc>
        <w:tc>
          <w:tcPr>
            <w:tcW w:w="1035" w:type="dxa"/>
            <w:vAlign w:val="center"/>
          </w:tcPr>
          <w:p>
            <w:pPr>
              <w:pStyle w:val="59"/>
              <w:adjustRightInd w:val="0"/>
              <w:snapToGrid w:val="0"/>
              <w:spacing w:after="0" w:line="240" w:lineRule="auto"/>
              <w:ind w:left="0"/>
              <w:jc w:val="center"/>
              <w:rPr>
                <w:kern w:val="0"/>
                <w:szCs w:val="21"/>
                <w:lang w:val="en-US"/>
              </w:rPr>
            </w:pPr>
          </w:p>
        </w:tc>
        <w:tc>
          <w:tcPr>
            <w:tcW w:w="2220" w:type="dxa"/>
            <w:gridSpan w:val="2"/>
            <w:vAlign w:val="center"/>
          </w:tcPr>
          <w:p>
            <w:pPr>
              <w:spacing w:line="360" w:lineRule="auto"/>
              <w:jc w:val="center"/>
              <w:rPr>
                <w:kern w:val="0"/>
                <w:szCs w:val="21"/>
                <w:lang w:val="en-US"/>
              </w:rPr>
            </w:pPr>
            <w:r>
              <w:rPr>
                <w:rFonts w:hint="eastAsia"/>
                <w:kern w:val="0"/>
                <w:szCs w:val="21"/>
                <w:lang w:val="en-US"/>
              </w:rPr>
              <w:t>产生量t/a</w:t>
            </w:r>
          </w:p>
        </w:tc>
        <w:tc>
          <w:tcPr>
            <w:tcW w:w="3791" w:type="dxa"/>
            <w:gridSpan w:val="4"/>
            <w:vAlign w:val="center"/>
          </w:tcPr>
          <w:p>
            <w:pPr>
              <w:jc w:val="center"/>
              <w:rPr>
                <w:kern w:val="0"/>
                <w:szCs w:val="21"/>
                <w:lang w:val="en-US"/>
              </w:rPr>
            </w:pPr>
            <w:r>
              <w:rPr>
                <w:rFonts w:hint="eastAsia"/>
                <w:kern w:val="0"/>
                <w:szCs w:val="21"/>
                <w:lang w:val="en-US"/>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9" w:type="dxa"/>
            <w:vMerge w:val="continue"/>
            <w:vAlign w:val="center"/>
          </w:tcPr>
          <w:p>
            <w:pPr>
              <w:jc w:val="center"/>
            </w:pPr>
          </w:p>
        </w:tc>
        <w:tc>
          <w:tcPr>
            <w:tcW w:w="854" w:type="dxa"/>
            <w:vMerge w:val="continue"/>
            <w:vAlign w:val="center"/>
          </w:tcPr>
          <w:p>
            <w:pPr>
              <w:jc w:val="center"/>
              <w:rPr>
                <w:kern w:val="0"/>
                <w:szCs w:val="21"/>
                <w:lang w:val="en-US"/>
              </w:rPr>
            </w:pPr>
          </w:p>
        </w:tc>
        <w:tc>
          <w:tcPr>
            <w:tcW w:w="660" w:type="dxa"/>
            <w:vAlign w:val="center"/>
          </w:tcPr>
          <w:p>
            <w:pPr>
              <w:jc w:val="center"/>
              <w:rPr>
                <w:kern w:val="0"/>
                <w:szCs w:val="21"/>
                <w:lang w:val="en-US"/>
              </w:rPr>
            </w:pPr>
            <w:r>
              <w:rPr>
                <w:rFonts w:hint="eastAsia"/>
                <w:kern w:val="0"/>
                <w:szCs w:val="21"/>
                <w:lang w:val="en-US"/>
              </w:rPr>
              <w:t>打孔</w:t>
            </w:r>
          </w:p>
        </w:tc>
        <w:tc>
          <w:tcPr>
            <w:tcW w:w="1035" w:type="dxa"/>
            <w:vAlign w:val="center"/>
          </w:tcPr>
          <w:p>
            <w:pPr>
              <w:pStyle w:val="59"/>
              <w:adjustRightInd w:val="0"/>
              <w:snapToGrid w:val="0"/>
              <w:spacing w:after="0" w:line="240" w:lineRule="auto"/>
              <w:ind w:left="0"/>
              <w:jc w:val="center"/>
              <w:rPr>
                <w:rFonts w:ascii="宋体" w:hAnsi="宋体"/>
                <w:sz w:val="21"/>
                <w:szCs w:val="21"/>
              </w:rPr>
            </w:pPr>
            <w:r>
              <w:rPr>
                <w:rFonts w:hint="eastAsia" w:ascii="宋体" w:hAnsi="宋体"/>
                <w:sz w:val="21"/>
                <w:szCs w:val="21"/>
              </w:rPr>
              <w:t>粉尘</w:t>
            </w:r>
          </w:p>
        </w:tc>
        <w:tc>
          <w:tcPr>
            <w:tcW w:w="2220" w:type="dxa"/>
            <w:gridSpan w:val="2"/>
            <w:vAlign w:val="center"/>
          </w:tcPr>
          <w:p>
            <w:pPr>
              <w:adjustRightInd w:val="0"/>
              <w:snapToGrid w:val="0"/>
              <w:jc w:val="center"/>
              <w:rPr>
                <w:rFonts w:hint="eastAsia" w:eastAsia="宋体"/>
                <w:szCs w:val="21"/>
                <w:lang w:val="en-US" w:eastAsia="zh-CN"/>
              </w:rPr>
            </w:pPr>
            <w:r>
              <w:rPr>
                <w:rFonts w:hint="eastAsia" w:hAnsi="宋体"/>
                <w:szCs w:val="22"/>
                <w:lang w:val="en-US"/>
              </w:rPr>
              <w:t>0.005</w:t>
            </w:r>
          </w:p>
        </w:tc>
        <w:tc>
          <w:tcPr>
            <w:tcW w:w="3791" w:type="dxa"/>
            <w:gridSpan w:val="4"/>
            <w:vAlign w:val="center"/>
          </w:tcPr>
          <w:p>
            <w:pPr>
              <w:jc w:val="center"/>
              <w:rPr>
                <w:rFonts w:hint="default" w:hAnsi="宋体" w:eastAsia="宋体"/>
                <w:lang w:val="en-US" w:eastAsia="zh-CN"/>
              </w:rPr>
            </w:pPr>
            <w:r>
              <w:rPr>
                <w:rFonts w:hint="eastAsia" w:hAnsi="宋体"/>
                <w:lang w:val="en-US" w:eastAsia="zh-CN"/>
              </w:rPr>
              <w:t>0.000725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restart"/>
            <w:vAlign w:val="center"/>
          </w:tcPr>
          <w:p>
            <w:pPr>
              <w:jc w:val="center"/>
            </w:pPr>
            <w:r>
              <w:rPr>
                <w:rFonts w:hAnsi="宋体"/>
              </w:rPr>
              <w:t>水</w:t>
            </w:r>
          </w:p>
          <w:p>
            <w:pPr>
              <w:jc w:val="center"/>
            </w:pPr>
            <w:r>
              <w:rPr>
                <w:rFonts w:hAnsi="宋体"/>
              </w:rPr>
              <w:t>污</w:t>
            </w:r>
          </w:p>
          <w:p>
            <w:pPr>
              <w:jc w:val="center"/>
            </w:pPr>
            <w:r>
              <w:rPr>
                <w:rFonts w:hAnsi="宋体"/>
              </w:rPr>
              <w:t>染</w:t>
            </w:r>
          </w:p>
          <w:p>
            <w:pPr>
              <w:jc w:val="center"/>
            </w:pPr>
            <w:r>
              <w:rPr>
                <w:rFonts w:hAnsi="宋体"/>
              </w:rPr>
              <w:t>物</w:t>
            </w:r>
          </w:p>
        </w:tc>
        <w:tc>
          <w:tcPr>
            <w:tcW w:w="1514" w:type="dxa"/>
            <w:gridSpan w:val="2"/>
            <w:vAlign w:val="center"/>
          </w:tcPr>
          <w:p>
            <w:pPr>
              <w:jc w:val="center"/>
              <w:rPr>
                <w:b/>
              </w:rPr>
            </w:pPr>
            <w:r>
              <w:rPr>
                <w:rFonts w:hAnsi="宋体"/>
                <w:b/>
              </w:rPr>
              <w:t>排放源</w:t>
            </w:r>
          </w:p>
        </w:tc>
        <w:tc>
          <w:tcPr>
            <w:tcW w:w="1035" w:type="dxa"/>
            <w:vAlign w:val="center"/>
          </w:tcPr>
          <w:p>
            <w:pPr>
              <w:jc w:val="center"/>
              <w:rPr>
                <w:b/>
              </w:rPr>
            </w:pPr>
            <w:r>
              <w:rPr>
                <w:rFonts w:hAnsi="宋体"/>
                <w:b/>
              </w:rPr>
              <w:t>污染物名称</w:t>
            </w:r>
          </w:p>
        </w:tc>
        <w:tc>
          <w:tcPr>
            <w:tcW w:w="1035" w:type="dxa"/>
            <w:vAlign w:val="center"/>
          </w:tcPr>
          <w:p>
            <w:pPr>
              <w:jc w:val="center"/>
              <w:rPr>
                <w:b/>
              </w:rPr>
            </w:pPr>
            <w:r>
              <w:rPr>
                <w:rFonts w:hAnsi="宋体"/>
                <w:b/>
              </w:rPr>
              <w:t>废水量</w:t>
            </w:r>
            <w:r>
              <w:rPr>
                <w:b/>
              </w:rPr>
              <w:t>t/a</w:t>
            </w:r>
          </w:p>
        </w:tc>
        <w:tc>
          <w:tcPr>
            <w:tcW w:w="1185" w:type="dxa"/>
            <w:vAlign w:val="center"/>
          </w:tcPr>
          <w:p>
            <w:pPr>
              <w:jc w:val="center"/>
              <w:rPr>
                <w:rFonts w:hAnsi="宋体"/>
                <w:b/>
              </w:rPr>
            </w:pPr>
            <w:r>
              <w:rPr>
                <w:rFonts w:hAnsi="宋体"/>
                <w:b/>
              </w:rPr>
              <w:t>产生</w:t>
            </w:r>
          </w:p>
          <w:p>
            <w:pPr>
              <w:jc w:val="center"/>
              <w:rPr>
                <w:b/>
              </w:rPr>
            </w:pPr>
            <w:r>
              <w:rPr>
                <w:rFonts w:hAnsi="宋体"/>
                <w:b/>
              </w:rPr>
              <w:t>浓度</w:t>
            </w:r>
            <w:r>
              <w:rPr>
                <w:b/>
                <w:kern w:val="0"/>
                <w:szCs w:val="21"/>
              </w:rPr>
              <w:t>mg/L</w:t>
            </w:r>
          </w:p>
        </w:tc>
        <w:tc>
          <w:tcPr>
            <w:tcW w:w="900" w:type="dxa"/>
            <w:vAlign w:val="center"/>
          </w:tcPr>
          <w:p>
            <w:pPr>
              <w:jc w:val="center"/>
              <w:rPr>
                <w:b/>
              </w:rPr>
            </w:pPr>
            <w:r>
              <w:rPr>
                <w:rFonts w:hAnsi="宋体"/>
                <w:b/>
              </w:rPr>
              <w:t>产生量</w:t>
            </w:r>
            <w:r>
              <w:rPr>
                <w:b/>
                <w:kern w:val="0"/>
                <w:szCs w:val="21"/>
              </w:rPr>
              <w:t>t/a</w:t>
            </w:r>
          </w:p>
        </w:tc>
        <w:tc>
          <w:tcPr>
            <w:tcW w:w="990" w:type="dxa"/>
            <w:vAlign w:val="center"/>
          </w:tcPr>
          <w:p>
            <w:pPr>
              <w:jc w:val="center"/>
              <w:rPr>
                <w:b/>
              </w:rPr>
            </w:pPr>
            <w:r>
              <w:rPr>
                <w:rFonts w:hAnsi="宋体"/>
                <w:b/>
              </w:rPr>
              <w:t>排放浓度</w:t>
            </w:r>
            <w:r>
              <w:rPr>
                <w:b/>
                <w:kern w:val="0"/>
                <w:szCs w:val="21"/>
              </w:rPr>
              <w:t>mg/L</w:t>
            </w:r>
          </w:p>
        </w:tc>
        <w:tc>
          <w:tcPr>
            <w:tcW w:w="923" w:type="dxa"/>
            <w:vAlign w:val="center"/>
          </w:tcPr>
          <w:p>
            <w:pPr>
              <w:jc w:val="center"/>
              <w:rPr>
                <w:b/>
              </w:rPr>
            </w:pPr>
            <w:r>
              <w:rPr>
                <w:rFonts w:hAnsi="宋体"/>
                <w:b/>
              </w:rPr>
              <w:t>排放量</w:t>
            </w:r>
            <w:r>
              <w:rPr>
                <w:b/>
                <w:kern w:val="0"/>
                <w:szCs w:val="21"/>
              </w:rPr>
              <w:t>t/a</w:t>
            </w:r>
          </w:p>
        </w:tc>
        <w:tc>
          <w:tcPr>
            <w:tcW w:w="978" w:type="dxa"/>
            <w:vAlign w:val="center"/>
          </w:tcPr>
          <w:p>
            <w:pPr>
              <w:jc w:val="center"/>
              <w:rPr>
                <w:b/>
              </w:rPr>
            </w:pPr>
            <w:r>
              <w:rPr>
                <w:rFonts w:hAnsi="宋体"/>
                <w:b/>
              </w:rPr>
              <w:t>排放</w:t>
            </w:r>
          </w:p>
          <w:p>
            <w:pPr>
              <w:jc w:val="center"/>
              <w:rPr>
                <w:b/>
              </w:rPr>
            </w:pPr>
            <w:r>
              <w:rPr>
                <w:rFonts w:hAnsi="宋体"/>
                <w:b/>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49" w:type="dxa"/>
            <w:vMerge w:val="continue"/>
            <w:vAlign w:val="center"/>
          </w:tcPr>
          <w:p>
            <w:pPr>
              <w:jc w:val="center"/>
            </w:pPr>
          </w:p>
        </w:tc>
        <w:tc>
          <w:tcPr>
            <w:tcW w:w="1514" w:type="dxa"/>
            <w:gridSpan w:val="2"/>
            <w:vMerge w:val="restart"/>
            <w:vAlign w:val="center"/>
          </w:tcPr>
          <w:p>
            <w:pPr>
              <w:jc w:val="center"/>
            </w:pPr>
            <w:r>
              <w:rPr>
                <w:rFonts w:hAnsi="宋体"/>
              </w:rPr>
              <w:t>生活</w:t>
            </w:r>
          </w:p>
          <w:p>
            <w:pPr>
              <w:jc w:val="center"/>
            </w:pPr>
            <w:r>
              <w:rPr>
                <w:rFonts w:hint="eastAsia" w:hAnsi="宋体"/>
              </w:rPr>
              <w:t>污水</w:t>
            </w:r>
          </w:p>
        </w:tc>
        <w:tc>
          <w:tcPr>
            <w:tcW w:w="1035" w:type="dxa"/>
            <w:vAlign w:val="center"/>
          </w:tcPr>
          <w:p>
            <w:pPr>
              <w:jc w:val="center"/>
              <w:rPr>
                <w:kern w:val="0"/>
                <w:szCs w:val="21"/>
              </w:rPr>
            </w:pPr>
            <w:r>
              <w:rPr>
                <w:kern w:val="0"/>
                <w:szCs w:val="21"/>
              </w:rPr>
              <w:t>COD</w:t>
            </w:r>
          </w:p>
        </w:tc>
        <w:tc>
          <w:tcPr>
            <w:tcW w:w="1035" w:type="dxa"/>
            <w:vMerge w:val="restart"/>
            <w:vAlign w:val="center"/>
          </w:tcPr>
          <w:p>
            <w:pPr>
              <w:jc w:val="center"/>
              <w:rPr>
                <w:lang w:val="en-US"/>
              </w:rPr>
            </w:pPr>
            <w:r>
              <w:rPr>
                <w:rFonts w:hint="eastAsia"/>
                <w:lang w:val="en-US"/>
              </w:rPr>
              <w:t>72</w:t>
            </w:r>
          </w:p>
        </w:tc>
        <w:tc>
          <w:tcPr>
            <w:tcW w:w="1185" w:type="dxa"/>
            <w:vAlign w:val="center"/>
          </w:tcPr>
          <w:p>
            <w:pPr>
              <w:jc w:val="center"/>
            </w:pPr>
            <w:r>
              <w:rPr>
                <w:rFonts w:hint="eastAsia"/>
              </w:rPr>
              <w:t>350</w:t>
            </w:r>
          </w:p>
        </w:tc>
        <w:tc>
          <w:tcPr>
            <w:tcW w:w="900" w:type="dxa"/>
            <w:vAlign w:val="center"/>
          </w:tcPr>
          <w:p>
            <w:pPr>
              <w:spacing w:line="300" w:lineRule="exact"/>
              <w:jc w:val="center"/>
              <w:rPr>
                <w:color w:val="000000"/>
                <w:lang w:val="en-US"/>
              </w:rPr>
            </w:pPr>
            <w:r>
              <w:rPr>
                <w:rFonts w:hint="eastAsia"/>
                <w:color w:val="000000"/>
                <w:lang w:val="en-US"/>
              </w:rPr>
              <w:t>0.025</w:t>
            </w:r>
          </w:p>
        </w:tc>
        <w:tc>
          <w:tcPr>
            <w:tcW w:w="990" w:type="dxa"/>
            <w:vAlign w:val="center"/>
          </w:tcPr>
          <w:p>
            <w:pPr>
              <w:jc w:val="center"/>
            </w:pPr>
            <w:r>
              <w:rPr>
                <w:rFonts w:hint="eastAsia"/>
              </w:rPr>
              <w:t>50</w:t>
            </w:r>
          </w:p>
        </w:tc>
        <w:tc>
          <w:tcPr>
            <w:tcW w:w="923" w:type="dxa"/>
            <w:vAlign w:val="center"/>
          </w:tcPr>
          <w:p>
            <w:pPr>
              <w:jc w:val="center"/>
              <w:rPr>
                <w:szCs w:val="21"/>
                <w:lang w:val="en-US"/>
              </w:rPr>
            </w:pPr>
            <w:r>
              <w:rPr>
                <w:rFonts w:hint="eastAsia"/>
                <w:szCs w:val="21"/>
                <w:lang w:val="en-US"/>
              </w:rPr>
              <w:t>0.0036</w:t>
            </w:r>
          </w:p>
        </w:tc>
        <w:tc>
          <w:tcPr>
            <w:tcW w:w="978" w:type="dxa"/>
            <w:vMerge w:val="restart"/>
            <w:vAlign w:val="center"/>
          </w:tcPr>
          <w:p>
            <w:pPr>
              <w:jc w:val="center"/>
            </w:pPr>
            <w:r>
              <w:rPr>
                <w:rFonts w:hint="eastAsia" w:hAnsi="宋体"/>
                <w:lang w:val="en-US"/>
              </w:rPr>
              <w:t>经化粪池预处理后</w:t>
            </w:r>
            <w:r>
              <w:rPr>
                <w:rFonts w:hint="eastAsia" w:hAnsi="宋体"/>
              </w:rPr>
              <w:t>接入</w:t>
            </w:r>
            <w:r>
              <w:rPr>
                <w:kern w:val="0"/>
                <w:szCs w:val="21"/>
              </w:rPr>
              <w:t>宜兴市华骐污水处理厂</w:t>
            </w:r>
            <w:r>
              <w:rPr>
                <w:rFonts w:hAnsi="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49" w:type="dxa"/>
            <w:vMerge w:val="continue"/>
            <w:vAlign w:val="center"/>
          </w:tcPr>
          <w:p>
            <w:pPr>
              <w:jc w:val="center"/>
            </w:pPr>
          </w:p>
        </w:tc>
        <w:tc>
          <w:tcPr>
            <w:tcW w:w="1514" w:type="dxa"/>
            <w:gridSpan w:val="2"/>
            <w:vMerge w:val="continue"/>
            <w:vAlign w:val="center"/>
          </w:tcPr>
          <w:p>
            <w:pPr>
              <w:jc w:val="center"/>
            </w:pPr>
          </w:p>
        </w:tc>
        <w:tc>
          <w:tcPr>
            <w:tcW w:w="1035" w:type="dxa"/>
            <w:vAlign w:val="center"/>
          </w:tcPr>
          <w:p>
            <w:pPr>
              <w:jc w:val="center"/>
              <w:rPr>
                <w:kern w:val="0"/>
                <w:szCs w:val="21"/>
              </w:rPr>
            </w:pPr>
            <w:r>
              <w:rPr>
                <w:kern w:val="0"/>
                <w:szCs w:val="21"/>
              </w:rPr>
              <w:t>SS</w:t>
            </w:r>
          </w:p>
        </w:tc>
        <w:tc>
          <w:tcPr>
            <w:tcW w:w="1035" w:type="dxa"/>
            <w:vMerge w:val="continue"/>
            <w:vAlign w:val="center"/>
          </w:tcPr>
          <w:p>
            <w:pPr>
              <w:jc w:val="center"/>
            </w:pPr>
          </w:p>
        </w:tc>
        <w:tc>
          <w:tcPr>
            <w:tcW w:w="1185" w:type="dxa"/>
            <w:vAlign w:val="center"/>
          </w:tcPr>
          <w:p>
            <w:pPr>
              <w:jc w:val="center"/>
            </w:pPr>
            <w:r>
              <w:rPr>
                <w:rFonts w:hint="eastAsia"/>
              </w:rPr>
              <w:t>200</w:t>
            </w:r>
          </w:p>
        </w:tc>
        <w:tc>
          <w:tcPr>
            <w:tcW w:w="900" w:type="dxa"/>
            <w:vAlign w:val="center"/>
          </w:tcPr>
          <w:p>
            <w:pPr>
              <w:spacing w:line="300" w:lineRule="exact"/>
              <w:jc w:val="center"/>
              <w:rPr>
                <w:color w:val="000000"/>
                <w:lang w:val="en-US"/>
              </w:rPr>
            </w:pPr>
            <w:r>
              <w:rPr>
                <w:rFonts w:hint="eastAsia"/>
                <w:color w:val="000000"/>
                <w:lang w:val="en-US"/>
              </w:rPr>
              <w:t>0.014</w:t>
            </w:r>
          </w:p>
        </w:tc>
        <w:tc>
          <w:tcPr>
            <w:tcW w:w="990" w:type="dxa"/>
            <w:vAlign w:val="center"/>
          </w:tcPr>
          <w:p>
            <w:pPr>
              <w:jc w:val="center"/>
            </w:pPr>
            <w:r>
              <w:rPr>
                <w:rFonts w:hint="eastAsia"/>
              </w:rPr>
              <w:t>10</w:t>
            </w:r>
          </w:p>
        </w:tc>
        <w:tc>
          <w:tcPr>
            <w:tcW w:w="923" w:type="dxa"/>
            <w:vAlign w:val="center"/>
          </w:tcPr>
          <w:p>
            <w:pPr>
              <w:jc w:val="center"/>
              <w:rPr>
                <w:szCs w:val="21"/>
                <w:lang w:val="en-US"/>
              </w:rPr>
            </w:pPr>
            <w:r>
              <w:rPr>
                <w:rFonts w:hint="eastAsia"/>
                <w:szCs w:val="21"/>
                <w:lang w:val="en-US"/>
              </w:rPr>
              <w:t>0.00072</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449" w:type="dxa"/>
            <w:vMerge w:val="continue"/>
            <w:vAlign w:val="center"/>
          </w:tcPr>
          <w:p>
            <w:pPr>
              <w:jc w:val="center"/>
            </w:pPr>
          </w:p>
        </w:tc>
        <w:tc>
          <w:tcPr>
            <w:tcW w:w="1514" w:type="dxa"/>
            <w:gridSpan w:val="2"/>
            <w:vMerge w:val="continue"/>
            <w:vAlign w:val="center"/>
          </w:tcPr>
          <w:p>
            <w:pPr>
              <w:jc w:val="center"/>
            </w:pPr>
          </w:p>
        </w:tc>
        <w:tc>
          <w:tcPr>
            <w:tcW w:w="1035" w:type="dxa"/>
            <w:vAlign w:val="center"/>
          </w:tcPr>
          <w:p>
            <w:pPr>
              <w:jc w:val="center"/>
              <w:rPr>
                <w:kern w:val="0"/>
                <w:szCs w:val="21"/>
              </w:rPr>
            </w:pPr>
            <w:r>
              <w:rPr>
                <w:kern w:val="0"/>
                <w:szCs w:val="21"/>
              </w:rPr>
              <w:t>NH</w:t>
            </w:r>
            <w:r>
              <w:rPr>
                <w:kern w:val="0"/>
                <w:szCs w:val="21"/>
                <w:vertAlign w:val="subscript"/>
              </w:rPr>
              <w:t>3</w:t>
            </w:r>
            <w:r>
              <w:rPr>
                <w:kern w:val="0"/>
                <w:szCs w:val="21"/>
              </w:rPr>
              <w:t>-N</w:t>
            </w:r>
          </w:p>
        </w:tc>
        <w:tc>
          <w:tcPr>
            <w:tcW w:w="1035" w:type="dxa"/>
            <w:vMerge w:val="continue"/>
            <w:vAlign w:val="center"/>
          </w:tcPr>
          <w:p>
            <w:pPr>
              <w:jc w:val="center"/>
            </w:pPr>
          </w:p>
        </w:tc>
        <w:tc>
          <w:tcPr>
            <w:tcW w:w="1185" w:type="dxa"/>
            <w:vAlign w:val="center"/>
          </w:tcPr>
          <w:p>
            <w:pPr>
              <w:jc w:val="center"/>
            </w:pPr>
            <w:r>
              <w:rPr>
                <w:rFonts w:hint="eastAsia"/>
              </w:rPr>
              <w:t>35</w:t>
            </w:r>
          </w:p>
        </w:tc>
        <w:tc>
          <w:tcPr>
            <w:tcW w:w="900" w:type="dxa"/>
            <w:vAlign w:val="center"/>
          </w:tcPr>
          <w:p>
            <w:pPr>
              <w:spacing w:line="300" w:lineRule="exact"/>
              <w:jc w:val="center"/>
              <w:rPr>
                <w:color w:val="000000"/>
                <w:lang w:val="en-US"/>
              </w:rPr>
            </w:pPr>
            <w:r>
              <w:rPr>
                <w:rFonts w:hint="eastAsia"/>
                <w:color w:val="000000"/>
                <w:lang w:val="en-US"/>
              </w:rPr>
              <w:t>0.0025</w:t>
            </w:r>
          </w:p>
        </w:tc>
        <w:tc>
          <w:tcPr>
            <w:tcW w:w="990" w:type="dxa"/>
            <w:vAlign w:val="center"/>
          </w:tcPr>
          <w:p>
            <w:pPr>
              <w:jc w:val="center"/>
            </w:pPr>
            <w:r>
              <w:rPr>
                <w:rFonts w:hint="eastAsia"/>
              </w:rPr>
              <w:t>5</w:t>
            </w:r>
          </w:p>
        </w:tc>
        <w:tc>
          <w:tcPr>
            <w:tcW w:w="923" w:type="dxa"/>
            <w:vAlign w:val="center"/>
          </w:tcPr>
          <w:p>
            <w:pPr>
              <w:jc w:val="center"/>
              <w:rPr>
                <w:szCs w:val="21"/>
                <w:lang w:val="en-US"/>
              </w:rPr>
            </w:pPr>
            <w:r>
              <w:rPr>
                <w:rFonts w:hint="eastAsia"/>
                <w:szCs w:val="21"/>
                <w:lang w:val="en-US"/>
              </w:rPr>
              <w:t>0.00036</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449" w:type="dxa"/>
            <w:vMerge w:val="continue"/>
            <w:vAlign w:val="center"/>
          </w:tcPr>
          <w:p>
            <w:pPr>
              <w:jc w:val="center"/>
            </w:pPr>
          </w:p>
        </w:tc>
        <w:tc>
          <w:tcPr>
            <w:tcW w:w="1514" w:type="dxa"/>
            <w:gridSpan w:val="2"/>
            <w:vMerge w:val="continue"/>
            <w:vAlign w:val="center"/>
          </w:tcPr>
          <w:p>
            <w:pPr>
              <w:jc w:val="center"/>
            </w:pPr>
          </w:p>
        </w:tc>
        <w:tc>
          <w:tcPr>
            <w:tcW w:w="1035" w:type="dxa"/>
            <w:vAlign w:val="center"/>
          </w:tcPr>
          <w:p>
            <w:pPr>
              <w:jc w:val="center"/>
              <w:rPr>
                <w:kern w:val="0"/>
                <w:szCs w:val="21"/>
              </w:rPr>
            </w:pPr>
            <w:r>
              <w:rPr>
                <w:rFonts w:hint="eastAsia"/>
                <w:kern w:val="0"/>
                <w:szCs w:val="21"/>
              </w:rPr>
              <w:t>TP</w:t>
            </w:r>
          </w:p>
        </w:tc>
        <w:tc>
          <w:tcPr>
            <w:tcW w:w="1035" w:type="dxa"/>
            <w:vMerge w:val="continue"/>
            <w:vAlign w:val="center"/>
          </w:tcPr>
          <w:p>
            <w:pPr>
              <w:jc w:val="center"/>
            </w:pPr>
          </w:p>
        </w:tc>
        <w:tc>
          <w:tcPr>
            <w:tcW w:w="1185" w:type="dxa"/>
            <w:vAlign w:val="center"/>
          </w:tcPr>
          <w:p>
            <w:pPr>
              <w:jc w:val="center"/>
            </w:pPr>
            <w:r>
              <w:rPr>
                <w:rFonts w:hint="eastAsia"/>
              </w:rPr>
              <w:t>5</w:t>
            </w:r>
          </w:p>
        </w:tc>
        <w:tc>
          <w:tcPr>
            <w:tcW w:w="900" w:type="dxa"/>
            <w:vAlign w:val="center"/>
          </w:tcPr>
          <w:p>
            <w:pPr>
              <w:spacing w:line="300" w:lineRule="exact"/>
              <w:jc w:val="center"/>
              <w:rPr>
                <w:color w:val="000000"/>
                <w:lang w:val="en-US"/>
              </w:rPr>
            </w:pPr>
            <w:r>
              <w:rPr>
                <w:rFonts w:hint="eastAsia"/>
                <w:color w:val="000000"/>
                <w:lang w:val="en-US"/>
              </w:rPr>
              <w:t>0.00036</w:t>
            </w:r>
          </w:p>
        </w:tc>
        <w:tc>
          <w:tcPr>
            <w:tcW w:w="990" w:type="dxa"/>
            <w:vAlign w:val="center"/>
          </w:tcPr>
          <w:p>
            <w:pPr>
              <w:jc w:val="center"/>
            </w:pPr>
            <w:r>
              <w:rPr>
                <w:rFonts w:hint="eastAsia"/>
              </w:rPr>
              <w:t>0.5</w:t>
            </w:r>
          </w:p>
        </w:tc>
        <w:tc>
          <w:tcPr>
            <w:tcW w:w="923" w:type="dxa"/>
            <w:vAlign w:val="center"/>
          </w:tcPr>
          <w:p>
            <w:pPr>
              <w:jc w:val="center"/>
              <w:rPr>
                <w:szCs w:val="21"/>
                <w:lang w:val="en-US"/>
              </w:rPr>
            </w:pPr>
            <w:r>
              <w:rPr>
                <w:rFonts w:hint="eastAsia"/>
                <w:szCs w:val="21"/>
                <w:lang w:val="en-US"/>
              </w:rPr>
              <w:t>0.000036</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49" w:type="dxa"/>
            <w:vMerge w:val="continue"/>
            <w:vAlign w:val="center"/>
          </w:tcPr>
          <w:p>
            <w:pPr>
              <w:jc w:val="center"/>
            </w:pPr>
          </w:p>
        </w:tc>
        <w:tc>
          <w:tcPr>
            <w:tcW w:w="1514" w:type="dxa"/>
            <w:gridSpan w:val="2"/>
            <w:vMerge w:val="continue"/>
            <w:vAlign w:val="center"/>
          </w:tcPr>
          <w:p>
            <w:pPr>
              <w:jc w:val="center"/>
            </w:pPr>
          </w:p>
        </w:tc>
        <w:tc>
          <w:tcPr>
            <w:tcW w:w="1035" w:type="dxa"/>
            <w:vAlign w:val="center"/>
          </w:tcPr>
          <w:p>
            <w:pPr>
              <w:jc w:val="center"/>
              <w:rPr>
                <w:kern w:val="0"/>
                <w:szCs w:val="21"/>
              </w:rPr>
            </w:pPr>
            <w:r>
              <w:rPr>
                <w:rFonts w:hint="eastAsia"/>
                <w:kern w:val="0"/>
                <w:szCs w:val="21"/>
              </w:rPr>
              <w:t>TN</w:t>
            </w:r>
          </w:p>
        </w:tc>
        <w:tc>
          <w:tcPr>
            <w:tcW w:w="1035" w:type="dxa"/>
            <w:vMerge w:val="continue"/>
            <w:vAlign w:val="center"/>
          </w:tcPr>
          <w:p>
            <w:pPr>
              <w:jc w:val="center"/>
            </w:pPr>
          </w:p>
        </w:tc>
        <w:tc>
          <w:tcPr>
            <w:tcW w:w="1185" w:type="dxa"/>
            <w:vAlign w:val="center"/>
          </w:tcPr>
          <w:p>
            <w:pPr>
              <w:jc w:val="center"/>
            </w:pPr>
            <w:r>
              <w:rPr>
                <w:rFonts w:hint="eastAsia"/>
              </w:rPr>
              <w:t>45</w:t>
            </w:r>
          </w:p>
        </w:tc>
        <w:tc>
          <w:tcPr>
            <w:tcW w:w="900" w:type="dxa"/>
            <w:vAlign w:val="center"/>
          </w:tcPr>
          <w:p>
            <w:pPr>
              <w:spacing w:line="300" w:lineRule="exact"/>
              <w:jc w:val="center"/>
              <w:rPr>
                <w:color w:val="000000"/>
                <w:lang w:val="en-US"/>
              </w:rPr>
            </w:pPr>
            <w:r>
              <w:rPr>
                <w:rFonts w:hint="eastAsia"/>
                <w:color w:val="000000"/>
                <w:lang w:val="en-US"/>
              </w:rPr>
              <w:t>0.0032</w:t>
            </w:r>
          </w:p>
        </w:tc>
        <w:tc>
          <w:tcPr>
            <w:tcW w:w="990" w:type="dxa"/>
            <w:vAlign w:val="center"/>
          </w:tcPr>
          <w:p>
            <w:pPr>
              <w:jc w:val="center"/>
            </w:pPr>
            <w:r>
              <w:rPr>
                <w:rFonts w:hint="eastAsia"/>
              </w:rPr>
              <w:t>15</w:t>
            </w:r>
          </w:p>
        </w:tc>
        <w:tc>
          <w:tcPr>
            <w:tcW w:w="923" w:type="dxa"/>
            <w:vAlign w:val="center"/>
          </w:tcPr>
          <w:p>
            <w:pPr>
              <w:jc w:val="center"/>
              <w:rPr>
                <w:szCs w:val="21"/>
                <w:lang w:val="en-US"/>
              </w:rPr>
            </w:pPr>
            <w:r>
              <w:rPr>
                <w:rFonts w:hint="eastAsia"/>
                <w:szCs w:val="21"/>
                <w:lang w:val="en-US"/>
              </w:rPr>
              <w:t>0.00108</w:t>
            </w:r>
          </w:p>
        </w:tc>
        <w:tc>
          <w:tcPr>
            <w:tcW w:w="97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Merge w:val="restart"/>
            <w:vAlign w:val="center"/>
          </w:tcPr>
          <w:p>
            <w:pPr>
              <w:jc w:val="center"/>
            </w:pPr>
            <w:r>
              <w:rPr>
                <w:rFonts w:hAnsi="宋体"/>
              </w:rPr>
              <w:t>固</w:t>
            </w:r>
          </w:p>
          <w:p>
            <w:pPr>
              <w:jc w:val="center"/>
            </w:pPr>
            <w:r>
              <w:rPr>
                <w:rFonts w:hAnsi="宋体"/>
              </w:rPr>
              <w:t>体</w:t>
            </w:r>
          </w:p>
          <w:p>
            <w:pPr>
              <w:jc w:val="center"/>
            </w:pPr>
            <w:r>
              <w:rPr>
                <w:rFonts w:hAnsi="宋体"/>
              </w:rPr>
              <w:t>废</w:t>
            </w:r>
          </w:p>
          <w:p>
            <w:pPr>
              <w:jc w:val="center"/>
            </w:pPr>
            <w:r>
              <w:rPr>
                <w:rFonts w:hAnsi="宋体"/>
              </w:rPr>
              <w:t>物</w:t>
            </w:r>
          </w:p>
        </w:tc>
        <w:tc>
          <w:tcPr>
            <w:tcW w:w="2549" w:type="dxa"/>
            <w:gridSpan w:val="3"/>
            <w:vAlign w:val="center"/>
          </w:tcPr>
          <w:p>
            <w:pPr>
              <w:jc w:val="center"/>
              <w:rPr>
                <w:b/>
              </w:rPr>
            </w:pPr>
            <w:r>
              <w:rPr>
                <w:rFonts w:hAnsi="宋体"/>
                <w:b/>
              </w:rPr>
              <w:t>污染物名称</w:t>
            </w:r>
          </w:p>
        </w:tc>
        <w:tc>
          <w:tcPr>
            <w:tcW w:w="1035" w:type="dxa"/>
            <w:vAlign w:val="center"/>
          </w:tcPr>
          <w:p>
            <w:pPr>
              <w:jc w:val="center"/>
              <w:rPr>
                <w:b/>
              </w:rPr>
            </w:pPr>
            <w:r>
              <w:rPr>
                <w:rFonts w:hAnsi="宋体"/>
                <w:b/>
              </w:rPr>
              <w:t>产生量</w:t>
            </w:r>
            <w:r>
              <w:rPr>
                <w:b/>
              </w:rPr>
              <w:t>t/a</w:t>
            </w:r>
          </w:p>
        </w:tc>
        <w:tc>
          <w:tcPr>
            <w:tcW w:w="1185" w:type="dxa"/>
            <w:vAlign w:val="center"/>
          </w:tcPr>
          <w:p>
            <w:pPr>
              <w:jc w:val="center"/>
              <w:rPr>
                <w:b/>
              </w:rPr>
            </w:pPr>
            <w:r>
              <w:rPr>
                <w:rFonts w:hAnsi="宋体"/>
                <w:b/>
              </w:rPr>
              <w:t>处理处置量</w:t>
            </w:r>
            <w:r>
              <w:rPr>
                <w:b/>
              </w:rPr>
              <w:t>t/a</w:t>
            </w:r>
          </w:p>
        </w:tc>
        <w:tc>
          <w:tcPr>
            <w:tcW w:w="900" w:type="dxa"/>
            <w:vAlign w:val="center"/>
          </w:tcPr>
          <w:p>
            <w:pPr>
              <w:jc w:val="center"/>
              <w:rPr>
                <w:b/>
              </w:rPr>
            </w:pPr>
            <w:r>
              <w:rPr>
                <w:rFonts w:hAnsi="宋体"/>
                <w:b/>
              </w:rPr>
              <w:t>综合利用量</w:t>
            </w:r>
            <w:r>
              <w:rPr>
                <w:b/>
              </w:rPr>
              <w:t>t/a</w:t>
            </w:r>
          </w:p>
        </w:tc>
        <w:tc>
          <w:tcPr>
            <w:tcW w:w="990" w:type="dxa"/>
            <w:vAlign w:val="center"/>
          </w:tcPr>
          <w:p>
            <w:pPr>
              <w:jc w:val="center"/>
              <w:rPr>
                <w:b/>
              </w:rPr>
            </w:pPr>
            <w:r>
              <w:rPr>
                <w:rFonts w:hAnsi="宋体"/>
                <w:b/>
              </w:rPr>
              <w:t>外排量</w:t>
            </w:r>
            <w:r>
              <w:rPr>
                <w:b/>
              </w:rPr>
              <w:t>t/a</w:t>
            </w:r>
          </w:p>
        </w:tc>
        <w:tc>
          <w:tcPr>
            <w:tcW w:w="1901" w:type="dxa"/>
            <w:gridSpan w:val="2"/>
            <w:vAlign w:val="center"/>
          </w:tcPr>
          <w:p>
            <w:pPr>
              <w:jc w:val="center"/>
              <w:rPr>
                <w:b/>
              </w:rPr>
            </w:pPr>
            <w:r>
              <w:rPr>
                <w:rFonts w:hAns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49" w:type="dxa"/>
            <w:vMerge w:val="continue"/>
            <w:vAlign w:val="center"/>
          </w:tcPr>
          <w:p>
            <w:pPr>
              <w:jc w:val="center"/>
            </w:pPr>
          </w:p>
        </w:tc>
        <w:tc>
          <w:tcPr>
            <w:tcW w:w="2549" w:type="dxa"/>
            <w:gridSpan w:val="3"/>
            <w:vAlign w:val="center"/>
          </w:tcPr>
          <w:p>
            <w:pPr>
              <w:pStyle w:val="127"/>
              <w:spacing w:line="240" w:lineRule="auto"/>
              <w:rPr>
                <w:szCs w:val="21"/>
              </w:rPr>
            </w:pPr>
            <w:r>
              <w:rPr>
                <w:rFonts w:hint="eastAsia" w:ascii="Times New Roman" w:hAnsi="Times New Roman" w:cs="Times New Roman"/>
                <w:lang w:val="fi-FI"/>
              </w:rPr>
              <w:t>废陶瓷</w:t>
            </w:r>
          </w:p>
        </w:tc>
        <w:tc>
          <w:tcPr>
            <w:tcW w:w="1035" w:type="dxa"/>
            <w:vAlign w:val="center"/>
          </w:tcPr>
          <w:p>
            <w:pPr>
              <w:pStyle w:val="127"/>
              <w:spacing w:line="240" w:lineRule="auto"/>
              <w:rPr>
                <w:szCs w:val="21"/>
              </w:rPr>
            </w:pPr>
            <w:r>
              <w:rPr>
                <w:rFonts w:hint="eastAsia" w:ascii="Times New Roman" w:hAnsi="Times New Roman" w:cs="Times New Roman"/>
              </w:rPr>
              <w:t>0.3</w:t>
            </w:r>
          </w:p>
        </w:tc>
        <w:tc>
          <w:tcPr>
            <w:tcW w:w="1185" w:type="dxa"/>
            <w:vAlign w:val="center"/>
          </w:tcPr>
          <w:p>
            <w:pPr>
              <w:jc w:val="center"/>
              <w:rPr>
                <w:szCs w:val="21"/>
                <w:lang w:val="en-US"/>
              </w:rPr>
            </w:pPr>
            <w:r>
              <w:rPr>
                <w:rFonts w:hint="eastAsia"/>
                <w:szCs w:val="21"/>
                <w:lang w:val="en-US"/>
              </w:rPr>
              <w:t>0</w:t>
            </w:r>
          </w:p>
        </w:tc>
        <w:tc>
          <w:tcPr>
            <w:tcW w:w="900" w:type="dxa"/>
            <w:vAlign w:val="center"/>
          </w:tcPr>
          <w:p>
            <w:pPr>
              <w:jc w:val="center"/>
              <w:rPr>
                <w:lang w:val="en-US"/>
              </w:rPr>
            </w:pPr>
            <w:r>
              <w:rPr>
                <w:rFonts w:hint="eastAsia"/>
                <w:lang w:val="en-US"/>
              </w:rPr>
              <w:t>0.3</w:t>
            </w:r>
          </w:p>
        </w:tc>
        <w:tc>
          <w:tcPr>
            <w:tcW w:w="990" w:type="dxa"/>
            <w:vAlign w:val="center"/>
          </w:tcPr>
          <w:p>
            <w:pPr>
              <w:jc w:val="center"/>
              <w:rPr>
                <w:lang w:val="en-US"/>
              </w:rPr>
            </w:pPr>
            <w:r>
              <w:rPr>
                <w:rFonts w:hint="eastAsia"/>
                <w:lang w:val="en-US"/>
              </w:rPr>
              <w:t>0</w:t>
            </w:r>
          </w:p>
        </w:tc>
        <w:tc>
          <w:tcPr>
            <w:tcW w:w="1901" w:type="dxa"/>
            <w:gridSpan w:val="2"/>
            <w:vMerge w:val="restart"/>
            <w:vAlign w:val="center"/>
          </w:tcPr>
          <w:p>
            <w:pPr>
              <w:jc w:val="center"/>
              <w:rPr>
                <w:lang w:val="en-US"/>
              </w:rPr>
            </w:pPr>
            <w:r>
              <w:rPr>
                <w:rFonts w:hint="eastAsia"/>
                <w:lang w:val="en-US"/>
              </w:rPr>
              <w:t>收集后外售给相关单位综合利用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49" w:type="dxa"/>
            <w:vMerge w:val="continue"/>
            <w:vAlign w:val="center"/>
          </w:tcPr>
          <w:p>
            <w:pPr>
              <w:jc w:val="center"/>
            </w:pPr>
          </w:p>
        </w:tc>
        <w:tc>
          <w:tcPr>
            <w:tcW w:w="2549" w:type="dxa"/>
            <w:gridSpan w:val="3"/>
            <w:vAlign w:val="center"/>
          </w:tcPr>
          <w:p>
            <w:pPr>
              <w:pStyle w:val="127"/>
              <w:spacing w:line="240" w:lineRule="auto"/>
              <w:rPr>
                <w:szCs w:val="21"/>
              </w:rPr>
            </w:pPr>
            <w:r>
              <w:rPr>
                <w:rFonts w:hint="eastAsia" w:ascii="Times New Roman" w:hAnsi="Times New Roman" w:cs="Times New Roman"/>
                <w:lang w:val="fi-FI"/>
              </w:rPr>
              <w:t>陶瓷泥料</w:t>
            </w:r>
          </w:p>
        </w:tc>
        <w:tc>
          <w:tcPr>
            <w:tcW w:w="1035" w:type="dxa"/>
            <w:vAlign w:val="center"/>
          </w:tcPr>
          <w:p>
            <w:pPr>
              <w:pStyle w:val="127"/>
              <w:spacing w:line="240" w:lineRule="auto"/>
              <w:rPr>
                <w:rFonts w:hint="default" w:eastAsia="宋体"/>
                <w:szCs w:val="21"/>
                <w:lang w:val="en-US" w:eastAsia="zh-CN"/>
              </w:rPr>
            </w:pPr>
            <w:r>
              <w:rPr>
                <w:rFonts w:hint="eastAsia" w:ascii="Times New Roman" w:hAnsi="Times New Roman" w:cs="Times New Roman"/>
                <w:lang w:val="en-US" w:eastAsia="zh-CN"/>
              </w:rPr>
              <w:t>0.8</w:t>
            </w:r>
          </w:p>
        </w:tc>
        <w:tc>
          <w:tcPr>
            <w:tcW w:w="1185" w:type="dxa"/>
            <w:vAlign w:val="center"/>
          </w:tcPr>
          <w:p>
            <w:pPr>
              <w:jc w:val="center"/>
              <w:rPr>
                <w:szCs w:val="21"/>
                <w:lang w:val="en-US"/>
              </w:rPr>
            </w:pPr>
            <w:r>
              <w:rPr>
                <w:rFonts w:hint="eastAsia"/>
                <w:szCs w:val="21"/>
                <w:lang w:val="en-US"/>
              </w:rPr>
              <w:t>0</w:t>
            </w:r>
          </w:p>
        </w:tc>
        <w:tc>
          <w:tcPr>
            <w:tcW w:w="900" w:type="dxa"/>
            <w:vAlign w:val="center"/>
          </w:tcPr>
          <w:p>
            <w:pPr>
              <w:jc w:val="center"/>
              <w:rPr>
                <w:rFonts w:hint="default" w:eastAsia="宋体"/>
                <w:lang w:val="en-US" w:eastAsia="zh-CN"/>
              </w:rPr>
            </w:pPr>
            <w:r>
              <w:rPr>
                <w:rFonts w:hint="eastAsia"/>
                <w:lang w:val="en-US" w:eastAsia="zh-CN"/>
              </w:rPr>
              <w:t>0.8</w:t>
            </w:r>
          </w:p>
        </w:tc>
        <w:tc>
          <w:tcPr>
            <w:tcW w:w="990" w:type="dxa"/>
            <w:vAlign w:val="center"/>
          </w:tcPr>
          <w:p>
            <w:pPr>
              <w:jc w:val="center"/>
              <w:rPr>
                <w:lang w:val="en-US"/>
              </w:rPr>
            </w:pPr>
            <w:r>
              <w:rPr>
                <w:rFonts w:hint="eastAsia"/>
                <w:lang w:val="en-US"/>
              </w:rPr>
              <w:t>0</w:t>
            </w:r>
          </w:p>
        </w:tc>
        <w:tc>
          <w:tcPr>
            <w:tcW w:w="1901"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9" w:type="dxa"/>
            <w:vMerge w:val="continue"/>
            <w:vAlign w:val="center"/>
          </w:tcPr>
          <w:p>
            <w:pPr>
              <w:jc w:val="center"/>
            </w:pPr>
          </w:p>
        </w:tc>
        <w:tc>
          <w:tcPr>
            <w:tcW w:w="2549" w:type="dxa"/>
            <w:gridSpan w:val="3"/>
            <w:vAlign w:val="center"/>
          </w:tcPr>
          <w:p>
            <w:pPr>
              <w:pStyle w:val="127"/>
              <w:spacing w:line="240" w:lineRule="auto"/>
              <w:rPr>
                <w:szCs w:val="21"/>
              </w:rPr>
            </w:pPr>
            <w:r>
              <w:rPr>
                <w:rFonts w:hint="eastAsia" w:ascii="Times New Roman" w:hAnsi="Times New Roman" w:cs="Times New Roman"/>
                <w:lang w:val="fi-FI"/>
              </w:rPr>
              <w:t>废次品</w:t>
            </w:r>
          </w:p>
        </w:tc>
        <w:tc>
          <w:tcPr>
            <w:tcW w:w="1035" w:type="dxa"/>
            <w:vAlign w:val="center"/>
          </w:tcPr>
          <w:p>
            <w:pPr>
              <w:pStyle w:val="127"/>
              <w:spacing w:line="240" w:lineRule="auto"/>
              <w:rPr>
                <w:szCs w:val="21"/>
              </w:rPr>
            </w:pPr>
            <w:r>
              <w:rPr>
                <w:rFonts w:hint="eastAsia" w:ascii="Times New Roman" w:hAnsi="Times New Roman" w:cs="Times New Roman"/>
              </w:rPr>
              <w:t>0.2</w:t>
            </w:r>
          </w:p>
        </w:tc>
        <w:tc>
          <w:tcPr>
            <w:tcW w:w="1185" w:type="dxa"/>
            <w:vAlign w:val="center"/>
          </w:tcPr>
          <w:p>
            <w:pPr>
              <w:jc w:val="center"/>
              <w:rPr>
                <w:szCs w:val="21"/>
                <w:lang w:val="en-US"/>
              </w:rPr>
            </w:pPr>
            <w:r>
              <w:rPr>
                <w:rFonts w:hint="eastAsia"/>
                <w:szCs w:val="21"/>
                <w:lang w:val="en-US"/>
              </w:rPr>
              <w:t>0</w:t>
            </w:r>
          </w:p>
        </w:tc>
        <w:tc>
          <w:tcPr>
            <w:tcW w:w="900" w:type="dxa"/>
            <w:vAlign w:val="center"/>
          </w:tcPr>
          <w:p>
            <w:pPr>
              <w:jc w:val="center"/>
              <w:rPr>
                <w:lang w:val="en-US"/>
              </w:rPr>
            </w:pPr>
            <w:r>
              <w:rPr>
                <w:rFonts w:hint="eastAsia"/>
                <w:lang w:val="en-US"/>
              </w:rPr>
              <w:t>0.2</w:t>
            </w:r>
          </w:p>
        </w:tc>
        <w:tc>
          <w:tcPr>
            <w:tcW w:w="990" w:type="dxa"/>
            <w:vAlign w:val="center"/>
          </w:tcPr>
          <w:p>
            <w:pPr>
              <w:jc w:val="center"/>
              <w:rPr>
                <w:lang w:val="en-US"/>
              </w:rPr>
            </w:pPr>
            <w:r>
              <w:rPr>
                <w:rFonts w:hint="eastAsia"/>
                <w:lang w:val="en-US"/>
              </w:rPr>
              <w:t>0</w:t>
            </w:r>
          </w:p>
        </w:tc>
        <w:tc>
          <w:tcPr>
            <w:tcW w:w="1901" w:type="dxa"/>
            <w:gridSpan w:val="2"/>
            <w:vMerge w:val="continue"/>
            <w:vAlign w:val="center"/>
          </w:tcPr>
          <w:p>
            <w:pPr>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9" w:type="dxa"/>
            <w:vMerge w:val="continue"/>
            <w:vAlign w:val="center"/>
          </w:tcPr>
          <w:p>
            <w:pPr>
              <w:jc w:val="center"/>
            </w:pPr>
          </w:p>
        </w:tc>
        <w:tc>
          <w:tcPr>
            <w:tcW w:w="2549" w:type="dxa"/>
            <w:gridSpan w:val="3"/>
            <w:vAlign w:val="center"/>
          </w:tcPr>
          <w:p>
            <w:pPr>
              <w:pStyle w:val="127"/>
              <w:spacing w:line="240" w:lineRule="auto"/>
              <w:rPr>
                <w:szCs w:val="21"/>
              </w:rPr>
            </w:pPr>
            <w:r>
              <w:rPr>
                <w:rFonts w:hint="eastAsia" w:ascii="Times New Roman" w:hAnsi="Times New Roman" w:cs="Times New Roman"/>
                <w:lang w:val="fi-FI"/>
              </w:rPr>
              <w:t>废瓷粉</w:t>
            </w:r>
          </w:p>
        </w:tc>
        <w:tc>
          <w:tcPr>
            <w:tcW w:w="1035" w:type="dxa"/>
            <w:vAlign w:val="center"/>
          </w:tcPr>
          <w:p>
            <w:pPr>
              <w:pStyle w:val="127"/>
              <w:spacing w:line="240" w:lineRule="auto"/>
              <w:rPr>
                <w:rFonts w:hint="default" w:eastAsia="宋体"/>
                <w:szCs w:val="21"/>
                <w:lang w:val="en-US" w:eastAsia="zh-CN"/>
              </w:rPr>
            </w:pPr>
            <w:r>
              <w:rPr>
                <w:rFonts w:hint="eastAsia" w:ascii="Times New Roman" w:hAnsi="Times New Roman" w:cs="Times New Roman"/>
              </w:rPr>
              <w:t>0.0</w:t>
            </w:r>
            <w:r>
              <w:rPr>
                <w:rFonts w:hint="eastAsia" w:ascii="Times New Roman" w:hAnsi="Times New Roman" w:cs="Times New Roman"/>
                <w:lang w:val="en-US" w:eastAsia="zh-CN"/>
              </w:rPr>
              <w:t>043</w:t>
            </w:r>
          </w:p>
        </w:tc>
        <w:tc>
          <w:tcPr>
            <w:tcW w:w="1185" w:type="dxa"/>
            <w:vAlign w:val="center"/>
          </w:tcPr>
          <w:p>
            <w:pPr>
              <w:jc w:val="center"/>
              <w:rPr>
                <w:szCs w:val="21"/>
              </w:rPr>
            </w:pPr>
            <w:r>
              <w:rPr>
                <w:rFonts w:hint="eastAsia"/>
                <w:szCs w:val="21"/>
                <w:lang w:val="en-US"/>
              </w:rPr>
              <w:t>0</w:t>
            </w:r>
          </w:p>
        </w:tc>
        <w:tc>
          <w:tcPr>
            <w:tcW w:w="900" w:type="dxa"/>
            <w:vAlign w:val="center"/>
          </w:tcPr>
          <w:p>
            <w:pPr>
              <w:jc w:val="center"/>
              <w:rPr>
                <w:rFonts w:hint="default" w:eastAsia="宋体"/>
                <w:lang w:val="en-US" w:eastAsia="zh-CN"/>
              </w:rPr>
            </w:pPr>
            <w:r>
              <w:rPr>
                <w:rFonts w:hint="eastAsia"/>
                <w:lang w:val="en-US"/>
              </w:rPr>
              <w:t>0.0</w:t>
            </w:r>
            <w:r>
              <w:rPr>
                <w:rFonts w:hint="eastAsia"/>
                <w:lang w:val="en-US" w:eastAsia="zh-CN"/>
              </w:rPr>
              <w:t>043</w:t>
            </w:r>
          </w:p>
        </w:tc>
        <w:tc>
          <w:tcPr>
            <w:tcW w:w="990" w:type="dxa"/>
            <w:vAlign w:val="center"/>
          </w:tcPr>
          <w:p>
            <w:pPr>
              <w:jc w:val="center"/>
            </w:pPr>
            <w:r>
              <w:rPr>
                <w:rFonts w:hint="eastAsia"/>
              </w:rPr>
              <w:t>0</w:t>
            </w:r>
          </w:p>
        </w:tc>
        <w:tc>
          <w:tcPr>
            <w:tcW w:w="1901"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49" w:type="dxa"/>
            <w:vMerge w:val="continue"/>
            <w:vAlign w:val="center"/>
          </w:tcPr>
          <w:p>
            <w:pPr>
              <w:jc w:val="center"/>
            </w:pPr>
          </w:p>
        </w:tc>
        <w:tc>
          <w:tcPr>
            <w:tcW w:w="2549" w:type="dxa"/>
            <w:gridSpan w:val="3"/>
            <w:vAlign w:val="center"/>
          </w:tcPr>
          <w:p>
            <w:pPr>
              <w:pStyle w:val="127"/>
              <w:spacing w:line="240" w:lineRule="auto"/>
              <w:rPr>
                <w:szCs w:val="21"/>
              </w:rPr>
            </w:pPr>
            <w:r>
              <w:rPr>
                <w:rFonts w:hint="eastAsia" w:ascii="Times New Roman" w:hAnsi="Times New Roman" w:cs="Times New Roman"/>
                <w:lang w:val="fi-FI"/>
              </w:rPr>
              <w:t>生活垃圾</w:t>
            </w:r>
          </w:p>
        </w:tc>
        <w:tc>
          <w:tcPr>
            <w:tcW w:w="1035" w:type="dxa"/>
            <w:vAlign w:val="center"/>
          </w:tcPr>
          <w:p>
            <w:pPr>
              <w:pStyle w:val="127"/>
              <w:spacing w:line="240" w:lineRule="auto"/>
              <w:rPr>
                <w:szCs w:val="21"/>
              </w:rPr>
            </w:pPr>
            <w:r>
              <w:rPr>
                <w:rFonts w:hint="eastAsia" w:ascii="Times New Roman" w:hAnsi="Times New Roman" w:cs="Times New Roman"/>
              </w:rPr>
              <w:t>0.9</w:t>
            </w:r>
          </w:p>
        </w:tc>
        <w:tc>
          <w:tcPr>
            <w:tcW w:w="1185" w:type="dxa"/>
            <w:vAlign w:val="center"/>
          </w:tcPr>
          <w:p>
            <w:pPr>
              <w:jc w:val="center"/>
              <w:rPr>
                <w:szCs w:val="21"/>
                <w:lang w:val="en-US"/>
              </w:rPr>
            </w:pPr>
            <w:r>
              <w:rPr>
                <w:rFonts w:hint="eastAsia"/>
                <w:lang w:val="en-US"/>
              </w:rPr>
              <w:t>0.9</w:t>
            </w:r>
          </w:p>
        </w:tc>
        <w:tc>
          <w:tcPr>
            <w:tcW w:w="900" w:type="dxa"/>
            <w:vAlign w:val="center"/>
          </w:tcPr>
          <w:p>
            <w:pPr>
              <w:jc w:val="center"/>
            </w:pPr>
            <w:r>
              <w:rPr>
                <w:rFonts w:hint="eastAsia"/>
                <w:lang w:val="en-US"/>
              </w:rPr>
              <w:t>0</w:t>
            </w:r>
          </w:p>
        </w:tc>
        <w:tc>
          <w:tcPr>
            <w:tcW w:w="990" w:type="dxa"/>
            <w:vAlign w:val="center"/>
          </w:tcPr>
          <w:p>
            <w:pPr>
              <w:jc w:val="center"/>
            </w:pPr>
            <w:r>
              <w:rPr>
                <w:rFonts w:hint="eastAsia"/>
              </w:rPr>
              <w:t>0</w:t>
            </w:r>
          </w:p>
        </w:tc>
        <w:tc>
          <w:tcPr>
            <w:tcW w:w="1901" w:type="dxa"/>
            <w:gridSpan w:val="2"/>
            <w:vAlign w:val="center"/>
          </w:tcPr>
          <w:p>
            <w:pPr>
              <w:jc w:val="center"/>
              <w:rPr>
                <w:rFonts w:hAnsi="宋体"/>
                <w:szCs w:val="21"/>
              </w:rPr>
            </w:pPr>
            <w:r>
              <w:rPr>
                <w:rFonts w:hint="eastAsia"/>
              </w:rPr>
              <w:t>环卫部门清运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pPr>
            <w:r>
              <w:rPr>
                <w:rFonts w:hint="eastAsia"/>
              </w:rPr>
              <w:t>噪声</w:t>
            </w:r>
          </w:p>
        </w:tc>
        <w:tc>
          <w:tcPr>
            <w:tcW w:w="8560" w:type="dxa"/>
            <w:gridSpan w:val="9"/>
            <w:vAlign w:val="center"/>
          </w:tcPr>
          <w:p>
            <w:pPr>
              <w:jc w:val="center"/>
              <w:rPr>
                <w:rFonts w:hAnsi="宋体"/>
                <w:szCs w:val="21"/>
              </w:rPr>
            </w:pPr>
            <w:r>
              <w:rPr>
                <w:rFonts w:ascii="Arial" w:hAnsi="Arial" w:cs="Arial"/>
                <w:kern w:val="0"/>
                <w:szCs w:val="21"/>
              </w:rPr>
              <w:t>营运期噪声主要为</w:t>
            </w:r>
            <w:r>
              <w:rPr>
                <w:rFonts w:hint="eastAsia" w:ascii="Arial" w:hAnsi="Arial" w:cs="Arial"/>
                <w:kern w:val="0"/>
                <w:szCs w:val="21"/>
              </w:rPr>
              <w:t>机械</w:t>
            </w:r>
            <w:r>
              <w:rPr>
                <w:rFonts w:ascii="Arial" w:hAnsi="Arial" w:cs="Arial"/>
                <w:kern w:val="0"/>
                <w:szCs w:val="21"/>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49" w:type="dxa"/>
            <w:vAlign w:val="center"/>
          </w:tcPr>
          <w:p>
            <w:pPr>
              <w:jc w:val="center"/>
            </w:pPr>
            <w:r>
              <w:rPr>
                <w:rFonts w:ascii="Arial" w:hAnsi="Arial" w:cs="Arial"/>
                <w:b/>
                <w:sz w:val="24"/>
                <w:szCs w:val="24"/>
              </w:rPr>
              <w:t>主要生态影响</w:t>
            </w:r>
          </w:p>
        </w:tc>
        <w:tc>
          <w:tcPr>
            <w:tcW w:w="8560" w:type="dxa"/>
            <w:gridSpan w:val="9"/>
            <w:vAlign w:val="center"/>
          </w:tcPr>
          <w:p>
            <w:pPr>
              <w:spacing w:line="360" w:lineRule="auto"/>
              <w:ind w:firstLine="480" w:firstLineChars="200"/>
              <w:rPr>
                <w:rFonts w:hAnsi="宋体"/>
                <w:kern w:val="0"/>
                <w:sz w:val="24"/>
                <w:szCs w:val="24"/>
              </w:rPr>
            </w:pPr>
          </w:p>
          <w:p>
            <w:pPr>
              <w:spacing w:line="360" w:lineRule="auto"/>
              <w:ind w:firstLine="480" w:firstLineChars="200"/>
              <w:rPr>
                <w:rFonts w:hAnsi="宋体"/>
                <w:kern w:val="0"/>
                <w:sz w:val="24"/>
                <w:szCs w:val="24"/>
                <w:lang w:val="en-US"/>
              </w:rPr>
            </w:pPr>
            <w:r>
              <w:rPr>
                <w:rFonts w:hint="eastAsia" w:hAnsi="宋体"/>
                <w:kern w:val="0"/>
                <w:sz w:val="24"/>
                <w:szCs w:val="24"/>
              </w:rPr>
              <w:t>本项目为</w:t>
            </w:r>
            <w:r>
              <w:rPr>
                <w:rFonts w:hint="eastAsia" w:hAnsi="宋体"/>
                <w:kern w:val="0"/>
                <w:sz w:val="24"/>
                <w:szCs w:val="24"/>
                <w:lang w:val="en-US"/>
              </w:rPr>
              <w:t>宜兴市和恒精密陶瓷有限公司</w:t>
            </w:r>
            <w:r>
              <w:rPr>
                <w:rFonts w:hint="eastAsia" w:hAnsi="宋体"/>
                <w:kern w:val="0"/>
                <w:sz w:val="24"/>
                <w:szCs w:val="24"/>
              </w:rPr>
              <w:t>新建项目，位于</w:t>
            </w:r>
            <w:r>
              <w:rPr>
                <w:rFonts w:hint="eastAsia" w:hAnsi="宋体"/>
                <w:kern w:val="0"/>
                <w:sz w:val="24"/>
                <w:szCs w:val="24"/>
                <w:lang w:val="en-US"/>
              </w:rPr>
              <w:t>宜兴市丁蜀镇任墅工业集中区</w:t>
            </w:r>
            <w:r>
              <w:rPr>
                <w:rFonts w:hint="eastAsia" w:hAnsi="宋体"/>
                <w:kern w:val="0"/>
                <w:sz w:val="24"/>
                <w:szCs w:val="24"/>
              </w:rPr>
              <w:t>，</w:t>
            </w:r>
            <w:r>
              <w:rPr>
                <w:rFonts w:hint="eastAsia" w:hAnsi="宋体"/>
                <w:kern w:val="0"/>
                <w:sz w:val="24"/>
                <w:szCs w:val="24"/>
                <w:lang w:val="en-US"/>
              </w:rPr>
              <w:t>租用宜兴市丁蜀镇宏伟陶瓷釉料加工厂空置厂房460</w:t>
            </w:r>
            <w:r>
              <w:rPr>
                <w:rFonts w:hAnsi="宋体"/>
                <w:kern w:val="0"/>
                <w:sz w:val="24"/>
                <w:szCs w:val="24"/>
                <w:lang w:val="en-US"/>
              </w:rPr>
              <w:t>m</w:t>
            </w:r>
            <w:r>
              <w:rPr>
                <w:rFonts w:hAnsi="宋体"/>
                <w:kern w:val="0"/>
                <w:sz w:val="24"/>
                <w:szCs w:val="24"/>
                <w:vertAlign w:val="superscript"/>
                <w:lang w:val="en-US"/>
              </w:rPr>
              <w:t>2</w:t>
            </w:r>
            <w:r>
              <w:rPr>
                <w:rFonts w:hint="eastAsia" w:hAnsi="宋体"/>
                <w:kern w:val="0"/>
                <w:sz w:val="24"/>
                <w:szCs w:val="24"/>
              </w:rPr>
              <w:t>，</w:t>
            </w:r>
            <w:r>
              <w:rPr>
                <w:rFonts w:hint="eastAsia" w:hAnsi="宋体"/>
                <w:kern w:val="0"/>
                <w:sz w:val="24"/>
                <w:szCs w:val="24"/>
                <w:lang w:val="en-US"/>
              </w:rPr>
              <w:t>该项目废气、废水、固废、噪声通过实施合理可行的措施后，不会对周围环境带来明显的影响，对区域的生态环境影响较小。</w:t>
            </w:r>
          </w:p>
          <w:p>
            <w:pPr>
              <w:spacing w:line="360" w:lineRule="auto"/>
              <w:jc w:val="left"/>
              <w:rPr>
                <w:rFonts w:hAnsi="宋体"/>
                <w:szCs w:val="21"/>
              </w:rPr>
            </w:pPr>
          </w:p>
          <w:p>
            <w:pPr>
              <w:pStyle w:val="2"/>
              <w:rPr>
                <w:rFonts w:hAnsi="宋体"/>
                <w:szCs w:val="21"/>
              </w:rPr>
            </w:pPr>
          </w:p>
          <w:p>
            <w:pPr>
              <w:pStyle w:val="2"/>
              <w:rPr>
                <w:rFonts w:hAnsi="宋体"/>
                <w:szCs w:val="21"/>
              </w:rPr>
            </w:pPr>
          </w:p>
          <w:p>
            <w:pPr>
              <w:spacing w:line="360" w:lineRule="auto"/>
              <w:jc w:val="left"/>
              <w:rPr>
                <w:rFonts w:hAnsi="宋体"/>
                <w:szCs w:val="21"/>
              </w:rPr>
            </w:pPr>
          </w:p>
          <w:p>
            <w:pPr>
              <w:spacing w:line="360" w:lineRule="auto"/>
              <w:jc w:val="left"/>
              <w:rPr>
                <w:rFonts w:hAnsi="宋体"/>
                <w:szCs w:val="21"/>
              </w:rPr>
            </w:pPr>
          </w:p>
        </w:tc>
      </w:tr>
    </w:tbl>
    <w:p>
      <w:pPr>
        <w:pStyle w:val="162"/>
        <w:numPr>
          <w:ilvl w:val="0"/>
          <w:numId w:val="0"/>
        </w:numPr>
        <w:spacing w:line="400" w:lineRule="exact"/>
        <w:jc w:val="both"/>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49" w:name="_Toc367970830"/>
      <w:bookmarkStart w:id="50" w:name="_Toc367970636"/>
      <w:bookmarkStart w:id="51" w:name="_Toc367970391"/>
    </w:p>
    <w:p>
      <w:pPr>
        <w:pStyle w:val="4"/>
        <w:jc w:val="both"/>
        <w:rPr>
          <w:bCs w:val="0"/>
          <w:spacing w:val="0"/>
          <w:kern w:val="0"/>
          <w:sz w:val="32"/>
          <w:szCs w:val="32"/>
        </w:rPr>
      </w:pPr>
      <w:bookmarkStart w:id="52" w:name="_Toc25306"/>
      <w:r>
        <w:rPr>
          <w:bCs w:val="0"/>
          <w:spacing w:val="0"/>
          <w:kern w:val="0"/>
          <w:sz w:val="32"/>
          <w:szCs w:val="32"/>
        </w:rPr>
        <w:t>7</w:t>
      </w:r>
      <w:r>
        <w:rPr>
          <w:rFonts w:hAnsi="宋体"/>
          <w:bCs w:val="0"/>
          <w:spacing w:val="0"/>
          <w:kern w:val="0"/>
          <w:sz w:val="32"/>
          <w:szCs w:val="32"/>
        </w:rPr>
        <w:t>、环境影响分析</w:t>
      </w:r>
      <w:bookmarkEnd w:id="45"/>
      <w:bookmarkEnd w:id="46"/>
      <w:bookmarkEnd w:id="47"/>
      <w:bookmarkEnd w:id="49"/>
      <w:bookmarkEnd w:id="50"/>
      <w:bookmarkEnd w:id="51"/>
      <w:bookmarkEnd w:id="52"/>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529" w:type="dxa"/>
            <w:vAlign w:val="center"/>
          </w:tcPr>
          <w:p>
            <w:pPr>
              <w:overflowPunct w:val="0"/>
              <w:autoSpaceDE w:val="0"/>
              <w:autoSpaceDN w:val="0"/>
              <w:adjustRightInd w:val="0"/>
              <w:spacing w:before="120" w:beforeLines="50" w:line="360" w:lineRule="auto"/>
              <w:rPr>
                <w:rFonts w:hAnsi="宋体"/>
                <w:b/>
                <w:bCs/>
                <w:sz w:val="24"/>
                <w:szCs w:val="24"/>
              </w:rPr>
            </w:pPr>
            <w:r>
              <w:rPr>
                <w:rFonts w:hAnsi="宋体"/>
                <w:b/>
                <w:bCs/>
                <w:sz w:val="24"/>
                <w:szCs w:val="24"/>
                <w:lang w:val="en-US"/>
              </w:rPr>
              <w:t>7.1</w:t>
            </w:r>
            <w:r>
              <w:rPr>
                <w:rFonts w:hAnsi="宋体"/>
                <w:b/>
                <w:bCs/>
                <w:sz w:val="24"/>
                <w:szCs w:val="24"/>
              </w:rPr>
              <w:t>施工期环境影响分析</w:t>
            </w:r>
          </w:p>
          <w:p>
            <w:pPr>
              <w:tabs>
                <w:tab w:val="left" w:pos="2535"/>
              </w:tabs>
              <w:spacing w:line="360" w:lineRule="auto"/>
              <w:ind w:firstLine="480" w:firstLineChars="200"/>
              <w:rPr>
                <w:sz w:val="24"/>
              </w:rPr>
            </w:pPr>
            <w:r>
              <w:rPr>
                <w:sz w:val="24"/>
              </w:rPr>
              <w:t>本项目利用现有厂房生产，不新建厂房。因此项目施工期工艺流程主要为设备的安装及调试，污染物</w:t>
            </w:r>
            <w:r>
              <w:rPr>
                <w:sz w:val="24"/>
                <w:szCs w:val="22"/>
              </w:rPr>
              <w:t>产生量极少</w:t>
            </w:r>
            <w:r>
              <w:rPr>
                <w:rFonts w:hint="eastAsia"/>
                <w:sz w:val="24"/>
                <w:szCs w:val="22"/>
                <w:lang w:eastAsia="zh-CN"/>
              </w:rPr>
              <w:t>，</w:t>
            </w:r>
            <w:r>
              <w:rPr>
                <w:sz w:val="24"/>
                <w:szCs w:val="22"/>
              </w:rPr>
              <w:t>对周围的水环境、大气环境、声环境产生的影响较小。</w:t>
            </w:r>
          </w:p>
          <w:p>
            <w:pPr>
              <w:overflowPunct w:val="0"/>
              <w:autoSpaceDE w:val="0"/>
              <w:autoSpaceDN w:val="0"/>
              <w:adjustRightInd w:val="0"/>
              <w:spacing w:before="120" w:beforeLines="50" w:line="360" w:lineRule="auto"/>
              <w:rPr>
                <w:rFonts w:ascii="宋体" w:hAnsi="宋体"/>
                <w:b/>
                <w:sz w:val="24"/>
                <w:szCs w:val="24"/>
              </w:rPr>
            </w:pPr>
            <w:r>
              <w:rPr>
                <w:rFonts w:hAnsi="宋体"/>
                <w:b/>
                <w:bCs/>
                <w:sz w:val="24"/>
                <w:szCs w:val="24"/>
                <w:lang w:val="en-US"/>
              </w:rPr>
              <w:t>7.2</w:t>
            </w:r>
            <w:r>
              <w:rPr>
                <w:rFonts w:ascii="宋体" w:hAnsi="宋体"/>
                <w:b/>
                <w:sz w:val="24"/>
                <w:szCs w:val="24"/>
              </w:rPr>
              <w:t>营运期环境影响分析</w:t>
            </w:r>
          </w:p>
          <w:p>
            <w:pPr>
              <w:spacing w:line="360" w:lineRule="auto"/>
              <w:rPr>
                <w:rFonts w:hAnsi="宋体"/>
                <w:kern w:val="0"/>
                <w:sz w:val="24"/>
                <w:szCs w:val="24"/>
              </w:rPr>
            </w:pPr>
            <w:r>
              <w:rPr>
                <w:rFonts w:hint="eastAsia" w:hAnsi="宋体"/>
                <w:kern w:val="0"/>
                <w:sz w:val="24"/>
                <w:szCs w:val="24"/>
                <w:lang w:val="en-US" w:eastAsia="zh-CN"/>
              </w:rPr>
              <w:t>1、</w:t>
            </w:r>
            <w:r>
              <w:rPr>
                <w:rFonts w:hint="eastAsia" w:hAnsi="宋体"/>
                <w:kern w:val="0"/>
                <w:sz w:val="24"/>
                <w:szCs w:val="24"/>
              </w:rPr>
              <w:t>水环境影响分析</w:t>
            </w:r>
          </w:p>
          <w:p>
            <w:pPr>
              <w:spacing w:line="360" w:lineRule="auto"/>
              <w:ind w:firstLine="480" w:firstLineChars="200"/>
              <w:rPr>
                <w:b w:val="0"/>
                <w:bCs/>
                <w:sz w:val="24"/>
              </w:rPr>
            </w:pPr>
            <w:r>
              <w:rPr>
                <w:b w:val="0"/>
                <w:bCs/>
                <w:sz w:val="24"/>
              </w:rPr>
              <w:t>(1)评价等级和评价范围确定</w:t>
            </w:r>
          </w:p>
          <w:p>
            <w:pPr>
              <w:spacing w:line="360" w:lineRule="auto"/>
              <w:ind w:firstLine="480" w:firstLineChars="200"/>
              <w:rPr>
                <w:sz w:val="24"/>
              </w:rPr>
            </w:pPr>
            <w:r>
              <w:rPr>
                <w:sz w:val="24"/>
              </w:rPr>
              <w:t>根据《环境影响评价技术导则-地面水环境》(HJ2.3-2018)中要求：地表水环境影响评价工作等级按照影响类型、排放方式、排放量或影响情况、受纳水体环境质量现状、水环境保护目标等综合确定。</w:t>
            </w:r>
          </w:p>
          <w:p>
            <w:pPr>
              <w:spacing w:line="360" w:lineRule="auto"/>
              <w:ind w:firstLine="480" w:firstLineChars="200"/>
              <w:rPr>
                <w:sz w:val="24"/>
              </w:rPr>
            </w:pPr>
            <w:r>
              <w:rPr>
                <w:sz w:val="24"/>
              </w:rPr>
              <w:t>水污染型建设项目根据排放方式和废水排放量划分评价等级，具体内容见下表。</w:t>
            </w:r>
          </w:p>
          <w:p>
            <w:pPr>
              <w:spacing w:line="360" w:lineRule="auto"/>
              <w:jc w:val="center"/>
              <w:rPr>
                <w:b/>
                <w:szCs w:val="21"/>
              </w:rPr>
            </w:pPr>
            <w:r>
              <w:rPr>
                <w:rFonts w:hint="eastAsia"/>
                <w:b/>
                <w:szCs w:val="21"/>
              </w:rPr>
              <w:t>表</w:t>
            </w:r>
            <w:r>
              <w:rPr>
                <w:b/>
                <w:szCs w:val="21"/>
              </w:rPr>
              <w:t>7-1</w:t>
            </w:r>
            <w:r>
              <w:rPr>
                <w:rFonts w:hint="eastAsia"/>
                <w:b/>
                <w:szCs w:val="21"/>
              </w:rPr>
              <w:t>4</w:t>
            </w:r>
            <w:r>
              <w:rPr>
                <w:b/>
                <w:szCs w:val="21"/>
              </w:rPr>
              <w:t xml:space="preserve">  </w:t>
            </w:r>
            <w:r>
              <w:rPr>
                <w:rFonts w:hint="eastAsia"/>
                <w:b/>
                <w:szCs w:val="21"/>
              </w:rPr>
              <w:t>水污染影响型建设项目评价等级判定</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2540"/>
              <w:gridCol w:w="40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restart"/>
                  <w:vAlign w:val="center"/>
                </w:tcPr>
                <w:p>
                  <w:pPr>
                    <w:pStyle w:val="246"/>
                    <w:rPr>
                      <w:b/>
                      <w:szCs w:val="21"/>
                    </w:rPr>
                  </w:pPr>
                  <w:r>
                    <w:rPr>
                      <w:b/>
                      <w:szCs w:val="21"/>
                    </w:rPr>
                    <w:t>评价等级</w:t>
                  </w:r>
                </w:p>
              </w:tc>
              <w:tc>
                <w:tcPr>
                  <w:tcW w:w="6592" w:type="dxa"/>
                  <w:gridSpan w:val="2"/>
                  <w:vAlign w:val="center"/>
                </w:tcPr>
                <w:p>
                  <w:pPr>
                    <w:pStyle w:val="246"/>
                    <w:rPr>
                      <w:b/>
                      <w:szCs w:val="21"/>
                    </w:rPr>
                  </w:pPr>
                  <w:r>
                    <w:rPr>
                      <w:b/>
                      <w:szCs w:val="21"/>
                    </w:rPr>
                    <w:t>判定依据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Merge w:val="continue"/>
                  <w:vAlign w:val="center"/>
                </w:tcPr>
                <w:p>
                  <w:pPr>
                    <w:pStyle w:val="246"/>
                    <w:ind w:firstLine="422"/>
                    <w:rPr>
                      <w:b/>
                      <w:szCs w:val="21"/>
                    </w:rPr>
                  </w:pPr>
                </w:p>
              </w:tc>
              <w:tc>
                <w:tcPr>
                  <w:tcW w:w="2540" w:type="dxa"/>
                  <w:vAlign w:val="center"/>
                </w:tcPr>
                <w:p>
                  <w:pPr>
                    <w:pStyle w:val="246"/>
                    <w:rPr>
                      <w:b/>
                      <w:szCs w:val="21"/>
                    </w:rPr>
                  </w:pPr>
                  <w:r>
                    <w:rPr>
                      <w:b/>
                      <w:szCs w:val="21"/>
                    </w:rPr>
                    <w:t>排放方式</w:t>
                  </w:r>
                </w:p>
              </w:tc>
              <w:tc>
                <w:tcPr>
                  <w:tcW w:w="4052" w:type="dxa"/>
                  <w:vAlign w:val="center"/>
                </w:tcPr>
                <w:p>
                  <w:pPr>
                    <w:pStyle w:val="246"/>
                    <w:rPr>
                      <w:b/>
                      <w:szCs w:val="21"/>
                    </w:rPr>
                  </w:pPr>
                  <w:r>
                    <w:rPr>
                      <w:b/>
                      <w:szCs w:val="21"/>
                    </w:rPr>
                    <w:t>废水排放量Q/(m</w:t>
                  </w:r>
                  <w:r>
                    <w:rPr>
                      <w:b/>
                      <w:szCs w:val="21"/>
                      <w:vertAlign w:val="superscript"/>
                    </w:rPr>
                    <w:t>3</w:t>
                  </w:r>
                  <w:r>
                    <w:rPr>
                      <w:b/>
                      <w:szCs w:val="21"/>
                    </w:rPr>
                    <w:t>/d);</w:t>
                  </w:r>
                </w:p>
                <w:p>
                  <w:pPr>
                    <w:pStyle w:val="246"/>
                    <w:rPr>
                      <w:b/>
                      <w:szCs w:val="21"/>
                    </w:rPr>
                  </w:pPr>
                  <w:r>
                    <w:rPr>
                      <w:b/>
                      <w:szCs w:val="21"/>
                    </w:rPr>
                    <w:t>水污染物当量数W/(无量纲)</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一级</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Q≥20000或W≥600000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二级</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三级A</w:t>
                  </w:r>
                </w:p>
              </w:tc>
              <w:tc>
                <w:tcPr>
                  <w:tcW w:w="2540" w:type="dxa"/>
                  <w:vAlign w:val="center"/>
                </w:tcPr>
                <w:p>
                  <w:pPr>
                    <w:pStyle w:val="246"/>
                    <w:rPr>
                      <w:b/>
                      <w:bCs/>
                      <w:szCs w:val="21"/>
                    </w:rPr>
                  </w:pPr>
                  <w:r>
                    <w:rPr>
                      <w:szCs w:val="21"/>
                    </w:rPr>
                    <w:t>直接排放</w:t>
                  </w:r>
                </w:p>
              </w:tc>
              <w:tc>
                <w:tcPr>
                  <w:tcW w:w="4052" w:type="dxa"/>
                  <w:vAlign w:val="center"/>
                </w:tcPr>
                <w:p>
                  <w:pPr>
                    <w:pStyle w:val="246"/>
                    <w:rPr>
                      <w:b/>
                      <w:bCs/>
                      <w:szCs w:val="21"/>
                    </w:rPr>
                  </w:pPr>
                  <w:r>
                    <w:rPr>
                      <w:szCs w:val="21"/>
                    </w:rPr>
                    <w:t>Q＜200且W＜6000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pPr>
                    <w:pStyle w:val="246"/>
                    <w:rPr>
                      <w:b/>
                      <w:bCs/>
                      <w:szCs w:val="21"/>
                    </w:rPr>
                  </w:pPr>
                  <w:r>
                    <w:rPr>
                      <w:szCs w:val="21"/>
                    </w:rPr>
                    <w:t>三级B</w:t>
                  </w:r>
                </w:p>
              </w:tc>
              <w:tc>
                <w:tcPr>
                  <w:tcW w:w="2540" w:type="dxa"/>
                  <w:vAlign w:val="center"/>
                </w:tcPr>
                <w:p>
                  <w:pPr>
                    <w:pStyle w:val="246"/>
                    <w:rPr>
                      <w:b/>
                      <w:bCs/>
                      <w:szCs w:val="21"/>
                    </w:rPr>
                  </w:pPr>
                  <w:r>
                    <w:rPr>
                      <w:szCs w:val="21"/>
                    </w:rPr>
                    <w:t>间接排放</w:t>
                  </w:r>
                </w:p>
              </w:tc>
              <w:tc>
                <w:tcPr>
                  <w:tcW w:w="4052" w:type="dxa"/>
                  <w:vAlign w:val="center"/>
                </w:tcPr>
                <w:p>
                  <w:pPr>
                    <w:pStyle w:val="246"/>
                    <w:rPr>
                      <w:b/>
                      <w:bCs/>
                      <w:szCs w:val="21"/>
                    </w:rPr>
                  </w:pPr>
                  <w:r>
                    <w:rPr>
                      <w:szCs w:val="21"/>
                    </w:rPr>
                    <w:t>--</w:t>
                  </w:r>
                </w:p>
              </w:tc>
            </w:tr>
          </w:tbl>
          <w:p>
            <w:pPr>
              <w:spacing w:line="500" w:lineRule="exact"/>
              <w:ind w:firstLine="480" w:firstLineChars="200"/>
              <w:rPr>
                <w:sz w:val="24"/>
              </w:rPr>
            </w:pPr>
            <w:r>
              <w:rPr>
                <w:sz w:val="24"/>
              </w:rPr>
              <w:t>项目建成后产生生活污</w:t>
            </w:r>
            <w:r>
              <w:rPr>
                <w:rFonts w:hint="eastAsia"/>
                <w:sz w:val="24"/>
              </w:rPr>
              <w:t>水</w:t>
            </w:r>
            <w:r>
              <w:rPr>
                <w:rFonts w:hint="eastAsia"/>
                <w:sz w:val="24"/>
                <w:lang w:val="en-US" w:eastAsia="zh-CN"/>
              </w:rPr>
              <w:t>72</w:t>
            </w:r>
            <w:r>
              <w:rPr>
                <w:sz w:val="24"/>
              </w:rPr>
              <w:t>t/a，主要污染物为COD、SS、氨氮、总氮、总磷，接管至</w:t>
            </w:r>
            <w:r>
              <w:rPr>
                <w:rFonts w:hint="eastAsia"/>
                <w:sz w:val="24"/>
              </w:rPr>
              <w:t>宜兴市华骐</w:t>
            </w:r>
            <w:r>
              <w:rPr>
                <w:sz w:val="24"/>
              </w:rPr>
              <w:t>污水处理厂集中处理，达标尾水最终排入</w:t>
            </w:r>
            <w:r>
              <w:rPr>
                <w:rFonts w:hint="eastAsia"/>
                <w:sz w:val="24"/>
              </w:rPr>
              <w:t>蠡河</w:t>
            </w:r>
            <w:r>
              <w:rPr>
                <w:sz w:val="24"/>
              </w:rPr>
              <w:t>，不直接排入水体，属于间接排放。因此，本项目地表水影响评价等级为三级B，不需要进行影响预测。</w:t>
            </w:r>
          </w:p>
          <w:p>
            <w:pPr>
              <w:spacing w:line="500" w:lineRule="exact"/>
              <w:ind w:firstLine="480" w:firstLineChars="200"/>
              <w:rPr>
                <w:sz w:val="24"/>
              </w:rPr>
            </w:pPr>
            <w:r>
              <w:rPr>
                <w:sz w:val="24"/>
              </w:rPr>
              <w:t>根据《环境影响评价技术导则-地面水环境》(HJ2.3-2018</w:t>
            </w:r>
            <w:r>
              <w:rPr>
                <w:color w:val="0070C0"/>
                <w:sz w:val="24"/>
              </w:rPr>
              <w:t>)</w:t>
            </w:r>
            <w:r>
              <w:rPr>
                <w:sz w:val="24"/>
              </w:rPr>
              <w:t>中要求需要开展以下分析：</w:t>
            </w:r>
          </w:p>
          <w:p>
            <w:pPr>
              <w:spacing w:line="500" w:lineRule="exact"/>
              <w:ind w:firstLine="480" w:firstLineChars="200"/>
              <w:rPr>
                <w:sz w:val="24"/>
              </w:rPr>
            </w:pPr>
            <w:r>
              <w:rPr>
                <w:sz w:val="24"/>
              </w:rPr>
              <w:fldChar w:fldCharType="begin"/>
            </w:r>
            <w:r>
              <w:rPr>
                <w:sz w:val="24"/>
              </w:rPr>
              <w:instrText xml:space="preserve"> = 1 \* GB3 </w:instrText>
            </w:r>
            <w:r>
              <w:rPr>
                <w:sz w:val="24"/>
              </w:rPr>
              <w:fldChar w:fldCharType="separate"/>
            </w:r>
            <w:r>
              <w:rPr>
                <w:rFonts w:hint="eastAsia" w:ascii="宋体" w:hAnsi="宋体" w:cs="宋体"/>
                <w:sz w:val="24"/>
              </w:rPr>
              <w:t>①</w:t>
            </w:r>
            <w:r>
              <w:rPr>
                <w:sz w:val="24"/>
              </w:rPr>
              <w:fldChar w:fldCharType="end"/>
            </w:r>
            <w:r>
              <w:rPr>
                <w:sz w:val="24"/>
              </w:rPr>
              <w:t>涉及地表水环境风险的，应覆盖环境风险影响范围所及的水环境保护目标水域。</w:t>
            </w:r>
          </w:p>
          <w:p>
            <w:pPr>
              <w:spacing w:line="500" w:lineRule="exact"/>
              <w:ind w:firstLine="480" w:firstLineChars="200"/>
              <w:rPr>
                <w:sz w:val="24"/>
              </w:rPr>
            </w:pPr>
            <w:r>
              <w:rPr>
                <w:rFonts w:hint="eastAsia" w:ascii="宋体" w:hAnsi="宋体" w:cs="宋体"/>
                <w:sz w:val="24"/>
              </w:rPr>
              <w:t>②</w:t>
            </w:r>
            <w:r>
              <w:rPr>
                <w:sz w:val="24"/>
              </w:rPr>
              <w:t>水污染控制和水环境影响减缓措施的有效性评价；依托污水处理设施的环境可行性评价。</w:t>
            </w:r>
          </w:p>
          <w:p>
            <w:pPr>
              <w:spacing w:line="500" w:lineRule="exact"/>
              <w:ind w:firstLine="480" w:firstLineChars="200"/>
              <w:rPr>
                <w:sz w:val="24"/>
              </w:rPr>
            </w:pPr>
            <w:r>
              <w:rPr>
                <w:sz w:val="24"/>
              </w:rPr>
              <w:t>本项目主要废水为生活污水，不涉及到地表水环境风险，本次主要对依托污染处理设施环境可行性分析进行分析。</w:t>
            </w:r>
          </w:p>
          <w:p>
            <w:pPr>
              <w:spacing w:line="500" w:lineRule="exact"/>
              <w:ind w:firstLine="482" w:firstLineChars="200"/>
              <w:rPr>
                <w:b/>
                <w:sz w:val="24"/>
              </w:rPr>
            </w:pPr>
            <w:r>
              <w:rPr>
                <w:b/>
                <w:sz w:val="24"/>
              </w:rPr>
              <w:t>(2)建设项目废水污染物排放信息表</w:t>
            </w:r>
          </w:p>
          <w:p>
            <w:pPr>
              <w:spacing w:line="500" w:lineRule="exact"/>
              <w:ind w:firstLine="480" w:firstLineChars="200"/>
              <w:rPr>
                <w:sz w:val="24"/>
              </w:rPr>
            </w:pPr>
            <w:r>
              <w:rPr>
                <w:sz w:val="24"/>
              </w:rPr>
              <w:t>本项目废水类别、污染物及治理设施信息表见表7-1</w:t>
            </w:r>
            <w:r>
              <w:rPr>
                <w:rFonts w:hint="eastAsia"/>
                <w:sz w:val="24"/>
              </w:rPr>
              <w:t>5</w:t>
            </w:r>
            <w:r>
              <w:rPr>
                <w:sz w:val="24"/>
              </w:rPr>
              <w:t>。</w:t>
            </w:r>
          </w:p>
          <w:p>
            <w:pPr>
              <w:spacing w:afterLines="50" w:line="500" w:lineRule="exact"/>
              <w:jc w:val="center"/>
              <w:rPr>
                <w:b/>
                <w:szCs w:val="21"/>
              </w:rPr>
            </w:pPr>
            <w:r>
              <w:rPr>
                <w:rFonts w:hint="eastAsia"/>
                <w:b/>
                <w:szCs w:val="21"/>
              </w:rPr>
              <w:t>表</w:t>
            </w:r>
            <w:r>
              <w:rPr>
                <w:b/>
                <w:szCs w:val="21"/>
              </w:rPr>
              <w:t>7-1</w:t>
            </w:r>
            <w:r>
              <w:rPr>
                <w:rFonts w:hint="eastAsia"/>
                <w:b/>
                <w:szCs w:val="21"/>
              </w:rPr>
              <w:t>5</w:t>
            </w:r>
            <w:r>
              <w:rPr>
                <w:b/>
                <w:szCs w:val="21"/>
              </w:rPr>
              <w:t xml:space="preserve">   </w:t>
            </w:r>
            <w:r>
              <w:rPr>
                <w:rFonts w:hint="eastAsia"/>
                <w:b/>
                <w:szCs w:val="21"/>
              </w:rPr>
              <w:t>废水类别、污染物及污染治理设施信息表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33"/>
              <w:gridCol w:w="870"/>
              <w:gridCol w:w="774"/>
              <w:gridCol w:w="761"/>
              <w:gridCol w:w="632"/>
              <w:gridCol w:w="632"/>
              <w:gridCol w:w="632"/>
              <w:gridCol w:w="881"/>
              <w:gridCol w:w="818"/>
              <w:gridCol w:w="14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06" w:type="dxa"/>
                  <w:vMerge w:val="restart"/>
                  <w:vAlign w:val="center"/>
                </w:tcPr>
                <w:p>
                  <w:pPr>
                    <w:snapToGrid w:val="0"/>
                    <w:jc w:val="center"/>
                    <w:rPr>
                      <w:b/>
                      <w:bCs/>
                      <w:szCs w:val="21"/>
                    </w:rPr>
                  </w:pPr>
                  <w:r>
                    <w:rPr>
                      <w:b/>
                      <w:bCs/>
                      <w:szCs w:val="21"/>
                    </w:rPr>
                    <w:t>序号</w:t>
                  </w:r>
                </w:p>
              </w:tc>
              <w:tc>
                <w:tcPr>
                  <w:tcW w:w="434" w:type="dxa"/>
                  <w:vMerge w:val="restart"/>
                  <w:vAlign w:val="center"/>
                </w:tcPr>
                <w:p>
                  <w:pPr>
                    <w:jc w:val="center"/>
                    <w:rPr>
                      <w:b/>
                      <w:bCs/>
                      <w:szCs w:val="21"/>
                    </w:rPr>
                  </w:pPr>
                  <w:r>
                    <w:rPr>
                      <w:b/>
                      <w:bCs/>
                      <w:szCs w:val="21"/>
                    </w:rPr>
                    <w:t>废水类别</w:t>
                  </w:r>
                </w:p>
              </w:tc>
              <w:tc>
                <w:tcPr>
                  <w:tcW w:w="796" w:type="dxa"/>
                  <w:vMerge w:val="restart"/>
                  <w:vAlign w:val="center"/>
                </w:tcPr>
                <w:p>
                  <w:pPr>
                    <w:jc w:val="center"/>
                    <w:rPr>
                      <w:b/>
                      <w:bCs/>
                      <w:szCs w:val="21"/>
                    </w:rPr>
                  </w:pPr>
                  <w:r>
                    <w:rPr>
                      <w:b/>
                      <w:bCs/>
                      <w:szCs w:val="21"/>
                    </w:rPr>
                    <w:t>污染物种类</w:t>
                  </w:r>
                </w:p>
              </w:tc>
              <w:tc>
                <w:tcPr>
                  <w:tcW w:w="802" w:type="dxa"/>
                  <w:vMerge w:val="restart"/>
                  <w:vAlign w:val="center"/>
                </w:tcPr>
                <w:p>
                  <w:pPr>
                    <w:jc w:val="center"/>
                    <w:rPr>
                      <w:b/>
                      <w:bCs/>
                      <w:szCs w:val="21"/>
                    </w:rPr>
                  </w:pPr>
                  <w:r>
                    <w:rPr>
                      <w:b/>
                      <w:bCs/>
                      <w:szCs w:val="21"/>
                    </w:rPr>
                    <w:t>排放去向</w:t>
                  </w:r>
                </w:p>
              </w:tc>
              <w:tc>
                <w:tcPr>
                  <w:tcW w:w="771" w:type="dxa"/>
                  <w:vMerge w:val="restart"/>
                  <w:vAlign w:val="center"/>
                </w:tcPr>
                <w:p>
                  <w:pPr>
                    <w:jc w:val="center"/>
                    <w:rPr>
                      <w:b/>
                      <w:bCs/>
                      <w:szCs w:val="21"/>
                    </w:rPr>
                  </w:pPr>
                  <w:r>
                    <w:rPr>
                      <w:b/>
                      <w:bCs/>
                      <w:szCs w:val="21"/>
                    </w:rPr>
                    <w:t>排放</w:t>
                  </w:r>
                </w:p>
                <w:p>
                  <w:pPr>
                    <w:jc w:val="center"/>
                    <w:rPr>
                      <w:b/>
                      <w:bCs/>
                      <w:szCs w:val="21"/>
                    </w:rPr>
                  </w:pPr>
                  <w:r>
                    <w:rPr>
                      <w:b/>
                      <w:bCs/>
                      <w:szCs w:val="21"/>
                    </w:rPr>
                    <w:t>规律</w:t>
                  </w:r>
                </w:p>
              </w:tc>
              <w:tc>
                <w:tcPr>
                  <w:tcW w:w="1944" w:type="dxa"/>
                  <w:gridSpan w:val="3"/>
                  <w:vAlign w:val="center"/>
                </w:tcPr>
                <w:p>
                  <w:pPr>
                    <w:jc w:val="center"/>
                    <w:rPr>
                      <w:b/>
                      <w:bCs/>
                      <w:szCs w:val="21"/>
                    </w:rPr>
                  </w:pPr>
                  <w:r>
                    <w:rPr>
                      <w:b/>
                      <w:bCs/>
                      <w:szCs w:val="21"/>
                    </w:rPr>
                    <w:t>污染治理设施</w:t>
                  </w:r>
                </w:p>
              </w:tc>
              <w:tc>
                <w:tcPr>
                  <w:tcW w:w="807" w:type="dxa"/>
                  <w:vMerge w:val="restart"/>
                  <w:vAlign w:val="center"/>
                </w:tcPr>
                <w:p>
                  <w:pPr>
                    <w:jc w:val="center"/>
                    <w:rPr>
                      <w:b/>
                      <w:bCs/>
                      <w:szCs w:val="21"/>
                    </w:rPr>
                  </w:pPr>
                  <w:r>
                    <w:rPr>
                      <w:b/>
                      <w:bCs/>
                      <w:szCs w:val="21"/>
                    </w:rPr>
                    <w:t>排放口编号</w:t>
                  </w:r>
                </w:p>
              </w:tc>
              <w:tc>
                <w:tcPr>
                  <w:tcW w:w="834" w:type="dxa"/>
                  <w:vMerge w:val="restart"/>
                  <w:vAlign w:val="center"/>
                </w:tcPr>
                <w:p>
                  <w:pPr>
                    <w:jc w:val="center"/>
                    <w:rPr>
                      <w:b/>
                      <w:bCs/>
                      <w:szCs w:val="21"/>
                    </w:rPr>
                  </w:pPr>
                  <w:r>
                    <w:rPr>
                      <w:b/>
                      <w:bCs/>
                      <w:szCs w:val="21"/>
                    </w:rPr>
                    <w:t>排放就设置是否符合要求</w:t>
                  </w:r>
                </w:p>
              </w:tc>
              <w:tc>
                <w:tcPr>
                  <w:tcW w:w="1512" w:type="dxa"/>
                  <w:vMerge w:val="restart"/>
                  <w:vAlign w:val="center"/>
                </w:tcPr>
                <w:p>
                  <w:pPr>
                    <w:jc w:val="center"/>
                    <w:rPr>
                      <w:b/>
                      <w:bCs/>
                      <w:szCs w:val="21"/>
                    </w:rPr>
                  </w:pPr>
                  <w:r>
                    <w:rPr>
                      <w:b/>
                      <w:bCs/>
                      <w:szCs w:val="21"/>
                    </w:rPr>
                    <w:t>排放口类型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6" w:type="dxa"/>
                  <w:vMerge w:val="continue"/>
                  <w:vAlign w:val="center"/>
                </w:tcPr>
                <w:p>
                  <w:pPr>
                    <w:jc w:val="center"/>
                    <w:rPr>
                      <w:szCs w:val="21"/>
                    </w:rPr>
                  </w:pPr>
                </w:p>
              </w:tc>
              <w:tc>
                <w:tcPr>
                  <w:tcW w:w="434" w:type="dxa"/>
                  <w:vMerge w:val="continue"/>
                  <w:vAlign w:val="center"/>
                </w:tcPr>
                <w:p>
                  <w:pPr>
                    <w:jc w:val="center"/>
                    <w:rPr>
                      <w:szCs w:val="21"/>
                    </w:rPr>
                  </w:pPr>
                </w:p>
              </w:tc>
              <w:tc>
                <w:tcPr>
                  <w:tcW w:w="796" w:type="dxa"/>
                  <w:vMerge w:val="continue"/>
                  <w:vAlign w:val="center"/>
                </w:tcPr>
                <w:p>
                  <w:pPr>
                    <w:jc w:val="center"/>
                    <w:rPr>
                      <w:szCs w:val="21"/>
                    </w:rPr>
                  </w:pPr>
                </w:p>
              </w:tc>
              <w:tc>
                <w:tcPr>
                  <w:tcW w:w="802" w:type="dxa"/>
                  <w:vMerge w:val="continue"/>
                  <w:vAlign w:val="center"/>
                </w:tcPr>
                <w:p>
                  <w:pPr>
                    <w:jc w:val="center"/>
                    <w:rPr>
                      <w:szCs w:val="21"/>
                    </w:rPr>
                  </w:pPr>
                </w:p>
              </w:tc>
              <w:tc>
                <w:tcPr>
                  <w:tcW w:w="771" w:type="dxa"/>
                  <w:vMerge w:val="continue"/>
                  <w:vAlign w:val="center"/>
                </w:tcPr>
                <w:p>
                  <w:pPr>
                    <w:jc w:val="center"/>
                    <w:rPr>
                      <w:szCs w:val="21"/>
                    </w:rPr>
                  </w:pPr>
                </w:p>
              </w:tc>
              <w:tc>
                <w:tcPr>
                  <w:tcW w:w="648" w:type="dxa"/>
                  <w:vAlign w:val="center"/>
                </w:tcPr>
                <w:p>
                  <w:pPr>
                    <w:jc w:val="center"/>
                    <w:rPr>
                      <w:b/>
                      <w:bCs/>
                      <w:szCs w:val="21"/>
                    </w:rPr>
                  </w:pPr>
                  <w:r>
                    <w:rPr>
                      <w:b/>
                      <w:bCs/>
                      <w:szCs w:val="21"/>
                    </w:rPr>
                    <w:t>设施编号</w:t>
                  </w:r>
                </w:p>
              </w:tc>
              <w:tc>
                <w:tcPr>
                  <w:tcW w:w="648" w:type="dxa"/>
                  <w:vAlign w:val="center"/>
                </w:tcPr>
                <w:p>
                  <w:pPr>
                    <w:jc w:val="center"/>
                    <w:rPr>
                      <w:b/>
                      <w:bCs/>
                      <w:szCs w:val="21"/>
                    </w:rPr>
                  </w:pPr>
                  <w:r>
                    <w:rPr>
                      <w:b/>
                      <w:bCs/>
                      <w:szCs w:val="21"/>
                    </w:rPr>
                    <w:t>设施名称</w:t>
                  </w:r>
                </w:p>
              </w:tc>
              <w:tc>
                <w:tcPr>
                  <w:tcW w:w="648" w:type="dxa"/>
                  <w:vAlign w:val="center"/>
                </w:tcPr>
                <w:p>
                  <w:pPr>
                    <w:jc w:val="center"/>
                    <w:rPr>
                      <w:b/>
                      <w:bCs/>
                      <w:szCs w:val="21"/>
                    </w:rPr>
                  </w:pPr>
                  <w:r>
                    <w:rPr>
                      <w:b/>
                      <w:bCs/>
                      <w:szCs w:val="21"/>
                    </w:rPr>
                    <w:t>设施工艺</w:t>
                  </w:r>
                </w:p>
              </w:tc>
              <w:tc>
                <w:tcPr>
                  <w:tcW w:w="807" w:type="dxa"/>
                  <w:vMerge w:val="continue"/>
                  <w:vAlign w:val="center"/>
                </w:tcPr>
                <w:p>
                  <w:pPr>
                    <w:jc w:val="center"/>
                    <w:rPr>
                      <w:szCs w:val="21"/>
                    </w:rPr>
                  </w:pPr>
                </w:p>
              </w:tc>
              <w:tc>
                <w:tcPr>
                  <w:tcW w:w="834" w:type="dxa"/>
                  <w:vMerge w:val="continue"/>
                  <w:vAlign w:val="center"/>
                </w:tcPr>
                <w:p>
                  <w:pPr>
                    <w:jc w:val="center"/>
                    <w:rPr>
                      <w:szCs w:val="21"/>
                    </w:rPr>
                  </w:pPr>
                </w:p>
              </w:tc>
              <w:tc>
                <w:tcPr>
                  <w:tcW w:w="1512" w:type="dxa"/>
                  <w:vMerge w:val="continue"/>
                  <w:vAlign w:val="center"/>
                </w:tcPr>
                <w:p>
                  <w:pPr>
                    <w:jc w:val="center"/>
                    <w:rPr>
                      <w:szCs w:val="21"/>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6" w:type="dxa"/>
                  <w:vAlign w:val="center"/>
                </w:tcPr>
                <w:p>
                  <w:pPr>
                    <w:snapToGrid w:val="0"/>
                    <w:jc w:val="center"/>
                    <w:rPr>
                      <w:szCs w:val="21"/>
                    </w:rPr>
                  </w:pPr>
                  <w:r>
                    <w:rPr>
                      <w:szCs w:val="21"/>
                    </w:rPr>
                    <w:t>1</w:t>
                  </w:r>
                </w:p>
              </w:tc>
              <w:tc>
                <w:tcPr>
                  <w:tcW w:w="434" w:type="dxa"/>
                  <w:vAlign w:val="center"/>
                </w:tcPr>
                <w:p>
                  <w:pPr>
                    <w:jc w:val="center"/>
                    <w:rPr>
                      <w:szCs w:val="21"/>
                    </w:rPr>
                  </w:pPr>
                  <w:r>
                    <w:rPr>
                      <w:szCs w:val="21"/>
                    </w:rPr>
                    <w:t>生活污水</w:t>
                  </w:r>
                </w:p>
              </w:tc>
              <w:tc>
                <w:tcPr>
                  <w:tcW w:w="796" w:type="dxa"/>
                  <w:vAlign w:val="center"/>
                </w:tcPr>
                <w:p>
                  <w:pPr>
                    <w:snapToGrid w:val="0"/>
                    <w:jc w:val="center"/>
                    <w:rPr>
                      <w:szCs w:val="21"/>
                    </w:rPr>
                  </w:pPr>
                  <w:r>
                    <w:rPr>
                      <w:szCs w:val="21"/>
                    </w:rPr>
                    <w:t>COD、SS、氨氮、总氮、总磷</w:t>
                  </w:r>
                </w:p>
              </w:tc>
              <w:tc>
                <w:tcPr>
                  <w:tcW w:w="802" w:type="dxa"/>
                  <w:vAlign w:val="center"/>
                </w:tcPr>
                <w:p>
                  <w:pPr>
                    <w:jc w:val="center"/>
                    <w:rPr>
                      <w:szCs w:val="21"/>
                    </w:rPr>
                  </w:pPr>
                  <w:r>
                    <w:rPr>
                      <w:rFonts w:hint="eastAsia"/>
                      <w:szCs w:val="21"/>
                    </w:rPr>
                    <w:t>宜兴市华骐</w:t>
                  </w:r>
                  <w:r>
                    <w:rPr>
                      <w:szCs w:val="21"/>
                    </w:rPr>
                    <w:t>污水处理厂</w:t>
                  </w:r>
                </w:p>
              </w:tc>
              <w:tc>
                <w:tcPr>
                  <w:tcW w:w="771" w:type="dxa"/>
                  <w:vAlign w:val="center"/>
                </w:tcPr>
                <w:p>
                  <w:pPr>
                    <w:adjustRightInd w:val="0"/>
                    <w:snapToGrid w:val="0"/>
                    <w:jc w:val="center"/>
                    <w:rPr>
                      <w:szCs w:val="21"/>
                    </w:rPr>
                  </w:pPr>
                  <w:r>
                    <w:rPr>
                      <w:szCs w:val="21"/>
                    </w:rPr>
                    <w:t>间断排放，排放期间流量稳定</w:t>
                  </w:r>
                </w:p>
              </w:tc>
              <w:tc>
                <w:tcPr>
                  <w:tcW w:w="648" w:type="dxa"/>
                  <w:vAlign w:val="center"/>
                </w:tcPr>
                <w:p>
                  <w:pPr>
                    <w:jc w:val="center"/>
                    <w:rPr>
                      <w:szCs w:val="21"/>
                    </w:rPr>
                  </w:pPr>
                  <w:r>
                    <w:rPr>
                      <w:szCs w:val="21"/>
                    </w:rPr>
                    <w:t>/</w:t>
                  </w:r>
                </w:p>
              </w:tc>
              <w:tc>
                <w:tcPr>
                  <w:tcW w:w="648" w:type="dxa"/>
                  <w:vAlign w:val="center"/>
                </w:tcPr>
                <w:p>
                  <w:pPr>
                    <w:jc w:val="center"/>
                    <w:rPr>
                      <w:szCs w:val="21"/>
                    </w:rPr>
                  </w:pPr>
                  <w:r>
                    <w:rPr>
                      <w:szCs w:val="21"/>
                    </w:rPr>
                    <w:t>化粪池</w:t>
                  </w:r>
                </w:p>
              </w:tc>
              <w:tc>
                <w:tcPr>
                  <w:tcW w:w="648" w:type="dxa"/>
                  <w:vAlign w:val="center"/>
                </w:tcPr>
                <w:p>
                  <w:pPr>
                    <w:jc w:val="center"/>
                    <w:rPr>
                      <w:szCs w:val="21"/>
                    </w:rPr>
                  </w:pPr>
                  <w:r>
                    <w:rPr>
                      <w:szCs w:val="21"/>
                    </w:rPr>
                    <w:t>/</w:t>
                  </w:r>
                </w:p>
              </w:tc>
              <w:tc>
                <w:tcPr>
                  <w:tcW w:w="807" w:type="dxa"/>
                  <w:vAlign w:val="center"/>
                </w:tcPr>
                <w:p>
                  <w:pPr>
                    <w:jc w:val="center"/>
                    <w:rPr>
                      <w:szCs w:val="21"/>
                    </w:rPr>
                  </w:pPr>
                  <w:r>
                    <w:rPr>
                      <w:rFonts w:hint="eastAsia"/>
                    </w:rPr>
                    <w:t>DW001</w:t>
                  </w:r>
                </w:p>
              </w:tc>
              <w:tc>
                <w:tcPr>
                  <w:tcW w:w="834" w:type="dxa"/>
                  <w:vAlign w:val="center"/>
                </w:tcPr>
                <w:p>
                  <w:pPr>
                    <w:spacing w:before="120"/>
                    <w:jc w:val="center"/>
                    <w:rPr>
                      <w:szCs w:val="21"/>
                    </w:rPr>
                  </w:pPr>
                  <w:r>
                    <w:rPr/>
                    <w:sym w:font="Wingdings 2" w:char="0052"/>
                  </w:r>
                  <w:r>
                    <w:rPr>
                      <w:szCs w:val="21"/>
                    </w:rPr>
                    <w:t>是</w:t>
                  </w:r>
                </w:p>
                <w:p>
                  <w:pPr>
                    <w:jc w:val="center"/>
                    <w:rPr>
                      <w:szCs w:val="21"/>
                    </w:rPr>
                  </w:pPr>
                  <w:r>
                    <w:rPr/>
                    <w:sym w:font="Wingdings 2" w:char="00A3"/>
                  </w:r>
                  <w:r>
                    <w:rPr>
                      <w:szCs w:val="21"/>
                    </w:rPr>
                    <w:t>否</w:t>
                  </w:r>
                </w:p>
              </w:tc>
              <w:tc>
                <w:tcPr>
                  <w:tcW w:w="1512" w:type="dxa"/>
                  <w:vAlign w:val="center"/>
                </w:tcPr>
                <w:p>
                  <w:pPr>
                    <w:rPr>
                      <w:szCs w:val="21"/>
                    </w:rPr>
                  </w:pPr>
                  <w:r>
                    <w:rPr/>
                    <w:sym w:font="Wingdings 2" w:char="0052"/>
                  </w:r>
                  <w:r>
                    <w:rPr>
                      <w:szCs w:val="21"/>
                    </w:rPr>
                    <w:t>企业总排</w:t>
                  </w:r>
                </w:p>
                <w:p>
                  <w:pPr>
                    <w:rPr>
                      <w:szCs w:val="21"/>
                    </w:rPr>
                  </w:pPr>
                  <w:r>
                    <w:rPr/>
                    <w:sym w:font="Wingdings 2" w:char="00A3"/>
                  </w:r>
                  <w:r>
                    <w:rPr>
                      <w:szCs w:val="21"/>
                    </w:rPr>
                    <w:t>雨水排放</w:t>
                  </w:r>
                </w:p>
                <w:p>
                  <w:pPr>
                    <w:rPr>
                      <w:szCs w:val="21"/>
                    </w:rPr>
                  </w:pPr>
                  <w:r>
                    <w:rPr/>
                    <w:sym w:font="Wingdings 2" w:char="00A3"/>
                  </w:r>
                  <w:r>
                    <w:rPr>
                      <w:szCs w:val="21"/>
                    </w:rPr>
                    <w:t>清净下水排放</w:t>
                  </w:r>
                </w:p>
                <w:p>
                  <w:pPr>
                    <w:rPr>
                      <w:szCs w:val="21"/>
                    </w:rPr>
                  </w:pPr>
                  <w:r>
                    <w:rPr/>
                    <w:sym w:font="Wingdings 2" w:char="00A3"/>
                  </w:r>
                  <w:r>
                    <w:rPr>
                      <w:szCs w:val="21"/>
                    </w:rPr>
                    <w:t>温排水排放</w:t>
                  </w:r>
                </w:p>
                <w:p>
                  <w:pPr>
                    <w:snapToGrid w:val="0"/>
                    <w:rPr>
                      <w:szCs w:val="21"/>
                    </w:rPr>
                  </w:pPr>
                  <w:r>
                    <w:rPr/>
                    <w:sym w:font="Wingdings 2" w:char="00A3"/>
                  </w:r>
                  <w:r>
                    <w:rPr>
                      <w:szCs w:val="21"/>
                    </w:rPr>
                    <w:t>车间或车间处理设施排放口</w:t>
                  </w:r>
                </w:p>
              </w:tc>
            </w:tr>
          </w:tbl>
          <w:p>
            <w:pPr>
              <w:spacing w:line="500" w:lineRule="exact"/>
              <w:ind w:firstLine="480" w:firstLineChars="200"/>
              <w:rPr>
                <w:sz w:val="24"/>
              </w:rPr>
            </w:pPr>
            <w:r>
              <w:rPr>
                <w:sz w:val="24"/>
              </w:rPr>
              <w:t>本项目所依托的废水间接排放口基本情况表见表7-1</w:t>
            </w:r>
            <w:r>
              <w:rPr>
                <w:rFonts w:hint="eastAsia"/>
                <w:sz w:val="24"/>
              </w:rPr>
              <w:t>6</w:t>
            </w:r>
            <w:r>
              <w:rPr>
                <w:sz w:val="24"/>
              </w:rPr>
              <w:t>。</w:t>
            </w:r>
          </w:p>
          <w:p>
            <w:pPr>
              <w:spacing w:afterLines="50" w:line="500" w:lineRule="exact"/>
              <w:jc w:val="center"/>
              <w:rPr>
                <w:b/>
                <w:szCs w:val="21"/>
              </w:rPr>
            </w:pPr>
            <w:r>
              <w:rPr>
                <w:rFonts w:hint="eastAsia"/>
                <w:b/>
                <w:szCs w:val="21"/>
              </w:rPr>
              <w:t>表</w:t>
            </w:r>
            <w:r>
              <w:rPr>
                <w:b/>
                <w:szCs w:val="21"/>
              </w:rPr>
              <w:t>7-1</w:t>
            </w:r>
            <w:r>
              <w:rPr>
                <w:rFonts w:hint="eastAsia"/>
                <w:b/>
                <w:szCs w:val="21"/>
              </w:rPr>
              <w:t>6</w:t>
            </w:r>
            <w:r>
              <w:rPr>
                <w:b/>
                <w:szCs w:val="21"/>
              </w:rPr>
              <w:t xml:space="preserve">   </w:t>
            </w:r>
            <w:r>
              <w:rPr>
                <w:rFonts w:hint="eastAsia"/>
                <w:b/>
                <w:szCs w:val="21"/>
              </w:rPr>
              <w:t>废水间接排放口基本情况表</w:t>
            </w:r>
          </w:p>
          <w:tbl>
            <w:tblPr>
              <w:tblStyle w:val="75"/>
              <w:tblW w:w="8306"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70"/>
              <w:gridCol w:w="1087"/>
              <w:gridCol w:w="1199"/>
              <w:gridCol w:w="722"/>
              <w:gridCol w:w="711"/>
              <w:gridCol w:w="603"/>
              <w:gridCol w:w="976"/>
              <w:gridCol w:w="929"/>
              <w:gridCol w:w="563"/>
              <w:gridCol w:w="84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611" w:type="dxa"/>
                  <w:vMerge w:val="restart"/>
                  <w:vAlign w:val="center"/>
                </w:tcPr>
                <w:p>
                  <w:pPr>
                    <w:widowControl/>
                    <w:snapToGrid w:val="0"/>
                    <w:jc w:val="center"/>
                    <w:rPr>
                      <w:b/>
                      <w:bCs/>
                      <w:szCs w:val="21"/>
                    </w:rPr>
                  </w:pPr>
                  <w:r>
                    <w:rPr>
                      <w:b/>
                      <w:bCs/>
                      <w:szCs w:val="21"/>
                    </w:rPr>
                    <w:t>排放口编号</w:t>
                  </w:r>
                </w:p>
              </w:tc>
              <w:tc>
                <w:tcPr>
                  <w:tcW w:w="2321" w:type="dxa"/>
                  <w:gridSpan w:val="2"/>
                  <w:vAlign w:val="center"/>
                </w:tcPr>
                <w:p>
                  <w:pPr>
                    <w:widowControl/>
                    <w:jc w:val="center"/>
                    <w:rPr>
                      <w:b/>
                      <w:bCs/>
                      <w:szCs w:val="21"/>
                    </w:rPr>
                  </w:pPr>
                  <w:r>
                    <w:rPr>
                      <w:b/>
                      <w:bCs/>
                      <w:szCs w:val="21"/>
                    </w:rPr>
                    <w:t>排放口地理坐标</w:t>
                  </w:r>
                </w:p>
              </w:tc>
              <w:tc>
                <w:tcPr>
                  <w:tcW w:w="733" w:type="dxa"/>
                  <w:vMerge w:val="restart"/>
                  <w:vAlign w:val="center"/>
                </w:tcPr>
                <w:p>
                  <w:pPr>
                    <w:widowControl/>
                    <w:jc w:val="center"/>
                    <w:rPr>
                      <w:b/>
                      <w:bCs/>
                      <w:szCs w:val="21"/>
                    </w:rPr>
                  </w:pPr>
                  <w:r>
                    <w:rPr>
                      <w:b/>
                      <w:bCs/>
                      <w:szCs w:val="21"/>
                    </w:rPr>
                    <w:t>废水排放量(万t/a)</w:t>
                  </w:r>
                </w:p>
              </w:tc>
              <w:tc>
                <w:tcPr>
                  <w:tcW w:w="734" w:type="dxa"/>
                  <w:vMerge w:val="restart"/>
                  <w:vAlign w:val="center"/>
                </w:tcPr>
                <w:p>
                  <w:pPr>
                    <w:widowControl/>
                    <w:jc w:val="center"/>
                    <w:rPr>
                      <w:b/>
                      <w:bCs/>
                      <w:szCs w:val="21"/>
                    </w:rPr>
                  </w:pPr>
                  <w:r>
                    <w:rPr>
                      <w:b/>
                      <w:bCs/>
                      <w:szCs w:val="21"/>
                    </w:rPr>
                    <w:t>排放去向</w:t>
                  </w:r>
                </w:p>
              </w:tc>
              <w:tc>
                <w:tcPr>
                  <w:tcW w:w="611" w:type="dxa"/>
                  <w:vMerge w:val="restart"/>
                  <w:vAlign w:val="center"/>
                </w:tcPr>
                <w:p>
                  <w:pPr>
                    <w:widowControl/>
                    <w:jc w:val="center"/>
                    <w:rPr>
                      <w:b/>
                      <w:bCs/>
                      <w:szCs w:val="21"/>
                    </w:rPr>
                  </w:pPr>
                  <w:r>
                    <w:rPr>
                      <w:b/>
                      <w:bCs/>
                      <w:szCs w:val="21"/>
                    </w:rPr>
                    <w:t>排放</w:t>
                  </w:r>
                </w:p>
                <w:p>
                  <w:pPr>
                    <w:widowControl/>
                    <w:jc w:val="center"/>
                    <w:rPr>
                      <w:b/>
                      <w:bCs/>
                      <w:szCs w:val="21"/>
                    </w:rPr>
                  </w:pPr>
                  <w:r>
                    <w:rPr>
                      <w:b/>
                      <w:bCs/>
                      <w:szCs w:val="21"/>
                    </w:rPr>
                    <w:t>规律</w:t>
                  </w:r>
                </w:p>
              </w:tc>
              <w:tc>
                <w:tcPr>
                  <w:tcW w:w="912" w:type="dxa"/>
                  <w:vMerge w:val="restart"/>
                  <w:vAlign w:val="center"/>
                </w:tcPr>
                <w:p>
                  <w:pPr>
                    <w:widowControl/>
                    <w:jc w:val="center"/>
                    <w:rPr>
                      <w:b/>
                      <w:bCs/>
                      <w:szCs w:val="21"/>
                    </w:rPr>
                  </w:pPr>
                  <w:r>
                    <w:rPr>
                      <w:b/>
                      <w:bCs/>
                      <w:szCs w:val="21"/>
                    </w:rPr>
                    <w:t>间歇排放时段</w:t>
                  </w:r>
                </w:p>
              </w:tc>
              <w:tc>
                <w:tcPr>
                  <w:tcW w:w="2384" w:type="dxa"/>
                  <w:gridSpan w:val="3"/>
                  <w:vAlign w:val="center"/>
                </w:tcPr>
                <w:p>
                  <w:pPr>
                    <w:widowControl/>
                    <w:jc w:val="center"/>
                    <w:rPr>
                      <w:b/>
                      <w:bCs/>
                      <w:szCs w:val="21"/>
                    </w:rPr>
                  </w:pPr>
                  <w:r>
                    <w:rPr>
                      <w:b/>
                      <w:bCs/>
                      <w:szCs w:val="21"/>
                    </w:rPr>
                    <w:t>受纳污水处理厂信息</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611" w:type="dxa"/>
                  <w:vMerge w:val="continue"/>
                  <w:vAlign w:val="center"/>
                </w:tcPr>
                <w:p>
                  <w:pPr>
                    <w:widowControl/>
                    <w:jc w:val="center"/>
                    <w:rPr>
                      <w:szCs w:val="21"/>
                    </w:rPr>
                  </w:pPr>
                </w:p>
              </w:tc>
              <w:tc>
                <w:tcPr>
                  <w:tcW w:w="1100" w:type="dxa"/>
                  <w:vAlign w:val="center"/>
                </w:tcPr>
                <w:p>
                  <w:pPr>
                    <w:widowControl/>
                    <w:jc w:val="center"/>
                    <w:rPr>
                      <w:b/>
                      <w:bCs/>
                      <w:szCs w:val="21"/>
                    </w:rPr>
                  </w:pPr>
                  <w:r>
                    <w:rPr>
                      <w:b/>
                      <w:bCs/>
                      <w:szCs w:val="21"/>
                    </w:rPr>
                    <w:t>经度</w:t>
                  </w:r>
                </w:p>
              </w:tc>
              <w:tc>
                <w:tcPr>
                  <w:tcW w:w="1221" w:type="dxa"/>
                  <w:vAlign w:val="center"/>
                </w:tcPr>
                <w:p>
                  <w:pPr>
                    <w:widowControl/>
                    <w:jc w:val="center"/>
                    <w:rPr>
                      <w:b/>
                      <w:bCs/>
                      <w:szCs w:val="21"/>
                    </w:rPr>
                  </w:pPr>
                  <w:r>
                    <w:rPr>
                      <w:b/>
                      <w:bCs/>
                      <w:szCs w:val="21"/>
                    </w:rPr>
                    <w:t>纬度</w:t>
                  </w:r>
                </w:p>
              </w:tc>
              <w:tc>
                <w:tcPr>
                  <w:tcW w:w="733" w:type="dxa"/>
                  <w:vMerge w:val="continue"/>
                  <w:vAlign w:val="center"/>
                </w:tcPr>
                <w:p>
                  <w:pPr>
                    <w:widowControl/>
                    <w:jc w:val="center"/>
                    <w:rPr>
                      <w:szCs w:val="21"/>
                    </w:rPr>
                  </w:pPr>
                </w:p>
              </w:tc>
              <w:tc>
                <w:tcPr>
                  <w:tcW w:w="734" w:type="dxa"/>
                  <w:vMerge w:val="continue"/>
                  <w:vAlign w:val="center"/>
                </w:tcPr>
                <w:p>
                  <w:pPr>
                    <w:widowControl/>
                    <w:jc w:val="center"/>
                    <w:rPr>
                      <w:szCs w:val="21"/>
                    </w:rPr>
                  </w:pPr>
                </w:p>
              </w:tc>
              <w:tc>
                <w:tcPr>
                  <w:tcW w:w="611" w:type="dxa"/>
                  <w:vMerge w:val="continue"/>
                  <w:vAlign w:val="center"/>
                </w:tcPr>
                <w:p>
                  <w:pPr>
                    <w:widowControl/>
                    <w:jc w:val="center"/>
                    <w:rPr>
                      <w:szCs w:val="21"/>
                    </w:rPr>
                  </w:pPr>
                </w:p>
              </w:tc>
              <w:tc>
                <w:tcPr>
                  <w:tcW w:w="912" w:type="dxa"/>
                  <w:vMerge w:val="continue"/>
                  <w:vAlign w:val="center"/>
                </w:tcPr>
                <w:p>
                  <w:pPr>
                    <w:widowControl/>
                    <w:jc w:val="center"/>
                    <w:rPr>
                      <w:szCs w:val="21"/>
                    </w:rPr>
                  </w:pPr>
                </w:p>
              </w:tc>
              <w:tc>
                <w:tcPr>
                  <w:tcW w:w="962" w:type="dxa"/>
                  <w:vAlign w:val="center"/>
                </w:tcPr>
                <w:p>
                  <w:pPr>
                    <w:widowControl/>
                    <w:jc w:val="center"/>
                    <w:rPr>
                      <w:b/>
                      <w:bCs/>
                      <w:szCs w:val="21"/>
                    </w:rPr>
                  </w:pPr>
                  <w:r>
                    <w:rPr>
                      <w:b/>
                      <w:bCs/>
                      <w:szCs w:val="21"/>
                    </w:rPr>
                    <w:t>名称</w:t>
                  </w:r>
                </w:p>
              </w:tc>
              <w:tc>
                <w:tcPr>
                  <w:tcW w:w="568" w:type="dxa"/>
                  <w:vAlign w:val="center"/>
                </w:tcPr>
                <w:p>
                  <w:pPr>
                    <w:widowControl/>
                    <w:jc w:val="center"/>
                    <w:rPr>
                      <w:b/>
                      <w:bCs/>
                      <w:szCs w:val="21"/>
                    </w:rPr>
                  </w:pPr>
                  <w:r>
                    <w:rPr>
                      <w:b/>
                      <w:bCs/>
                      <w:szCs w:val="21"/>
                    </w:rPr>
                    <w:t>污染物种类</w:t>
                  </w:r>
                </w:p>
              </w:tc>
              <w:tc>
                <w:tcPr>
                  <w:tcW w:w="854" w:type="dxa"/>
                  <w:vAlign w:val="center"/>
                </w:tcPr>
                <w:p>
                  <w:pPr>
                    <w:widowControl/>
                    <w:jc w:val="center"/>
                    <w:rPr>
                      <w:b/>
                      <w:bCs/>
                      <w:szCs w:val="21"/>
                    </w:rPr>
                  </w:pPr>
                  <w:r>
                    <w:rPr>
                      <w:b/>
                      <w:bCs/>
                      <w:szCs w:val="21"/>
                    </w:rPr>
                    <w:t>国家或地方污染物排放浓度限值/(mg/L)</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2" w:hRule="atLeast"/>
                <w:jc w:val="center"/>
              </w:trPr>
              <w:tc>
                <w:tcPr>
                  <w:tcW w:w="611" w:type="dxa"/>
                  <w:vMerge w:val="restart"/>
                  <w:vAlign w:val="center"/>
                </w:tcPr>
                <w:p>
                  <w:pPr>
                    <w:widowControl/>
                    <w:snapToGrid w:val="0"/>
                    <w:jc w:val="center"/>
                    <w:rPr>
                      <w:szCs w:val="21"/>
                    </w:rPr>
                  </w:pPr>
                  <w:r>
                    <w:rPr>
                      <w:rFonts w:hint="eastAsia"/>
                      <w:szCs w:val="21"/>
                    </w:rPr>
                    <w:t>DW001</w:t>
                  </w:r>
                </w:p>
              </w:tc>
              <w:tc>
                <w:tcPr>
                  <w:tcW w:w="1100" w:type="dxa"/>
                  <w:vMerge w:val="restart"/>
                  <w:vAlign w:val="center"/>
                </w:tcPr>
                <w:p>
                  <w:pPr>
                    <w:widowControl/>
                    <w:jc w:val="center"/>
                    <w:textAlignment w:val="center"/>
                    <w:rPr>
                      <w:rFonts w:hint="default" w:eastAsia="宋体"/>
                      <w:b/>
                      <w:bCs/>
                      <w:spacing w:val="-4"/>
                      <w:szCs w:val="21"/>
                      <w:lang w:val="en-US" w:eastAsia="zh-CN"/>
                    </w:rPr>
                  </w:pPr>
                  <w:r>
                    <w:rPr>
                      <w:rStyle w:val="263"/>
                      <w:color w:val="auto"/>
                      <w:szCs w:val="21"/>
                    </w:rPr>
                    <w:t>119.8</w:t>
                  </w:r>
                  <w:r>
                    <w:rPr>
                      <w:rStyle w:val="263"/>
                      <w:rFonts w:hint="eastAsia"/>
                      <w:color w:val="auto"/>
                      <w:szCs w:val="21"/>
                      <w:lang w:val="en-US" w:eastAsia="zh-CN"/>
                    </w:rPr>
                    <w:t>086</w:t>
                  </w:r>
                </w:p>
              </w:tc>
              <w:tc>
                <w:tcPr>
                  <w:tcW w:w="1221" w:type="dxa"/>
                  <w:vMerge w:val="restart"/>
                  <w:vAlign w:val="center"/>
                </w:tcPr>
                <w:p>
                  <w:pPr>
                    <w:widowControl/>
                    <w:jc w:val="center"/>
                    <w:textAlignment w:val="center"/>
                    <w:rPr>
                      <w:rFonts w:hint="default" w:eastAsia="宋体"/>
                      <w:b/>
                      <w:bCs/>
                      <w:spacing w:val="-4"/>
                      <w:szCs w:val="21"/>
                      <w:lang w:val="en-US" w:eastAsia="zh-CN"/>
                    </w:rPr>
                  </w:pPr>
                  <w:r>
                    <w:rPr>
                      <w:rStyle w:val="263"/>
                      <w:color w:val="auto"/>
                      <w:szCs w:val="21"/>
                    </w:rPr>
                    <w:t>31.</w:t>
                  </w:r>
                  <w:r>
                    <w:rPr>
                      <w:rStyle w:val="263"/>
                      <w:rFonts w:hint="eastAsia"/>
                      <w:color w:val="auto"/>
                      <w:szCs w:val="21"/>
                      <w:lang w:val="en-US" w:eastAsia="zh-CN"/>
                    </w:rPr>
                    <w:t>2604</w:t>
                  </w:r>
                </w:p>
              </w:tc>
              <w:tc>
                <w:tcPr>
                  <w:tcW w:w="733" w:type="dxa"/>
                  <w:vMerge w:val="restart"/>
                  <w:vAlign w:val="center"/>
                </w:tcPr>
                <w:p>
                  <w:pPr>
                    <w:widowControl/>
                    <w:jc w:val="center"/>
                    <w:rPr>
                      <w:rFonts w:hint="default" w:eastAsia="宋体"/>
                      <w:b/>
                      <w:bCs/>
                      <w:spacing w:val="-4"/>
                      <w:szCs w:val="21"/>
                      <w:lang w:val="en-US" w:eastAsia="zh-CN"/>
                    </w:rPr>
                  </w:pPr>
                  <w:r>
                    <w:rPr>
                      <w:rFonts w:hint="eastAsia"/>
                      <w:szCs w:val="21"/>
                      <w:lang w:val="en-US"/>
                    </w:rPr>
                    <w:t>0.</w:t>
                  </w:r>
                  <w:r>
                    <w:rPr>
                      <w:rFonts w:hint="eastAsia"/>
                      <w:szCs w:val="21"/>
                      <w:lang w:val="en-US" w:eastAsia="zh-CN"/>
                    </w:rPr>
                    <w:t>072</w:t>
                  </w:r>
                </w:p>
              </w:tc>
              <w:tc>
                <w:tcPr>
                  <w:tcW w:w="734" w:type="dxa"/>
                  <w:vMerge w:val="restart"/>
                  <w:vAlign w:val="center"/>
                </w:tcPr>
                <w:p>
                  <w:pPr>
                    <w:widowControl/>
                    <w:adjustRightInd w:val="0"/>
                    <w:snapToGrid w:val="0"/>
                    <w:jc w:val="center"/>
                    <w:rPr>
                      <w:szCs w:val="21"/>
                    </w:rPr>
                  </w:pPr>
                  <w:r>
                    <w:rPr>
                      <w:rFonts w:hint="eastAsia"/>
                      <w:szCs w:val="21"/>
                    </w:rPr>
                    <w:t>宜兴市华骐</w:t>
                  </w:r>
                  <w:r>
                    <w:rPr>
                      <w:szCs w:val="21"/>
                    </w:rPr>
                    <w:t>污水处理厂</w:t>
                  </w:r>
                </w:p>
              </w:tc>
              <w:tc>
                <w:tcPr>
                  <w:tcW w:w="611" w:type="dxa"/>
                  <w:vMerge w:val="restart"/>
                  <w:vAlign w:val="center"/>
                </w:tcPr>
                <w:p>
                  <w:pPr>
                    <w:widowControl/>
                    <w:adjustRightInd w:val="0"/>
                    <w:snapToGrid w:val="0"/>
                    <w:jc w:val="center"/>
                    <w:rPr>
                      <w:szCs w:val="21"/>
                    </w:rPr>
                  </w:pPr>
                  <w:r>
                    <w:rPr>
                      <w:szCs w:val="21"/>
                    </w:rPr>
                    <w:t>间断排放，排放期间流量稳定</w:t>
                  </w:r>
                </w:p>
              </w:tc>
              <w:tc>
                <w:tcPr>
                  <w:tcW w:w="912" w:type="dxa"/>
                  <w:vMerge w:val="restart"/>
                  <w:vAlign w:val="center"/>
                </w:tcPr>
                <w:p>
                  <w:pPr>
                    <w:widowControl/>
                    <w:adjustRightInd w:val="0"/>
                    <w:snapToGrid w:val="0"/>
                    <w:jc w:val="center"/>
                    <w:rPr>
                      <w:szCs w:val="21"/>
                    </w:rPr>
                  </w:pPr>
                  <w:r>
                    <w:rPr>
                      <w:szCs w:val="21"/>
                    </w:rPr>
                    <w:t>8:00~17:00</w:t>
                  </w:r>
                </w:p>
              </w:tc>
              <w:tc>
                <w:tcPr>
                  <w:tcW w:w="962" w:type="dxa"/>
                  <w:vMerge w:val="restart"/>
                  <w:vAlign w:val="center"/>
                </w:tcPr>
                <w:p>
                  <w:pPr>
                    <w:widowControl/>
                    <w:adjustRightInd w:val="0"/>
                    <w:snapToGrid w:val="0"/>
                    <w:jc w:val="center"/>
                    <w:rPr>
                      <w:szCs w:val="21"/>
                    </w:rPr>
                  </w:pPr>
                  <w:r>
                    <w:rPr>
                      <w:rFonts w:hint="eastAsia"/>
                      <w:szCs w:val="21"/>
                    </w:rPr>
                    <w:t>宜兴市华骐</w:t>
                  </w:r>
                  <w:r>
                    <w:rPr>
                      <w:szCs w:val="21"/>
                    </w:rPr>
                    <w:t>污水处理厂</w:t>
                  </w:r>
                </w:p>
              </w:tc>
              <w:tc>
                <w:tcPr>
                  <w:tcW w:w="568" w:type="dxa"/>
                  <w:vAlign w:val="center"/>
                </w:tcPr>
                <w:p>
                  <w:pPr>
                    <w:widowControl/>
                    <w:adjustRightInd w:val="0"/>
                    <w:snapToGrid w:val="0"/>
                    <w:jc w:val="center"/>
                    <w:rPr>
                      <w:szCs w:val="21"/>
                    </w:rPr>
                  </w:pPr>
                  <w:r>
                    <w:rPr>
                      <w:szCs w:val="21"/>
                    </w:rPr>
                    <w:t>COD</w:t>
                  </w:r>
                </w:p>
              </w:tc>
              <w:tc>
                <w:tcPr>
                  <w:tcW w:w="854" w:type="dxa"/>
                  <w:vAlign w:val="center"/>
                </w:tcPr>
                <w:p>
                  <w:pPr>
                    <w:jc w:val="center"/>
                    <w:rPr>
                      <w:szCs w:val="21"/>
                    </w:rPr>
                  </w:pPr>
                  <w:r>
                    <w:rPr>
                      <w:rFonts w:hint="eastAsia"/>
                      <w:szCs w:val="21"/>
                    </w:rPr>
                    <w:t>50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64"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SS</w:t>
                  </w:r>
                </w:p>
              </w:tc>
              <w:tc>
                <w:tcPr>
                  <w:tcW w:w="854" w:type="dxa"/>
                  <w:vAlign w:val="center"/>
                </w:tcPr>
                <w:p>
                  <w:pPr>
                    <w:jc w:val="center"/>
                    <w:rPr>
                      <w:szCs w:val="21"/>
                    </w:rPr>
                  </w:pPr>
                  <w:r>
                    <w:rPr>
                      <w:rFonts w:hint="eastAsia"/>
                      <w:szCs w:val="21"/>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氨氮</w:t>
                  </w:r>
                </w:p>
              </w:tc>
              <w:tc>
                <w:tcPr>
                  <w:tcW w:w="854" w:type="dxa"/>
                  <w:vAlign w:val="center"/>
                </w:tcPr>
                <w:p>
                  <w:pPr>
                    <w:jc w:val="center"/>
                    <w:rPr>
                      <w:szCs w:val="21"/>
                    </w:rPr>
                  </w:pPr>
                  <w:r>
                    <w:rPr>
                      <w:rFonts w:hint="eastAsia"/>
                      <w:szCs w:val="21"/>
                    </w:rPr>
                    <w:t>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总氮</w:t>
                  </w:r>
                </w:p>
              </w:tc>
              <w:tc>
                <w:tcPr>
                  <w:tcW w:w="854" w:type="dxa"/>
                  <w:vAlign w:val="center"/>
                </w:tcPr>
                <w:p>
                  <w:pPr>
                    <w:jc w:val="center"/>
                    <w:rPr>
                      <w:szCs w:val="21"/>
                    </w:rPr>
                  </w:pPr>
                  <w:r>
                    <w:rPr>
                      <w:rFonts w:hint="eastAsia"/>
                      <w:szCs w:val="21"/>
                    </w:rPr>
                    <w:t>15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611" w:type="dxa"/>
                  <w:vMerge w:val="continue"/>
                  <w:vAlign w:val="center"/>
                </w:tcPr>
                <w:p>
                  <w:pPr>
                    <w:widowControl/>
                    <w:adjustRightInd w:val="0"/>
                    <w:snapToGrid w:val="0"/>
                    <w:jc w:val="center"/>
                    <w:rPr>
                      <w:szCs w:val="21"/>
                    </w:rPr>
                  </w:pPr>
                </w:p>
              </w:tc>
              <w:tc>
                <w:tcPr>
                  <w:tcW w:w="1100" w:type="dxa"/>
                  <w:vMerge w:val="continue"/>
                  <w:vAlign w:val="center"/>
                </w:tcPr>
                <w:p>
                  <w:pPr>
                    <w:widowControl/>
                    <w:adjustRightInd w:val="0"/>
                    <w:snapToGrid w:val="0"/>
                    <w:jc w:val="center"/>
                    <w:rPr>
                      <w:szCs w:val="21"/>
                    </w:rPr>
                  </w:pPr>
                </w:p>
              </w:tc>
              <w:tc>
                <w:tcPr>
                  <w:tcW w:w="1221" w:type="dxa"/>
                  <w:vMerge w:val="continue"/>
                  <w:vAlign w:val="center"/>
                </w:tcPr>
                <w:p>
                  <w:pPr>
                    <w:widowControl/>
                    <w:adjustRightInd w:val="0"/>
                    <w:snapToGrid w:val="0"/>
                    <w:jc w:val="center"/>
                    <w:rPr>
                      <w:szCs w:val="21"/>
                    </w:rPr>
                  </w:pPr>
                </w:p>
              </w:tc>
              <w:tc>
                <w:tcPr>
                  <w:tcW w:w="733" w:type="dxa"/>
                  <w:vMerge w:val="continue"/>
                  <w:vAlign w:val="center"/>
                </w:tcPr>
                <w:p>
                  <w:pPr>
                    <w:widowControl/>
                    <w:adjustRightInd w:val="0"/>
                    <w:snapToGrid w:val="0"/>
                    <w:jc w:val="center"/>
                    <w:rPr>
                      <w:szCs w:val="21"/>
                    </w:rPr>
                  </w:pPr>
                </w:p>
              </w:tc>
              <w:tc>
                <w:tcPr>
                  <w:tcW w:w="734" w:type="dxa"/>
                  <w:vMerge w:val="continue"/>
                  <w:vAlign w:val="center"/>
                </w:tcPr>
                <w:p>
                  <w:pPr>
                    <w:widowControl/>
                    <w:adjustRightInd w:val="0"/>
                    <w:snapToGrid w:val="0"/>
                    <w:jc w:val="center"/>
                    <w:rPr>
                      <w:szCs w:val="21"/>
                    </w:rPr>
                  </w:pPr>
                </w:p>
              </w:tc>
              <w:tc>
                <w:tcPr>
                  <w:tcW w:w="611" w:type="dxa"/>
                  <w:vMerge w:val="continue"/>
                  <w:vAlign w:val="center"/>
                </w:tcPr>
                <w:p>
                  <w:pPr>
                    <w:widowControl/>
                    <w:adjustRightInd w:val="0"/>
                    <w:snapToGrid w:val="0"/>
                    <w:jc w:val="center"/>
                    <w:rPr>
                      <w:szCs w:val="21"/>
                    </w:rPr>
                  </w:pPr>
                </w:p>
              </w:tc>
              <w:tc>
                <w:tcPr>
                  <w:tcW w:w="912" w:type="dxa"/>
                  <w:vMerge w:val="continue"/>
                  <w:vAlign w:val="center"/>
                </w:tcPr>
                <w:p>
                  <w:pPr>
                    <w:widowControl/>
                    <w:adjustRightInd w:val="0"/>
                    <w:snapToGrid w:val="0"/>
                    <w:jc w:val="center"/>
                    <w:rPr>
                      <w:szCs w:val="21"/>
                    </w:rPr>
                  </w:pPr>
                </w:p>
              </w:tc>
              <w:tc>
                <w:tcPr>
                  <w:tcW w:w="962" w:type="dxa"/>
                  <w:vMerge w:val="continue"/>
                  <w:vAlign w:val="center"/>
                </w:tcPr>
                <w:p>
                  <w:pPr>
                    <w:widowControl/>
                    <w:adjustRightInd w:val="0"/>
                    <w:snapToGrid w:val="0"/>
                    <w:jc w:val="center"/>
                    <w:rPr>
                      <w:szCs w:val="21"/>
                    </w:rPr>
                  </w:pPr>
                </w:p>
              </w:tc>
              <w:tc>
                <w:tcPr>
                  <w:tcW w:w="568" w:type="dxa"/>
                  <w:vAlign w:val="center"/>
                </w:tcPr>
                <w:p>
                  <w:pPr>
                    <w:widowControl/>
                    <w:adjustRightInd w:val="0"/>
                    <w:snapToGrid w:val="0"/>
                    <w:jc w:val="center"/>
                    <w:rPr>
                      <w:szCs w:val="21"/>
                    </w:rPr>
                  </w:pPr>
                  <w:r>
                    <w:rPr>
                      <w:szCs w:val="21"/>
                    </w:rPr>
                    <w:t>总磷</w:t>
                  </w:r>
                </w:p>
              </w:tc>
              <w:tc>
                <w:tcPr>
                  <w:tcW w:w="854" w:type="dxa"/>
                  <w:vAlign w:val="center"/>
                </w:tcPr>
                <w:p>
                  <w:pPr>
                    <w:jc w:val="center"/>
                    <w:rPr>
                      <w:szCs w:val="21"/>
                    </w:rPr>
                  </w:pPr>
                  <w:r>
                    <w:rPr>
                      <w:rFonts w:hint="eastAsia"/>
                      <w:szCs w:val="21"/>
                    </w:rPr>
                    <w:t>0.5</w:t>
                  </w:r>
                </w:p>
              </w:tc>
            </w:tr>
          </w:tbl>
          <w:p>
            <w:pPr>
              <w:spacing w:line="500" w:lineRule="exact"/>
              <w:ind w:firstLine="480" w:firstLineChars="200"/>
              <w:rPr>
                <w:sz w:val="24"/>
              </w:rPr>
            </w:pPr>
            <w:r>
              <w:rPr>
                <w:sz w:val="24"/>
              </w:rPr>
              <w:t>本项目废水污染物排放信息表见表7-1</w:t>
            </w:r>
            <w:r>
              <w:rPr>
                <w:rFonts w:hint="eastAsia"/>
                <w:sz w:val="24"/>
              </w:rPr>
              <w:t>7</w:t>
            </w:r>
            <w:r>
              <w:rPr>
                <w:sz w:val="24"/>
              </w:rPr>
              <w:t>。</w:t>
            </w:r>
          </w:p>
          <w:p>
            <w:pPr>
              <w:adjustRightInd w:val="0"/>
              <w:snapToGrid w:val="0"/>
              <w:spacing w:beforeLines="50" w:afterLines="50"/>
              <w:jc w:val="center"/>
              <w:rPr>
                <w:b/>
                <w:szCs w:val="21"/>
              </w:rPr>
            </w:pPr>
            <w:r>
              <w:rPr>
                <w:rFonts w:hint="eastAsia"/>
                <w:b/>
                <w:szCs w:val="21"/>
              </w:rPr>
              <w:t>表</w:t>
            </w:r>
            <w:r>
              <w:rPr>
                <w:b/>
                <w:szCs w:val="21"/>
              </w:rPr>
              <w:t>7-1</w:t>
            </w:r>
            <w:r>
              <w:rPr>
                <w:rFonts w:hint="eastAsia"/>
                <w:b/>
                <w:szCs w:val="21"/>
              </w:rPr>
              <w:t>7</w:t>
            </w:r>
            <w:r>
              <w:rPr>
                <w:b/>
                <w:szCs w:val="21"/>
              </w:rPr>
              <w:t xml:space="preserve">   </w:t>
            </w:r>
            <w:r>
              <w:rPr>
                <w:rFonts w:hint="eastAsia"/>
                <w:b/>
                <w:szCs w:val="21"/>
              </w:rPr>
              <w:t>废水污染物排放信息表</w:t>
            </w:r>
          </w:p>
          <w:tbl>
            <w:tblPr>
              <w:tblStyle w:val="75"/>
              <w:tblW w:w="8195"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034"/>
              <w:gridCol w:w="1182"/>
              <w:gridCol w:w="1360"/>
              <w:gridCol w:w="2170"/>
              <w:gridCol w:w="181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Align w:val="center"/>
                </w:tcPr>
                <w:p>
                  <w:pPr>
                    <w:jc w:val="center"/>
                    <w:rPr>
                      <w:b/>
                      <w:bCs/>
                      <w:szCs w:val="21"/>
                    </w:rPr>
                  </w:pPr>
                  <w:r>
                    <w:rPr>
                      <w:b/>
                      <w:bCs/>
                      <w:szCs w:val="21"/>
                    </w:rPr>
                    <w:t>序号</w:t>
                  </w:r>
                </w:p>
              </w:tc>
              <w:tc>
                <w:tcPr>
                  <w:tcW w:w="1034" w:type="dxa"/>
                  <w:vAlign w:val="center"/>
                </w:tcPr>
                <w:p>
                  <w:pPr>
                    <w:jc w:val="center"/>
                    <w:rPr>
                      <w:b/>
                      <w:bCs/>
                      <w:szCs w:val="21"/>
                    </w:rPr>
                  </w:pPr>
                  <w:r>
                    <w:rPr>
                      <w:b/>
                      <w:bCs/>
                      <w:szCs w:val="21"/>
                    </w:rPr>
                    <w:t>排放口编号</w:t>
                  </w:r>
                </w:p>
              </w:tc>
              <w:tc>
                <w:tcPr>
                  <w:tcW w:w="1182" w:type="dxa"/>
                  <w:vAlign w:val="center"/>
                </w:tcPr>
                <w:p>
                  <w:pPr>
                    <w:jc w:val="center"/>
                    <w:rPr>
                      <w:b/>
                      <w:bCs/>
                      <w:szCs w:val="21"/>
                    </w:rPr>
                  </w:pPr>
                  <w:r>
                    <w:rPr>
                      <w:b/>
                      <w:bCs/>
                      <w:szCs w:val="21"/>
                    </w:rPr>
                    <w:t>污染物种类</w:t>
                  </w:r>
                </w:p>
              </w:tc>
              <w:tc>
                <w:tcPr>
                  <w:tcW w:w="1360" w:type="dxa"/>
                  <w:vAlign w:val="center"/>
                </w:tcPr>
                <w:p>
                  <w:pPr>
                    <w:jc w:val="center"/>
                    <w:rPr>
                      <w:b/>
                      <w:bCs/>
                      <w:szCs w:val="21"/>
                    </w:rPr>
                  </w:pPr>
                  <w:r>
                    <w:rPr>
                      <w:b/>
                      <w:bCs/>
                      <w:szCs w:val="21"/>
                    </w:rPr>
                    <w:t>排放浓度（mg/L）</w:t>
                  </w:r>
                </w:p>
              </w:tc>
              <w:tc>
                <w:tcPr>
                  <w:tcW w:w="2170" w:type="dxa"/>
                  <w:vAlign w:val="center"/>
                </w:tcPr>
                <w:p>
                  <w:pPr>
                    <w:jc w:val="center"/>
                    <w:rPr>
                      <w:b/>
                      <w:bCs/>
                      <w:szCs w:val="21"/>
                    </w:rPr>
                  </w:pPr>
                  <w:r>
                    <w:rPr>
                      <w:b/>
                      <w:bCs/>
                      <w:szCs w:val="21"/>
                    </w:rPr>
                    <w:t>日排放量（t/d）</w:t>
                  </w:r>
                </w:p>
              </w:tc>
              <w:tc>
                <w:tcPr>
                  <w:tcW w:w="1812" w:type="dxa"/>
                  <w:vAlign w:val="center"/>
                </w:tcPr>
                <w:p>
                  <w:pPr>
                    <w:jc w:val="center"/>
                    <w:rPr>
                      <w:b/>
                      <w:bCs/>
                      <w:szCs w:val="21"/>
                    </w:rPr>
                  </w:pPr>
                  <w:r>
                    <w:rPr>
                      <w:b/>
                      <w:bCs/>
                      <w:szCs w:val="21"/>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restart"/>
                  <w:vAlign w:val="center"/>
                </w:tcPr>
                <w:p>
                  <w:pPr>
                    <w:jc w:val="center"/>
                    <w:rPr>
                      <w:szCs w:val="21"/>
                    </w:rPr>
                  </w:pPr>
                  <w:r>
                    <w:rPr>
                      <w:rFonts w:hint="eastAsia"/>
                      <w:szCs w:val="21"/>
                    </w:rPr>
                    <w:t>1</w:t>
                  </w:r>
                </w:p>
              </w:tc>
              <w:tc>
                <w:tcPr>
                  <w:tcW w:w="1034" w:type="dxa"/>
                  <w:vMerge w:val="restart"/>
                  <w:vAlign w:val="center"/>
                </w:tcPr>
                <w:p>
                  <w:pPr>
                    <w:jc w:val="center"/>
                    <w:rPr>
                      <w:szCs w:val="21"/>
                    </w:rPr>
                  </w:pPr>
                  <w:r>
                    <w:rPr>
                      <w:rFonts w:hint="eastAsia"/>
                      <w:szCs w:val="21"/>
                    </w:rPr>
                    <w:t>DW001</w:t>
                  </w:r>
                </w:p>
              </w:tc>
              <w:tc>
                <w:tcPr>
                  <w:tcW w:w="1182" w:type="dxa"/>
                  <w:vAlign w:val="center"/>
                </w:tcPr>
                <w:p>
                  <w:pPr>
                    <w:jc w:val="center"/>
                    <w:rPr>
                      <w:szCs w:val="21"/>
                    </w:rPr>
                  </w:pPr>
                  <w:r>
                    <w:rPr>
                      <w:szCs w:val="21"/>
                    </w:rPr>
                    <w:t>COD</w:t>
                  </w:r>
                </w:p>
              </w:tc>
              <w:tc>
                <w:tcPr>
                  <w:tcW w:w="1360" w:type="dxa"/>
                  <w:vAlign w:val="center"/>
                </w:tcPr>
                <w:p>
                  <w:pPr>
                    <w:jc w:val="center"/>
                    <w:rPr>
                      <w:szCs w:val="21"/>
                    </w:rPr>
                  </w:pPr>
                  <w:r>
                    <w:rPr>
                      <w:szCs w:val="21"/>
                    </w:rPr>
                    <w:t>350/50</w:t>
                  </w:r>
                </w:p>
              </w:tc>
              <w:tc>
                <w:tcPr>
                  <w:tcW w:w="2170" w:type="dxa"/>
                  <w:vAlign w:val="center"/>
                </w:tcPr>
                <w:p>
                  <w:pPr>
                    <w:jc w:val="center"/>
                    <w:rPr>
                      <w:rFonts w:hint="default" w:eastAsia="宋体"/>
                      <w:b/>
                      <w:bCs/>
                      <w:spacing w:val="-4"/>
                      <w:szCs w:val="21"/>
                      <w:lang w:val="en-US" w:eastAsia="zh-CN"/>
                    </w:rPr>
                  </w:pPr>
                  <w:r>
                    <w:rPr>
                      <w:rFonts w:hint="eastAsia"/>
                      <w:b w:val="0"/>
                      <w:bCs w:val="0"/>
                      <w:spacing w:val="-4"/>
                      <w:szCs w:val="21"/>
                      <w:lang w:val="en-US" w:eastAsia="zh-CN"/>
                    </w:rPr>
                    <w:t>0.000084/0.000012</w:t>
                  </w:r>
                </w:p>
              </w:tc>
              <w:tc>
                <w:tcPr>
                  <w:tcW w:w="1812" w:type="dxa"/>
                  <w:vAlign w:val="center"/>
                </w:tcPr>
                <w:p>
                  <w:pPr>
                    <w:adjustRightInd w:val="0"/>
                    <w:snapToGrid w:val="0"/>
                    <w:jc w:val="center"/>
                    <w:rPr>
                      <w:rFonts w:hint="default" w:eastAsia="宋体"/>
                      <w:szCs w:val="21"/>
                      <w:lang w:val="en-US" w:eastAsia="zh-CN"/>
                    </w:rPr>
                  </w:pPr>
                  <w:r>
                    <w:rPr>
                      <w:rFonts w:hint="eastAsia"/>
                      <w:szCs w:val="21"/>
                      <w:lang w:val="en-US" w:eastAsia="zh-CN"/>
                    </w:rPr>
                    <w:t>0.025/0.0036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182" w:type="dxa"/>
                  <w:vAlign w:val="center"/>
                </w:tcPr>
                <w:p>
                  <w:pPr>
                    <w:jc w:val="center"/>
                    <w:rPr>
                      <w:szCs w:val="21"/>
                    </w:rPr>
                  </w:pPr>
                  <w:r>
                    <w:rPr>
                      <w:szCs w:val="21"/>
                    </w:rPr>
                    <w:t>SS</w:t>
                  </w:r>
                </w:p>
              </w:tc>
              <w:tc>
                <w:tcPr>
                  <w:tcW w:w="1360" w:type="dxa"/>
                  <w:vAlign w:val="center"/>
                </w:tcPr>
                <w:p>
                  <w:pPr>
                    <w:jc w:val="center"/>
                    <w:rPr>
                      <w:szCs w:val="21"/>
                    </w:rPr>
                  </w:pPr>
                  <w:r>
                    <w:rPr>
                      <w:szCs w:val="21"/>
                    </w:rPr>
                    <w:t>200/10</w:t>
                  </w:r>
                </w:p>
              </w:tc>
              <w:tc>
                <w:tcPr>
                  <w:tcW w:w="2170" w:type="dxa"/>
                  <w:vAlign w:val="center"/>
                </w:tcPr>
                <w:p>
                  <w:pPr>
                    <w:jc w:val="center"/>
                    <w:rPr>
                      <w:rFonts w:hint="default" w:eastAsia="宋体"/>
                      <w:szCs w:val="21"/>
                      <w:lang w:val="en-US" w:eastAsia="zh-CN"/>
                    </w:rPr>
                  </w:pPr>
                  <w:r>
                    <w:rPr>
                      <w:rFonts w:hint="eastAsia"/>
                      <w:szCs w:val="21"/>
                      <w:lang w:val="en-US" w:eastAsia="zh-CN"/>
                    </w:rPr>
                    <w:t>0.000048/0.0000024</w:t>
                  </w:r>
                </w:p>
              </w:tc>
              <w:tc>
                <w:tcPr>
                  <w:tcW w:w="1812" w:type="dxa"/>
                  <w:vAlign w:val="center"/>
                </w:tcPr>
                <w:p>
                  <w:pPr>
                    <w:adjustRightInd w:val="0"/>
                    <w:snapToGrid w:val="0"/>
                    <w:jc w:val="center"/>
                    <w:rPr>
                      <w:rFonts w:hint="default" w:eastAsia="宋体"/>
                      <w:szCs w:val="21"/>
                      <w:lang w:val="en-US" w:eastAsia="zh-CN"/>
                    </w:rPr>
                  </w:pPr>
                  <w:r>
                    <w:rPr>
                      <w:rFonts w:hint="eastAsia"/>
                      <w:szCs w:val="21"/>
                      <w:lang w:val="en-US" w:eastAsia="zh-CN"/>
                    </w:rPr>
                    <w:t>0.014/0.00072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182" w:type="dxa"/>
                  <w:vAlign w:val="center"/>
                </w:tcPr>
                <w:p>
                  <w:pPr>
                    <w:jc w:val="center"/>
                    <w:rPr>
                      <w:szCs w:val="21"/>
                    </w:rPr>
                  </w:pPr>
                  <w:r>
                    <w:rPr>
                      <w:szCs w:val="21"/>
                    </w:rPr>
                    <w:t>NH3-N</w:t>
                  </w:r>
                </w:p>
              </w:tc>
              <w:tc>
                <w:tcPr>
                  <w:tcW w:w="1360" w:type="dxa"/>
                  <w:vAlign w:val="center"/>
                </w:tcPr>
                <w:p>
                  <w:pPr>
                    <w:jc w:val="center"/>
                    <w:rPr>
                      <w:szCs w:val="21"/>
                    </w:rPr>
                  </w:pPr>
                  <w:r>
                    <w:rPr>
                      <w:szCs w:val="21"/>
                    </w:rPr>
                    <w:t>35/5</w:t>
                  </w:r>
                </w:p>
              </w:tc>
              <w:tc>
                <w:tcPr>
                  <w:tcW w:w="2170" w:type="dxa"/>
                  <w:vAlign w:val="center"/>
                </w:tcPr>
                <w:p>
                  <w:pPr>
                    <w:jc w:val="center"/>
                    <w:rPr>
                      <w:rFonts w:hint="default" w:eastAsia="宋体"/>
                      <w:szCs w:val="21"/>
                      <w:lang w:val="en-US" w:eastAsia="zh-CN"/>
                    </w:rPr>
                  </w:pPr>
                  <w:r>
                    <w:rPr>
                      <w:rFonts w:hint="eastAsia"/>
                      <w:szCs w:val="21"/>
                      <w:lang w:val="en-US" w:eastAsia="zh-CN"/>
                    </w:rPr>
                    <w:t>0.0000084/0.0000012</w:t>
                  </w:r>
                </w:p>
              </w:tc>
              <w:tc>
                <w:tcPr>
                  <w:tcW w:w="1812" w:type="dxa"/>
                  <w:vAlign w:val="center"/>
                </w:tcPr>
                <w:p>
                  <w:pPr>
                    <w:adjustRightInd w:val="0"/>
                    <w:snapToGrid w:val="0"/>
                    <w:jc w:val="center"/>
                    <w:rPr>
                      <w:rFonts w:hint="default" w:eastAsia="宋体"/>
                      <w:szCs w:val="21"/>
                      <w:lang w:val="en-US" w:eastAsia="zh-CN"/>
                    </w:rPr>
                  </w:pPr>
                  <w:r>
                    <w:rPr>
                      <w:rFonts w:hint="eastAsia"/>
                      <w:szCs w:val="21"/>
                      <w:lang w:val="en-US" w:eastAsia="zh-CN"/>
                    </w:rPr>
                    <w:t>0.0025/0.00036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182" w:type="dxa"/>
                  <w:vAlign w:val="center"/>
                </w:tcPr>
                <w:p>
                  <w:pPr>
                    <w:jc w:val="center"/>
                    <w:rPr>
                      <w:szCs w:val="21"/>
                    </w:rPr>
                  </w:pPr>
                  <w:r>
                    <w:rPr>
                      <w:szCs w:val="21"/>
                    </w:rPr>
                    <w:t>TN</w:t>
                  </w:r>
                </w:p>
              </w:tc>
              <w:tc>
                <w:tcPr>
                  <w:tcW w:w="1360" w:type="dxa"/>
                  <w:vAlign w:val="center"/>
                </w:tcPr>
                <w:p>
                  <w:pPr>
                    <w:jc w:val="center"/>
                    <w:rPr>
                      <w:szCs w:val="21"/>
                    </w:rPr>
                  </w:pPr>
                  <w:r>
                    <w:rPr>
                      <w:szCs w:val="21"/>
                    </w:rPr>
                    <w:t>45/15</w:t>
                  </w:r>
                </w:p>
              </w:tc>
              <w:tc>
                <w:tcPr>
                  <w:tcW w:w="2170" w:type="dxa"/>
                  <w:vAlign w:val="center"/>
                </w:tcPr>
                <w:p>
                  <w:pPr>
                    <w:jc w:val="center"/>
                    <w:rPr>
                      <w:rFonts w:hint="default" w:eastAsia="宋体"/>
                      <w:szCs w:val="21"/>
                      <w:lang w:val="en-US" w:eastAsia="zh-CN"/>
                    </w:rPr>
                  </w:pPr>
                  <w:r>
                    <w:rPr>
                      <w:rFonts w:hint="eastAsia"/>
                      <w:szCs w:val="21"/>
                      <w:lang w:val="en-US" w:eastAsia="zh-CN"/>
                    </w:rPr>
                    <w:t>0.0000108/0.0000036</w:t>
                  </w:r>
                </w:p>
              </w:tc>
              <w:tc>
                <w:tcPr>
                  <w:tcW w:w="1812" w:type="dxa"/>
                  <w:vAlign w:val="center"/>
                </w:tcPr>
                <w:p>
                  <w:pPr>
                    <w:adjustRightInd w:val="0"/>
                    <w:snapToGrid w:val="0"/>
                    <w:jc w:val="center"/>
                    <w:rPr>
                      <w:rFonts w:hint="default" w:eastAsia="宋体"/>
                      <w:szCs w:val="21"/>
                      <w:lang w:val="en-US" w:eastAsia="zh-CN"/>
                    </w:rPr>
                  </w:pPr>
                  <w:r>
                    <w:rPr>
                      <w:rFonts w:hint="eastAsia"/>
                      <w:szCs w:val="21"/>
                      <w:lang w:val="en-US" w:eastAsia="zh-CN"/>
                    </w:rPr>
                    <w:t>0.0032/0.00108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37" w:type="dxa"/>
                  <w:vMerge w:val="continue"/>
                  <w:vAlign w:val="center"/>
                </w:tcPr>
                <w:p>
                  <w:pPr>
                    <w:jc w:val="center"/>
                    <w:rPr>
                      <w:szCs w:val="21"/>
                    </w:rPr>
                  </w:pPr>
                </w:p>
              </w:tc>
              <w:tc>
                <w:tcPr>
                  <w:tcW w:w="1034" w:type="dxa"/>
                  <w:vMerge w:val="continue"/>
                  <w:vAlign w:val="center"/>
                </w:tcPr>
                <w:p>
                  <w:pPr>
                    <w:jc w:val="center"/>
                    <w:rPr>
                      <w:szCs w:val="21"/>
                    </w:rPr>
                  </w:pPr>
                </w:p>
              </w:tc>
              <w:tc>
                <w:tcPr>
                  <w:tcW w:w="1182" w:type="dxa"/>
                  <w:vAlign w:val="center"/>
                </w:tcPr>
                <w:p>
                  <w:pPr>
                    <w:jc w:val="center"/>
                    <w:rPr>
                      <w:szCs w:val="21"/>
                    </w:rPr>
                  </w:pPr>
                  <w:r>
                    <w:rPr>
                      <w:szCs w:val="21"/>
                    </w:rPr>
                    <w:t>TP</w:t>
                  </w:r>
                </w:p>
              </w:tc>
              <w:tc>
                <w:tcPr>
                  <w:tcW w:w="1360" w:type="dxa"/>
                  <w:vAlign w:val="center"/>
                </w:tcPr>
                <w:p>
                  <w:pPr>
                    <w:jc w:val="center"/>
                    <w:rPr>
                      <w:szCs w:val="21"/>
                    </w:rPr>
                  </w:pPr>
                  <w:r>
                    <w:rPr>
                      <w:szCs w:val="21"/>
                    </w:rPr>
                    <w:t>5/0.5</w:t>
                  </w:r>
                </w:p>
              </w:tc>
              <w:tc>
                <w:tcPr>
                  <w:tcW w:w="2170" w:type="dxa"/>
                  <w:vAlign w:val="center"/>
                </w:tcPr>
                <w:p>
                  <w:pPr>
                    <w:jc w:val="center"/>
                    <w:rPr>
                      <w:rFonts w:hint="default" w:eastAsia="宋体"/>
                      <w:szCs w:val="21"/>
                      <w:lang w:val="en-US" w:eastAsia="zh-CN"/>
                    </w:rPr>
                  </w:pPr>
                  <w:r>
                    <w:rPr>
                      <w:rFonts w:hint="eastAsia"/>
                      <w:szCs w:val="21"/>
                      <w:lang w:val="en-US" w:eastAsia="zh-CN"/>
                    </w:rPr>
                    <w:t>0.0000012/0.00000012</w:t>
                  </w:r>
                </w:p>
              </w:tc>
              <w:tc>
                <w:tcPr>
                  <w:tcW w:w="1812" w:type="dxa"/>
                  <w:vAlign w:val="center"/>
                </w:tcPr>
                <w:p>
                  <w:pPr>
                    <w:adjustRightInd w:val="0"/>
                    <w:snapToGrid w:val="0"/>
                    <w:jc w:val="center"/>
                    <w:rPr>
                      <w:rFonts w:hint="default" w:eastAsia="宋体"/>
                      <w:szCs w:val="21"/>
                      <w:lang w:val="en-US" w:eastAsia="zh-CN"/>
                    </w:rPr>
                  </w:pPr>
                  <w:r>
                    <w:rPr>
                      <w:rFonts w:hint="eastAsia"/>
                      <w:szCs w:val="21"/>
                      <w:lang w:val="en-US" w:eastAsia="zh-CN"/>
                    </w:rPr>
                    <w:t>0.00036/0.000036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restart"/>
                  <w:vAlign w:val="center"/>
                </w:tcPr>
                <w:p>
                  <w:pPr>
                    <w:jc w:val="center"/>
                    <w:rPr>
                      <w:szCs w:val="21"/>
                    </w:rPr>
                  </w:pPr>
                  <w:r>
                    <w:rPr>
                      <w:szCs w:val="21"/>
                    </w:rPr>
                    <w:t>全厂排放口合计</w:t>
                  </w:r>
                </w:p>
              </w:tc>
              <w:tc>
                <w:tcPr>
                  <w:tcW w:w="4712" w:type="dxa"/>
                  <w:gridSpan w:val="3"/>
                  <w:vAlign w:val="center"/>
                </w:tcPr>
                <w:p>
                  <w:pPr>
                    <w:jc w:val="center"/>
                    <w:rPr>
                      <w:szCs w:val="21"/>
                    </w:rPr>
                  </w:pPr>
                  <w:r>
                    <w:rPr>
                      <w:szCs w:val="21"/>
                    </w:rPr>
                    <w:t>COD</w:t>
                  </w:r>
                </w:p>
              </w:tc>
              <w:tc>
                <w:tcPr>
                  <w:tcW w:w="18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0.025/0.0036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712" w:type="dxa"/>
                  <w:gridSpan w:val="3"/>
                  <w:vAlign w:val="center"/>
                </w:tcPr>
                <w:p>
                  <w:pPr>
                    <w:jc w:val="center"/>
                    <w:rPr>
                      <w:szCs w:val="21"/>
                    </w:rPr>
                  </w:pPr>
                  <w:r>
                    <w:rPr>
                      <w:szCs w:val="21"/>
                    </w:rPr>
                    <w:t>SS</w:t>
                  </w:r>
                </w:p>
              </w:tc>
              <w:tc>
                <w:tcPr>
                  <w:tcW w:w="18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0.014/0.00072</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712" w:type="dxa"/>
                  <w:gridSpan w:val="3"/>
                  <w:vAlign w:val="center"/>
                </w:tcPr>
                <w:p>
                  <w:pPr>
                    <w:jc w:val="center"/>
                    <w:rPr>
                      <w:szCs w:val="21"/>
                    </w:rPr>
                  </w:pPr>
                  <w:r>
                    <w:rPr>
                      <w:szCs w:val="21"/>
                    </w:rPr>
                    <w:t>NH3-N</w:t>
                  </w:r>
                </w:p>
              </w:tc>
              <w:tc>
                <w:tcPr>
                  <w:tcW w:w="18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0.0025/0.00036</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712" w:type="dxa"/>
                  <w:gridSpan w:val="3"/>
                  <w:vAlign w:val="center"/>
                </w:tcPr>
                <w:p>
                  <w:pPr>
                    <w:jc w:val="center"/>
                    <w:rPr>
                      <w:szCs w:val="21"/>
                    </w:rPr>
                  </w:pPr>
                  <w:r>
                    <w:rPr>
                      <w:szCs w:val="21"/>
                    </w:rPr>
                    <w:t>TN</w:t>
                  </w:r>
                </w:p>
              </w:tc>
              <w:tc>
                <w:tcPr>
                  <w:tcW w:w="18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0.0032/0.00108</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1" w:type="dxa"/>
                  <w:gridSpan w:val="2"/>
                  <w:vMerge w:val="continue"/>
                  <w:vAlign w:val="center"/>
                </w:tcPr>
                <w:p>
                  <w:pPr>
                    <w:jc w:val="center"/>
                    <w:rPr>
                      <w:szCs w:val="21"/>
                    </w:rPr>
                  </w:pPr>
                </w:p>
              </w:tc>
              <w:tc>
                <w:tcPr>
                  <w:tcW w:w="4712" w:type="dxa"/>
                  <w:gridSpan w:val="3"/>
                  <w:vAlign w:val="center"/>
                </w:tcPr>
                <w:p>
                  <w:pPr>
                    <w:jc w:val="center"/>
                    <w:rPr>
                      <w:szCs w:val="21"/>
                    </w:rPr>
                  </w:pPr>
                  <w:r>
                    <w:rPr>
                      <w:szCs w:val="21"/>
                    </w:rPr>
                    <w:t>TP</w:t>
                  </w:r>
                </w:p>
              </w:tc>
              <w:tc>
                <w:tcPr>
                  <w:tcW w:w="1812" w:type="dxa"/>
                  <w:vAlign w:val="center"/>
                </w:tcPr>
                <w:p>
                  <w:pPr>
                    <w:adjustRightInd w:val="0"/>
                    <w:snapToGrid w:val="0"/>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0.00036/0.000036</w:t>
                  </w:r>
                </w:p>
              </w:tc>
            </w:tr>
          </w:tbl>
          <w:p>
            <w:pPr>
              <w:spacing w:line="360" w:lineRule="auto"/>
              <w:ind w:firstLine="361"/>
              <w:rPr>
                <w:b/>
                <w:sz w:val="18"/>
                <w:szCs w:val="18"/>
              </w:rPr>
            </w:pPr>
            <w:r>
              <w:rPr>
                <w:b/>
                <w:sz w:val="18"/>
                <w:szCs w:val="18"/>
              </w:rPr>
              <w:t>注：</w:t>
            </w:r>
            <w:r>
              <w:rPr>
                <w:rFonts w:hint="eastAsia"/>
                <w:b/>
                <w:sz w:val="18"/>
                <w:szCs w:val="18"/>
              </w:rPr>
              <w:t>*/</w:t>
            </w:r>
            <w:r>
              <w:rPr>
                <w:b/>
                <w:sz w:val="18"/>
                <w:szCs w:val="18"/>
              </w:rPr>
              <w:t>前为接管量，</w:t>
            </w:r>
            <w:r>
              <w:rPr>
                <w:rFonts w:hint="eastAsia"/>
                <w:b/>
                <w:sz w:val="18"/>
                <w:szCs w:val="18"/>
              </w:rPr>
              <w:t>/后</w:t>
            </w:r>
            <w:r>
              <w:rPr>
                <w:b/>
                <w:sz w:val="18"/>
                <w:szCs w:val="18"/>
              </w:rPr>
              <w:t>为污水处理厂最终外排量。</w:t>
            </w:r>
          </w:p>
          <w:p>
            <w:pPr>
              <w:adjustRightInd w:val="0"/>
              <w:snapToGrid w:val="0"/>
              <w:spacing w:line="360" w:lineRule="auto"/>
              <w:ind w:left="482"/>
              <w:rPr>
                <w:b/>
                <w:sz w:val="24"/>
              </w:rPr>
            </w:pPr>
            <w:r>
              <w:rPr>
                <w:rFonts w:hint="eastAsia"/>
                <w:b/>
                <w:sz w:val="24"/>
              </w:rPr>
              <w:t>(3)</w:t>
            </w:r>
            <w:r>
              <w:rPr>
                <w:b/>
                <w:sz w:val="24"/>
              </w:rPr>
              <w:t>接管可行性分析</w:t>
            </w:r>
          </w:p>
          <w:p>
            <w:pPr>
              <w:adjustRightInd w:val="0"/>
              <w:snapToGrid w:val="0"/>
              <w:spacing w:line="360" w:lineRule="auto"/>
              <w:ind w:firstLine="482" w:firstLineChars="200"/>
              <w:rPr>
                <w:b/>
                <w:sz w:val="24"/>
              </w:rPr>
            </w:pPr>
            <w:r>
              <w:rPr>
                <w:b/>
                <w:sz w:val="24"/>
              </w:rPr>
              <w:fldChar w:fldCharType="begin"/>
            </w:r>
            <w:r>
              <w:rPr>
                <w:b/>
                <w:sz w:val="24"/>
              </w:rPr>
              <w:instrText xml:space="preserve"> = 1 \* GB3 </w:instrText>
            </w:r>
            <w:r>
              <w:rPr>
                <w:b/>
                <w:sz w:val="24"/>
              </w:rPr>
              <w:fldChar w:fldCharType="separate"/>
            </w:r>
            <w:r>
              <w:rPr>
                <w:rFonts w:hint="eastAsia" w:ascii="宋体" w:hAnsi="宋体" w:cs="宋体"/>
                <w:b/>
                <w:sz w:val="24"/>
              </w:rPr>
              <w:t>①</w:t>
            </w:r>
            <w:r>
              <w:rPr>
                <w:b/>
                <w:sz w:val="24"/>
              </w:rPr>
              <w:fldChar w:fldCharType="end"/>
            </w:r>
            <w:r>
              <w:rPr>
                <w:rFonts w:hint="eastAsia"/>
                <w:b/>
                <w:sz w:val="24"/>
              </w:rPr>
              <w:t>宜兴市华骐污水处理厂</w:t>
            </w:r>
            <w:r>
              <w:rPr>
                <w:b/>
                <w:sz w:val="24"/>
              </w:rPr>
              <w:t>概况</w:t>
            </w:r>
          </w:p>
          <w:p>
            <w:pPr>
              <w:adjustRightInd w:val="0"/>
              <w:snapToGrid w:val="0"/>
              <w:spacing w:line="360" w:lineRule="auto"/>
              <w:ind w:firstLine="480" w:firstLineChars="200"/>
              <w:textAlignment w:val="baseline"/>
              <w:rPr>
                <w:rFonts w:hAnsi="宋体"/>
                <w:sz w:val="24"/>
                <w:lang w:val="zh-CN"/>
              </w:rPr>
            </w:pPr>
            <w:r>
              <w:rPr>
                <w:rFonts w:hint="eastAsia" w:hAnsi="宋体"/>
                <w:sz w:val="24"/>
                <w:lang w:val="zh-CN"/>
              </w:rPr>
              <w:t>宜兴市华骐污水处理厂位于丁蜀镇蠡河路、青云河交叉口东北侧，规划用地43亩。一期建设规模为2.5万吨/日，项目总投资概算6000万元。项目分两部建设，先行建设1万吨/日，于2008年2月竣工，于2009年10月通过宜兴市环境保护局“三同时”验收，并于2012年2月通过了二阶段（1.5万吨/日）项目的“三同时”验收。2016年8月开工建设改扩建项目，建设规模为日处理污水3万t/d，于2018年4月27日通过竣工环保验收（〔2018〕009号）。污水收集范围覆盖丁蜀城区及陶瓷产业园区，在处理城市生活污水的同时，处理工业污水。污水处理工艺采用前置反硝化曝气生物滤池工艺，建设标准已按照上级关于太湖水污染防治工作新的要求，在原设计并经批准的《城镇污水处理厂污染物排放标准》（GB18918-2002）一级B标准基础上，调整设计执行一级A标准，尾水实现达标排放。</w:t>
            </w:r>
          </w:p>
          <w:p>
            <w:pPr>
              <w:adjustRightInd w:val="0"/>
              <w:snapToGrid w:val="0"/>
              <w:spacing w:line="360" w:lineRule="auto"/>
              <w:ind w:firstLine="480" w:firstLineChars="200"/>
              <w:textAlignment w:val="baseline"/>
              <w:rPr>
                <w:rFonts w:hAnsi="宋体"/>
                <w:sz w:val="24"/>
                <w:lang w:val="zh-CN"/>
              </w:rPr>
            </w:pPr>
            <w:r>
              <w:rPr>
                <w:rFonts w:hint="eastAsia" w:hAnsi="宋体"/>
                <w:sz w:val="24"/>
                <w:lang w:val="zh-CN"/>
              </w:rPr>
              <w:t>配套污水收集管网由丁蜀镇政府负责建设。一期总投资6200万元，工程包括主管网、支管网和提升泵站建设，目前一期管网工程已全部完工，覆盖丁蜀镇城区29个小区和产业园区近百家企业完成了纳管工作。</w:t>
            </w:r>
          </w:p>
          <w:p>
            <w:pPr>
              <w:adjustRightInd w:val="0"/>
              <w:snapToGrid w:val="0"/>
              <w:spacing w:line="360" w:lineRule="auto"/>
              <w:ind w:firstLine="480" w:firstLineChars="200"/>
              <w:textAlignment w:val="baseline"/>
              <w:rPr>
                <w:rFonts w:hint="eastAsia" w:hAnsi="宋体"/>
                <w:sz w:val="24"/>
                <w:lang w:val="zh-CN"/>
              </w:rPr>
            </w:pPr>
            <w:r>
              <w:rPr>
                <w:rFonts w:hint="eastAsia" w:hAnsi="宋体"/>
                <w:sz w:val="24"/>
                <w:lang w:val="zh-CN"/>
              </w:rPr>
              <w:t>宜兴市华骐污水处理厂工艺流程框图如下：</w:t>
            </w:r>
          </w:p>
          <w:p>
            <w:pPr>
              <w:pStyle w:val="2"/>
              <w:rPr>
                <w:rFonts w:hint="eastAsia" w:hAnsi="宋体"/>
                <w:sz w:val="24"/>
                <w:lang w:val="zh-CN"/>
              </w:rPr>
            </w:pPr>
          </w:p>
          <w:p>
            <w:pPr>
              <w:pStyle w:val="2"/>
              <w:rPr>
                <w:rFonts w:hint="eastAsia" w:hAnsi="宋体"/>
                <w:sz w:val="24"/>
                <w:lang w:val="zh-CN"/>
              </w:rPr>
            </w:pPr>
          </w:p>
          <w:p>
            <w:pPr>
              <w:pStyle w:val="2"/>
              <w:rPr>
                <w:rFonts w:hint="eastAsia" w:hAnsi="宋体"/>
                <w:sz w:val="24"/>
                <w:lang w:val="zh-CN"/>
              </w:rPr>
            </w:pPr>
          </w:p>
          <w:p>
            <w:pPr>
              <w:pStyle w:val="2"/>
              <w:rPr>
                <w:rFonts w:hint="eastAsia" w:hAnsi="宋体"/>
                <w:sz w:val="24"/>
                <w:lang w:val="zh-CN"/>
              </w:rPr>
            </w:pPr>
          </w:p>
          <w:p>
            <w:pPr>
              <w:pStyle w:val="2"/>
              <w:rPr>
                <w:rFonts w:hint="eastAsia" w:hAnsi="宋体"/>
                <w:sz w:val="24"/>
                <w:lang w:val="zh-CN"/>
              </w:rPr>
            </w:pPr>
          </w:p>
          <w:p>
            <w:pPr>
              <w:pStyle w:val="2"/>
              <w:rPr>
                <w:rFonts w:hint="eastAsia" w:hAnsi="宋体"/>
                <w:sz w:val="24"/>
                <w:lang w:val="zh-CN"/>
              </w:rPr>
            </w:pPr>
          </w:p>
          <w:p>
            <w:pPr>
              <w:spacing w:line="348" w:lineRule="auto"/>
              <w:ind w:firstLine="480" w:firstLineChars="200"/>
              <w:textAlignment w:val="baseline"/>
              <w:rPr>
                <w:rFonts w:hAnsi="宋体"/>
                <w:sz w:val="24"/>
                <w:lang w:val="zh-CN"/>
              </w:rPr>
            </w:pPr>
            <w:r>
              <w:rPr>
                <w:rFonts w:hAnsi="宋体"/>
                <w:sz w:val="24"/>
                <w:lang w:val="en-US"/>
              </w:rPr>
              <w:drawing>
                <wp:inline distT="0" distB="0" distL="0" distR="0">
                  <wp:extent cx="4924425" cy="35623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srcRect/>
                          <a:stretch>
                            <a:fillRect/>
                          </a:stretch>
                        </pic:blipFill>
                        <pic:spPr>
                          <a:xfrm>
                            <a:off x="0" y="0"/>
                            <a:ext cx="4924425" cy="3562350"/>
                          </a:xfrm>
                          <a:prstGeom prst="rect">
                            <a:avLst/>
                          </a:prstGeom>
                          <a:noFill/>
                          <a:ln w="9525">
                            <a:noFill/>
                            <a:miter lim="800000"/>
                            <a:headEnd/>
                            <a:tailEnd/>
                          </a:ln>
                        </pic:spPr>
                      </pic:pic>
                    </a:graphicData>
                  </a:graphic>
                </wp:inline>
              </w:drawing>
            </w:r>
          </w:p>
          <w:p>
            <w:pPr>
              <w:spacing w:line="360" w:lineRule="auto"/>
              <w:jc w:val="center"/>
              <w:rPr>
                <w:sz w:val="24"/>
                <w:szCs w:val="24"/>
              </w:rPr>
            </w:pPr>
            <w:r>
              <w:rPr>
                <w:rFonts w:hint="eastAsia" w:hAnsi="宋体"/>
                <w:b/>
                <w:sz w:val="24"/>
                <w:szCs w:val="24"/>
                <w:lang w:val="zh-CN"/>
              </w:rPr>
              <w:t>图</w:t>
            </w:r>
            <w:r>
              <w:rPr>
                <w:rFonts w:hAnsi="宋体"/>
                <w:b/>
                <w:sz w:val="24"/>
                <w:szCs w:val="24"/>
                <w:lang w:val="zh-CN"/>
              </w:rPr>
              <w:t xml:space="preserve">7-1  </w:t>
            </w:r>
            <w:r>
              <w:rPr>
                <w:rFonts w:hint="eastAsia" w:hAnsi="宋体"/>
                <w:b/>
                <w:sz w:val="24"/>
                <w:szCs w:val="24"/>
                <w:lang w:val="zh-CN"/>
              </w:rPr>
              <w:t>宜兴市华骐污水处理厂工艺流程框图</w:t>
            </w:r>
          </w:p>
          <w:p>
            <w:pPr>
              <w:tabs>
                <w:tab w:val="left" w:pos="3118"/>
              </w:tabs>
              <w:snapToGrid w:val="0"/>
              <w:spacing w:line="500" w:lineRule="exact"/>
              <w:ind w:firstLine="480" w:firstLineChars="200"/>
              <w:rPr>
                <w:sz w:val="24"/>
              </w:rPr>
            </w:pPr>
            <w:r>
              <w:rPr>
                <w:rFonts w:hint="eastAsia"/>
                <w:sz w:val="24"/>
                <w:szCs w:val="24"/>
              </w:rPr>
              <w:t>根据</w:t>
            </w:r>
            <w:r>
              <w:rPr>
                <w:rFonts w:hint="eastAsia" w:hAnsi="宋体"/>
                <w:sz w:val="24"/>
              </w:rPr>
              <w:t>宜兴市华骐污水处理有限公司</w:t>
            </w:r>
            <w:r>
              <w:rPr>
                <w:rFonts w:hint="eastAsia"/>
                <w:sz w:val="24"/>
                <w:szCs w:val="24"/>
              </w:rPr>
              <w:t>环评预测结果，该污水处理厂在正常运行状态下，对区域水环境影响较小，除</w:t>
            </w:r>
            <w:r>
              <w:rPr>
                <w:rFonts w:hint="eastAsia" w:hAnsi="宋体"/>
                <w:sz w:val="24"/>
              </w:rPr>
              <w:t>高锰酸盐</w:t>
            </w:r>
            <w:r>
              <w:rPr>
                <w:rFonts w:hint="eastAsia" w:hAnsi="宋体"/>
                <w:sz w:val="24"/>
                <w:lang w:val="en-US"/>
              </w:rPr>
              <w:t>、</w:t>
            </w:r>
            <w:r>
              <w:rPr>
                <w:rFonts w:hint="eastAsia"/>
                <w:sz w:val="24"/>
                <w:szCs w:val="24"/>
                <w:lang w:val="en-US"/>
              </w:rPr>
              <w:t>NH</w:t>
            </w:r>
            <w:r>
              <w:rPr>
                <w:rFonts w:hint="eastAsia"/>
                <w:sz w:val="24"/>
                <w:szCs w:val="24"/>
                <w:vertAlign w:val="subscript"/>
                <w:lang w:val="en-US"/>
              </w:rPr>
              <w:t>3</w:t>
            </w:r>
            <w:r>
              <w:rPr>
                <w:rFonts w:hint="eastAsia"/>
                <w:sz w:val="24"/>
                <w:szCs w:val="24"/>
                <w:lang w:val="en-US"/>
              </w:rPr>
              <w:t>-N</w:t>
            </w:r>
            <w:r>
              <w:rPr>
                <w:rFonts w:hint="eastAsia" w:hAnsi="宋体"/>
                <w:sz w:val="24"/>
              </w:rPr>
              <w:t>指数</w:t>
            </w:r>
            <w:r>
              <w:rPr>
                <w:rFonts w:hint="eastAsia"/>
                <w:sz w:val="24"/>
                <w:szCs w:val="24"/>
                <w:lang w:val="en-US"/>
              </w:rPr>
              <w:t>因本底浓度超标外，其余指标均满足相应标准要求。</w:t>
            </w:r>
          </w:p>
          <w:p>
            <w:pPr>
              <w:tabs>
                <w:tab w:val="left" w:pos="3118"/>
              </w:tabs>
              <w:snapToGrid w:val="0"/>
              <w:spacing w:line="500" w:lineRule="exact"/>
              <w:ind w:firstLine="482" w:firstLineChars="200"/>
              <w:rPr>
                <w:b/>
                <w:sz w:val="24"/>
              </w:rPr>
            </w:pPr>
            <w:r>
              <w:rPr>
                <w:b/>
                <w:sz w:val="24"/>
              </w:rPr>
              <w:fldChar w:fldCharType="begin"/>
            </w:r>
            <w:r>
              <w:rPr>
                <w:b/>
                <w:sz w:val="24"/>
              </w:rPr>
              <w:instrText xml:space="preserve"> = 2 \* GB3 </w:instrText>
            </w:r>
            <w:r>
              <w:rPr>
                <w:b/>
                <w:sz w:val="24"/>
              </w:rPr>
              <w:fldChar w:fldCharType="separate"/>
            </w:r>
            <w:r>
              <w:rPr>
                <w:rFonts w:hint="eastAsia"/>
                <w:b/>
                <w:sz w:val="24"/>
              </w:rPr>
              <w:t>②</w:t>
            </w:r>
            <w:r>
              <w:rPr>
                <w:b/>
                <w:sz w:val="24"/>
              </w:rPr>
              <w:fldChar w:fldCharType="end"/>
            </w:r>
            <w:r>
              <w:rPr>
                <w:b/>
                <w:sz w:val="24"/>
              </w:rPr>
              <w:t>接管可行性</w:t>
            </w:r>
          </w:p>
          <w:p>
            <w:pPr>
              <w:tabs>
                <w:tab w:val="left" w:pos="3780"/>
              </w:tabs>
              <w:snapToGrid w:val="0"/>
              <w:spacing w:line="500" w:lineRule="exact"/>
              <w:ind w:firstLine="480" w:firstLineChars="200"/>
              <w:rPr>
                <w:sz w:val="24"/>
                <w:szCs w:val="28"/>
              </w:rPr>
            </w:pPr>
            <w:r>
              <w:rPr>
                <w:rFonts w:hint="eastAsia"/>
                <w:sz w:val="24"/>
                <w:szCs w:val="28"/>
              </w:rPr>
              <w:t>a．</w:t>
            </w:r>
            <w:r>
              <w:rPr>
                <w:sz w:val="24"/>
                <w:szCs w:val="28"/>
              </w:rPr>
              <w:t>接管处理能力分析</w:t>
            </w:r>
          </w:p>
          <w:p>
            <w:pPr>
              <w:tabs>
                <w:tab w:val="left" w:pos="3780"/>
              </w:tabs>
              <w:snapToGrid w:val="0"/>
              <w:spacing w:line="500" w:lineRule="exact"/>
              <w:ind w:firstLine="480" w:firstLineChars="200"/>
              <w:rPr>
                <w:sz w:val="24"/>
                <w:szCs w:val="28"/>
              </w:rPr>
            </w:pPr>
            <w:r>
              <w:rPr>
                <w:rFonts w:hint="eastAsia"/>
                <w:sz w:val="24"/>
              </w:rPr>
              <w:t>宜兴市华骐污水处理厂处理规模为3.0万吨/天，目前处理量为2.8万吨/天，尚有0.2万吨/天余量，本项目排水量约为</w:t>
            </w:r>
            <w:r>
              <w:rPr>
                <w:rFonts w:hint="eastAsia"/>
                <w:sz w:val="24"/>
                <w:lang w:val="en-US" w:eastAsia="zh-CN"/>
              </w:rPr>
              <w:t>0.24</w:t>
            </w:r>
            <w:r>
              <w:rPr>
                <w:rFonts w:hint="eastAsia"/>
                <w:sz w:val="24"/>
              </w:rPr>
              <w:t>吨/天</w:t>
            </w:r>
            <w:r>
              <w:rPr>
                <w:sz w:val="24"/>
                <w:szCs w:val="28"/>
              </w:rPr>
              <w:t>；</w:t>
            </w:r>
            <w:r>
              <w:rPr>
                <w:rFonts w:hint="eastAsia"/>
                <w:sz w:val="24"/>
                <w:szCs w:val="28"/>
              </w:rPr>
              <w:t>所以</w:t>
            </w:r>
            <w:r>
              <w:rPr>
                <w:sz w:val="24"/>
                <w:szCs w:val="28"/>
              </w:rPr>
              <w:t>本项目生活污水接入</w:t>
            </w:r>
            <w:r>
              <w:rPr>
                <w:rFonts w:hint="eastAsia"/>
                <w:sz w:val="24"/>
              </w:rPr>
              <w:t>宜兴市华骐污水处理厂</w:t>
            </w:r>
            <w:r>
              <w:rPr>
                <w:sz w:val="24"/>
                <w:szCs w:val="28"/>
              </w:rPr>
              <w:t>是可行的。</w:t>
            </w:r>
          </w:p>
          <w:p>
            <w:pPr>
              <w:tabs>
                <w:tab w:val="left" w:pos="3780"/>
              </w:tabs>
              <w:snapToGrid w:val="0"/>
              <w:spacing w:line="500" w:lineRule="exact"/>
              <w:ind w:firstLine="480" w:firstLineChars="200"/>
              <w:rPr>
                <w:sz w:val="24"/>
                <w:szCs w:val="28"/>
              </w:rPr>
            </w:pPr>
            <w:r>
              <w:rPr>
                <w:rFonts w:hint="eastAsia"/>
                <w:sz w:val="24"/>
                <w:szCs w:val="28"/>
              </w:rPr>
              <w:t>b.</w:t>
            </w:r>
            <w:r>
              <w:rPr>
                <w:sz w:val="24"/>
                <w:szCs w:val="28"/>
              </w:rPr>
              <w:t>接管水质可行性分析</w:t>
            </w:r>
          </w:p>
          <w:p>
            <w:pPr>
              <w:tabs>
                <w:tab w:val="left" w:pos="3780"/>
              </w:tabs>
              <w:snapToGrid w:val="0"/>
              <w:spacing w:line="500" w:lineRule="exact"/>
              <w:ind w:firstLine="480" w:firstLineChars="200"/>
              <w:rPr>
                <w:sz w:val="24"/>
                <w:szCs w:val="28"/>
              </w:rPr>
            </w:pPr>
            <w:r>
              <w:rPr>
                <w:sz w:val="24"/>
                <w:szCs w:val="28"/>
              </w:rPr>
              <w:t>生活污水接管浓度均在</w:t>
            </w:r>
            <w:r>
              <w:rPr>
                <w:rFonts w:hint="eastAsia"/>
                <w:sz w:val="24"/>
              </w:rPr>
              <w:t>宜兴市华骐污水处理厂</w:t>
            </w:r>
            <w:r>
              <w:rPr>
                <w:sz w:val="24"/>
                <w:szCs w:val="28"/>
              </w:rPr>
              <w:t>设计进水水质范围内，因此</w:t>
            </w:r>
            <w:r>
              <w:rPr>
                <w:rFonts w:hint="eastAsia"/>
                <w:sz w:val="24"/>
              </w:rPr>
              <w:t>宜兴市华骐污水处理厂</w:t>
            </w:r>
            <w:r>
              <w:rPr>
                <w:sz w:val="24"/>
                <w:szCs w:val="28"/>
              </w:rPr>
              <w:t>有能力接纳本项目产生的污水。拟建项目不会对</w:t>
            </w:r>
            <w:r>
              <w:rPr>
                <w:rFonts w:hint="eastAsia"/>
                <w:sz w:val="24"/>
              </w:rPr>
              <w:t>宜兴市华骐污水处理厂</w:t>
            </w:r>
            <w:r>
              <w:rPr>
                <w:sz w:val="24"/>
                <w:szCs w:val="28"/>
              </w:rPr>
              <w:t>正常运行造成影响。</w:t>
            </w:r>
          </w:p>
          <w:p>
            <w:pPr>
              <w:tabs>
                <w:tab w:val="left" w:pos="3780"/>
              </w:tabs>
              <w:snapToGrid w:val="0"/>
              <w:spacing w:beforeLines="50" w:line="360" w:lineRule="auto"/>
              <w:ind w:firstLine="480" w:firstLineChars="200"/>
              <w:rPr>
                <w:sz w:val="24"/>
                <w:szCs w:val="28"/>
              </w:rPr>
            </w:pPr>
            <w:r>
              <w:rPr>
                <w:rFonts w:hint="eastAsia"/>
                <w:sz w:val="24"/>
                <w:szCs w:val="28"/>
              </w:rPr>
              <w:t>c.</w:t>
            </w:r>
            <w:r>
              <w:rPr>
                <w:sz w:val="24"/>
                <w:szCs w:val="28"/>
              </w:rPr>
              <w:t>污水收集管网</w:t>
            </w:r>
          </w:p>
          <w:p>
            <w:pPr>
              <w:tabs>
                <w:tab w:val="left" w:pos="3780"/>
              </w:tabs>
              <w:snapToGrid w:val="0"/>
              <w:spacing w:line="360" w:lineRule="auto"/>
              <w:ind w:firstLine="480" w:firstLineChars="200"/>
              <w:rPr>
                <w:sz w:val="24"/>
                <w:szCs w:val="28"/>
              </w:rPr>
            </w:pPr>
            <w:r>
              <w:rPr>
                <w:sz w:val="24"/>
                <w:szCs w:val="28"/>
              </w:rPr>
              <w:t>本项目周围污水管网均已铺设到位。因此，污水接入市政污水管网可行。</w:t>
            </w:r>
          </w:p>
          <w:p>
            <w:pPr>
              <w:spacing w:line="360" w:lineRule="auto"/>
              <w:ind w:firstLine="480" w:firstLineChars="200"/>
              <w:rPr>
                <w:sz w:val="24"/>
                <w:szCs w:val="28"/>
              </w:rPr>
            </w:pPr>
            <w:r>
              <w:rPr>
                <w:sz w:val="24"/>
                <w:szCs w:val="28"/>
              </w:rPr>
              <w:t>综上所述，从水质、水量、时间、空间等方面来看，本项目营运期产生的污水接入</w:t>
            </w:r>
            <w:r>
              <w:rPr>
                <w:rFonts w:hint="eastAsia"/>
                <w:sz w:val="24"/>
              </w:rPr>
              <w:t>宜兴市华骐污水处理厂</w:t>
            </w:r>
            <w:r>
              <w:rPr>
                <w:sz w:val="24"/>
                <w:szCs w:val="28"/>
              </w:rPr>
              <w:t>集中处理是切实可行的</w:t>
            </w:r>
            <w:r>
              <w:rPr>
                <w:rFonts w:hint="eastAsia"/>
                <w:sz w:val="24"/>
                <w:szCs w:val="28"/>
              </w:rPr>
              <w:t>。</w:t>
            </w:r>
          </w:p>
          <w:p>
            <w:pPr>
              <w:spacing w:line="360" w:lineRule="auto"/>
              <w:ind w:firstLine="361"/>
              <w:rPr>
                <w:sz w:val="24"/>
                <w:szCs w:val="24"/>
              </w:rPr>
            </w:pPr>
            <w:r>
              <w:rPr>
                <w:rFonts w:hint="eastAsia"/>
                <w:sz w:val="24"/>
                <w:szCs w:val="24"/>
              </w:rPr>
              <w:t>综上，本项目废水排放水质较为简单，因此只要企业做好废水的收集工作，切实做到污水达标排放，对地表水环境影响较小。</w:t>
            </w:r>
          </w:p>
          <w:p>
            <w:pPr>
              <w:pStyle w:val="2"/>
              <w:spacing w:line="360" w:lineRule="auto"/>
              <w:ind w:firstLine="480" w:firstLineChars="200"/>
            </w:pPr>
            <w:r>
              <w:rPr>
                <w:rFonts w:hint="eastAsia"/>
                <w:sz w:val="24"/>
                <w:szCs w:val="24"/>
              </w:rPr>
              <w:t>地表水环境影响评价自查表见表</w:t>
            </w:r>
            <w:r>
              <w:rPr>
                <w:sz w:val="24"/>
                <w:szCs w:val="24"/>
              </w:rPr>
              <w:t>7-18</w:t>
            </w:r>
            <w:r>
              <w:rPr>
                <w:rFonts w:hint="eastAsia"/>
                <w:sz w:val="24"/>
                <w:szCs w:val="24"/>
              </w:rPr>
              <w:t>。</w:t>
            </w:r>
          </w:p>
          <w:p>
            <w:pPr>
              <w:spacing w:afterLines="50"/>
              <w:ind w:firstLine="482"/>
              <w:jc w:val="center"/>
              <w:rPr>
                <w:b/>
                <w:szCs w:val="21"/>
              </w:rPr>
            </w:pPr>
            <w:r>
              <w:rPr>
                <w:b/>
                <w:szCs w:val="21"/>
              </w:rPr>
              <w:t>表7-1</w:t>
            </w:r>
            <w:r>
              <w:rPr>
                <w:rFonts w:hint="eastAsia"/>
                <w:b/>
                <w:szCs w:val="21"/>
              </w:rPr>
              <w:t>8</w:t>
            </w:r>
            <w:r>
              <w:rPr>
                <w:b/>
                <w:szCs w:val="21"/>
              </w:rPr>
              <w:t xml:space="preserve"> 地表水环境影响评价自查表</w:t>
            </w:r>
          </w:p>
          <w:tbl>
            <w:tblPr>
              <w:tblStyle w:val="75"/>
              <w:tblW w:w="8195"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92"/>
              <w:gridCol w:w="1082"/>
              <w:gridCol w:w="1113"/>
              <w:gridCol w:w="360"/>
              <w:gridCol w:w="526"/>
              <w:gridCol w:w="443"/>
              <w:gridCol w:w="612"/>
              <w:gridCol w:w="609"/>
              <w:gridCol w:w="234"/>
              <w:gridCol w:w="317"/>
              <w:gridCol w:w="778"/>
              <w:gridCol w:w="134"/>
              <w:gridCol w:w="384"/>
              <w:gridCol w:w="811"/>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86" w:hRule="atLeast"/>
                <w:tblHeader/>
                <w:jc w:val="center"/>
              </w:trPr>
              <w:tc>
                <w:tcPr>
                  <w:tcW w:w="1874" w:type="dxa"/>
                  <w:gridSpan w:val="2"/>
                  <w:noWrap/>
                  <w:vAlign w:val="center"/>
                </w:tcPr>
                <w:p>
                  <w:pPr>
                    <w:ind w:firstLine="360"/>
                    <w:jc w:val="center"/>
                    <w:rPr>
                      <w:color w:val="000000"/>
                      <w:szCs w:val="21"/>
                    </w:rPr>
                  </w:pPr>
                  <w:r>
                    <w:rPr>
                      <w:rFonts w:hint="eastAsia"/>
                      <w:color w:val="000000"/>
                      <w:szCs w:val="21"/>
                    </w:rPr>
                    <w:t>工作内容</w:t>
                  </w:r>
                </w:p>
              </w:tc>
              <w:tc>
                <w:tcPr>
                  <w:tcW w:w="6321" w:type="dxa"/>
                  <w:gridSpan w:val="12"/>
                  <w:noWrap/>
                  <w:vAlign w:val="center"/>
                </w:tcPr>
                <w:p>
                  <w:pPr>
                    <w:ind w:firstLine="360"/>
                    <w:jc w:val="center"/>
                    <w:rPr>
                      <w:color w:val="000000"/>
                      <w:szCs w:val="21"/>
                    </w:rPr>
                  </w:pPr>
                  <w:r>
                    <w:rPr>
                      <w:rFonts w:hint="eastAsia"/>
                      <w:color w:val="000000"/>
                      <w:szCs w:val="21"/>
                    </w:rPr>
                    <w:t>自查项目</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restart"/>
                  <w:noWrap/>
                  <w:textDirection w:val="tbRlV"/>
                  <w:vAlign w:val="center"/>
                </w:tcPr>
                <w:p>
                  <w:pPr>
                    <w:ind w:firstLine="360"/>
                    <w:jc w:val="center"/>
                    <w:rPr>
                      <w:color w:val="000000"/>
                      <w:szCs w:val="21"/>
                    </w:rPr>
                  </w:pPr>
                  <w:r>
                    <w:rPr>
                      <w:rFonts w:hint="eastAsia"/>
                      <w:color w:val="000000"/>
                      <w:szCs w:val="21"/>
                    </w:rPr>
                    <w:t>影响识别</w:t>
                  </w:r>
                </w:p>
              </w:tc>
              <w:tc>
                <w:tcPr>
                  <w:tcW w:w="1082" w:type="dxa"/>
                  <w:vAlign w:val="center"/>
                </w:tcPr>
                <w:p>
                  <w:pPr>
                    <w:jc w:val="center"/>
                    <w:rPr>
                      <w:color w:val="000000"/>
                      <w:szCs w:val="21"/>
                    </w:rPr>
                  </w:pPr>
                  <w:r>
                    <w:rPr>
                      <w:rFonts w:hint="eastAsia"/>
                      <w:color w:val="000000"/>
                      <w:szCs w:val="21"/>
                    </w:rPr>
                    <w:t>影响类型</w:t>
                  </w:r>
                </w:p>
              </w:tc>
              <w:tc>
                <w:tcPr>
                  <w:tcW w:w="6321" w:type="dxa"/>
                  <w:gridSpan w:val="12"/>
                  <w:noWrap/>
                  <w:vAlign w:val="center"/>
                </w:tcPr>
                <w:p>
                  <w:pPr>
                    <w:ind w:firstLine="360"/>
                    <w:rPr>
                      <w:color w:val="000000"/>
                      <w:szCs w:val="21"/>
                    </w:rPr>
                  </w:pPr>
                  <w:r>
                    <w:rPr>
                      <w:rFonts w:hint="eastAsia"/>
                      <w:color w:val="000000"/>
                      <w:szCs w:val="21"/>
                    </w:rPr>
                    <w:t>水污染影响型</w:t>
                  </w:r>
                  <w:r>
                    <w:rPr>
                      <w:color w:val="000000"/>
                      <w:szCs w:val="21"/>
                    </w:rPr>
                    <w:t xml:space="preserve"> </w:t>
                  </w:r>
                  <w:r>
                    <w:rPr>
                      <w:szCs w:val="21"/>
                    </w:rPr>
                    <w:sym w:font="Wingdings 2" w:char="F052"/>
                  </w:r>
                  <w:r>
                    <w:rPr>
                      <w:rFonts w:hint="eastAsia"/>
                      <w:color w:val="000000"/>
                      <w:szCs w:val="21"/>
                    </w:rPr>
                    <w:t>；水文要素影响型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jc w:val="center"/>
                    <w:rPr>
                      <w:color w:val="000000"/>
                      <w:szCs w:val="21"/>
                    </w:rPr>
                  </w:pPr>
                </w:p>
              </w:tc>
              <w:tc>
                <w:tcPr>
                  <w:tcW w:w="1082" w:type="dxa"/>
                  <w:vAlign w:val="center"/>
                </w:tcPr>
                <w:p>
                  <w:pPr>
                    <w:jc w:val="center"/>
                    <w:rPr>
                      <w:color w:val="000000"/>
                      <w:szCs w:val="21"/>
                    </w:rPr>
                  </w:pPr>
                  <w:r>
                    <w:rPr>
                      <w:rFonts w:hint="eastAsia"/>
                      <w:color w:val="000000"/>
                      <w:szCs w:val="21"/>
                    </w:rPr>
                    <w:t>水环境保护目标</w:t>
                  </w:r>
                </w:p>
              </w:tc>
              <w:tc>
                <w:tcPr>
                  <w:tcW w:w="6321" w:type="dxa"/>
                  <w:gridSpan w:val="12"/>
                  <w:vAlign w:val="center"/>
                </w:tcPr>
                <w:p>
                  <w:pPr>
                    <w:rPr>
                      <w:color w:val="000000"/>
                      <w:szCs w:val="21"/>
                    </w:rPr>
                  </w:pPr>
                  <w:r>
                    <w:rPr>
                      <w:rFonts w:hint="eastAsia"/>
                      <w:color w:val="000000"/>
                      <w:szCs w:val="21"/>
                    </w:rPr>
                    <w:t>饮用水水源保护区 □；饮用水取水口 □；涉水的自然保护区 □；重要湿地 □；</w:t>
                  </w:r>
                  <w:r>
                    <w:rPr>
                      <w:color w:val="000000"/>
                      <w:szCs w:val="21"/>
                    </w:rPr>
                    <w:br w:type="textWrapping"/>
                  </w:r>
                  <w:r>
                    <w:rPr>
                      <w:rFonts w:hint="eastAsia"/>
                      <w:color w:val="000000"/>
                      <w:szCs w:val="21"/>
                    </w:rPr>
                    <w:t>重点保护与珍稀水生生物的栖息地 □；重要水生生物的自然产卵场及索饵场、越冬场和洄游通道、天然渔场等渔业水体 □；涉水的风景名胜区 □；其他</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jc w:val="center"/>
                    <w:rPr>
                      <w:color w:val="000000"/>
                      <w:szCs w:val="21"/>
                    </w:rPr>
                  </w:pPr>
                </w:p>
              </w:tc>
              <w:tc>
                <w:tcPr>
                  <w:tcW w:w="1082" w:type="dxa"/>
                  <w:vMerge w:val="restart"/>
                  <w:vAlign w:val="center"/>
                </w:tcPr>
                <w:p>
                  <w:pPr>
                    <w:jc w:val="center"/>
                    <w:rPr>
                      <w:color w:val="000000"/>
                      <w:szCs w:val="21"/>
                    </w:rPr>
                  </w:pPr>
                  <w:r>
                    <w:rPr>
                      <w:rFonts w:hint="eastAsia"/>
                      <w:color w:val="000000"/>
                      <w:szCs w:val="21"/>
                    </w:rPr>
                    <w:t>影响途径</w:t>
                  </w:r>
                </w:p>
              </w:tc>
              <w:tc>
                <w:tcPr>
                  <w:tcW w:w="3054" w:type="dxa"/>
                  <w:gridSpan w:val="5"/>
                  <w:vAlign w:val="center"/>
                </w:tcPr>
                <w:p>
                  <w:pPr>
                    <w:ind w:firstLine="360"/>
                    <w:jc w:val="center"/>
                    <w:rPr>
                      <w:color w:val="000000"/>
                      <w:szCs w:val="21"/>
                    </w:rPr>
                  </w:pPr>
                  <w:r>
                    <w:rPr>
                      <w:rFonts w:hint="eastAsia"/>
                      <w:color w:val="000000"/>
                      <w:szCs w:val="21"/>
                    </w:rPr>
                    <w:t>水污染影响型</w:t>
                  </w:r>
                </w:p>
              </w:tc>
              <w:tc>
                <w:tcPr>
                  <w:tcW w:w="3267" w:type="dxa"/>
                  <w:gridSpan w:val="7"/>
                  <w:vAlign w:val="center"/>
                </w:tcPr>
                <w:p>
                  <w:pPr>
                    <w:ind w:firstLine="360"/>
                    <w:jc w:val="center"/>
                    <w:rPr>
                      <w:color w:val="000000"/>
                      <w:szCs w:val="21"/>
                    </w:rPr>
                  </w:pPr>
                  <w:r>
                    <w:rPr>
                      <w:rFonts w:hint="eastAsia"/>
                      <w:color w:val="000000"/>
                      <w:szCs w:val="21"/>
                    </w:rPr>
                    <w:t>水文要素影响型</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jc w:val="center"/>
                    <w:rPr>
                      <w:color w:val="000000"/>
                      <w:szCs w:val="21"/>
                    </w:rPr>
                  </w:pPr>
                </w:p>
              </w:tc>
              <w:tc>
                <w:tcPr>
                  <w:tcW w:w="1082" w:type="dxa"/>
                  <w:vMerge w:val="continue"/>
                  <w:vAlign w:val="center"/>
                </w:tcPr>
                <w:p>
                  <w:pPr>
                    <w:ind w:firstLine="360"/>
                    <w:jc w:val="center"/>
                    <w:rPr>
                      <w:color w:val="000000"/>
                      <w:szCs w:val="21"/>
                    </w:rPr>
                  </w:pPr>
                </w:p>
              </w:tc>
              <w:tc>
                <w:tcPr>
                  <w:tcW w:w="3054" w:type="dxa"/>
                  <w:gridSpan w:val="5"/>
                  <w:vAlign w:val="center"/>
                </w:tcPr>
                <w:p>
                  <w:pPr>
                    <w:rPr>
                      <w:color w:val="000000"/>
                      <w:szCs w:val="21"/>
                    </w:rPr>
                  </w:pPr>
                  <w:r>
                    <w:rPr>
                      <w:rFonts w:hint="eastAsia"/>
                      <w:color w:val="000000"/>
                      <w:szCs w:val="21"/>
                    </w:rPr>
                    <w:t>直接排放 □；间接排放</w:t>
                  </w:r>
                  <w:r>
                    <w:rPr>
                      <w:color w:val="000000"/>
                      <w:szCs w:val="21"/>
                    </w:rPr>
                    <w:t xml:space="preserve"> </w:t>
                  </w:r>
                  <w:r>
                    <w:rPr>
                      <w:szCs w:val="21"/>
                    </w:rPr>
                    <w:sym w:font="Wingdings 2" w:char="F052"/>
                  </w:r>
                  <w:r>
                    <w:rPr>
                      <w:rFonts w:hint="eastAsia"/>
                      <w:color w:val="000000"/>
                      <w:szCs w:val="21"/>
                    </w:rPr>
                    <w:t>；其他</w:t>
                  </w:r>
                  <w:r>
                    <w:rPr>
                      <w:color w:val="000000"/>
                      <w:szCs w:val="21"/>
                    </w:rPr>
                    <w:t xml:space="preserve"> </w:t>
                  </w:r>
                  <w:r>
                    <w:rPr>
                      <w:rFonts w:hint="eastAsia"/>
                      <w:color w:val="000000"/>
                      <w:szCs w:val="21"/>
                    </w:rPr>
                    <w:t>□</w:t>
                  </w:r>
                </w:p>
              </w:tc>
              <w:tc>
                <w:tcPr>
                  <w:tcW w:w="3267" w:type="dxa"/>
                  <w:gridSpan w:val="7"/>
                  <w:vAlign w:val="center"/>
                </w:tcPr>
                <w:p>
                  <w:pPr>
                    <w:ind w:firstLine="360"/>
                    <w:rPr>
                      <w:color w:val="000000"/>
                      <w:szCs w:val="21"/>
                    </w:rPr>
                  </w:pPr>
                  <w:r>
                    <w:rPr>
                      <w:rFonts w:hint="eastAsia"/>
                      <w:color w:val="000000"/>
                      <w:szCs w:val="21"/>
                    </w:rPr>
                    <w:t>水温 □；径流 □；水域面积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jc w:val="center"/>
                    <w:rPr>
                      <w:color w:val="000000"/>
                      <w:szCs w:val="21"/>
                    </w:rPr>
                  </w:pPr>
                </w:p>
              </w:tc>
              <w:tc>
                <w:tcPr>
                  <w:tcW w:w="1082" w:type="dxa"/>
                  <w:vAlign w:val="center"/>
                </w:tcPr>
                <w:p>
                  <w:pPr>
                    <w:jc w:val="center"/>
                    <w:rPr>
                      <w:color w:val="000000"/>
                      <w:szCs w:val="21"/>
                    </w:rPr>
                  </w:pPr>
                  <w:r>
                    <w:rPr>
                      <w:rFonts w:hint="eastAsia"/>
                      <w:color w:val="000000"/>
                      <w:szCs w:val="21"/>
                    </w:rPr>
                    <w:t>影响因子</w:t>
                  </w:r>
                </w:p>
              </w:tc>
              <w:tc>
                <w:tcPr>
                  <w:tcW w:w="3054" w:type="dxa"/>
                  <w:gridSpan w:val="5"/>
                  <w:vAlign w:val="center"/>
                </w:tcPr>
                <w:p>
                  <w:pPr>
                    <w:rPr>
                      <w:color w:val="000000"/>
                      <w:szCs w:val="21"/>
                    </w:rPr>
                  </w:pPr>
                  <w:r>
                    <w:rPr>
                      <w:rFonts w:hint="eastAsia"/>
                      <w:color w:val="000000"/>
                      <w:szCs w:val="21"/>
                    </w:rPr>
                    <w:t>持久性污染物 □；有毒有害污染物 □；非持久性污染物</w:t>
                  </w:r>
                  <w:r>
                    <w:rPr>
                      <w:szCs w:val="21"/>
                    </w:rPr>
                    <w:sym w:font="Wingdings 2" w:char="F052"/>
                  </w:r>
                  <w:r>
                    <w:rPr>
                      <w:rFonts w:hint="eastAsia"/>
                      <w:color w:val="000000"/>
                      <w:szCs w:val="21"/>
                    </w:rPr>
                    <w:t>；</w:t>
                  </w:r>
                  <w:r>
                    <w:rPr>
                      <w:color w:val="000000"/>
                      <w:szCs w:val="21"/>
                    </w:rPr>
                    <w:t>pH</w:t>
                  </w:r>
                  <w:r>
                    <w:rPr>
                      <w:rFonts w:hint="eastAsia"/>
                      <w:color w:val="000000"/>
                      <w:szCs w:val="21"/>
                    </w:rPr>
                    <w:t>值 □；热污染 □；富营养化 □；其他 □</w:t>
                  </w:r>
                </w:p>
              </w:tc>
              <w:tc>
                <w:tcPr>
                  <w:tcW w:w="3267" w:type="dxa"/>
                  <w:gridSpan w:val="7"/>
                  <w:vAlign w:val="center"/>
                </w:tcPr>
                <w:p>
                  <w:pPr>
                    <w:rPr>
                      <w:color w:val="000000"/>
                      <w:szCs w:val="21"/>
                    </w:rPr>
                  </w:pPr>
                  <w:r>
                    <w:rPr>
                      <w:rFonts w:hint="eastAsia"/>
                      <w:color w:val="000000"/>
                      <w:szCs w:val="21"/>
                    </w:rPr>
                    <w:t>水温 □；水位（水深） □；流速 □；流量 □；其他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restart"/>
                  <w:noWrap/>
                  <w:vAlign w:val="center"/>
                </w:tcPr>
                <w:p>
                  <w:pPr>
                    <w:jc w:val="center"/>
                    <w:rPr>
                      <w:color w:val="000000"/>
                      <w:szCs w:val="21"/>
                    </w:rPr>
                  </w:pPr>
                  <w:r>
                    <w:rPr>
                      <w:rFonts w:hint="eastAsia"/>
                      <w:color w:val="000000"/>
                      <w:szCs w:val="21"/>
                    </w:rPr>
                    <w:t>评价等级</w:t>
                  </w:r>
                </w:p>
              </w:tc>
              <w:tc>
                <w:tcPr>
                  <w:tcW w:w="3054" w:type="dxa"/>
                  <w:gridSpan w:val="5"/>
                  <w:noWrap/>
                  <w:vAlign w:val="center"/>
                </w:tcPr>
                <w:p>
                  <w:pPr>
                    <w:ind w:firstLine="360"/>
                    <w:jc w:val="center"/>
                    <w:rPr>
                      <w:color w:val="000000"/>
                      <w:szCs w:val="21"/>
                    </w:rPr>
                  </w:pPr>
                  <w:r>
                    <w:rPr>
                      <w:rFonts w:hint="eastAsia"/>
                      <w:color w:val="000000"/>
                      <w:szCs w:val="21"/>
                    </w:rPr>
                    <w:t>水污染影响型</w:t>
                  </w:r>
                </w:p>
              </w:tc>
              <w:tc>
                <w:tcPr>
                  <w:tcW w:w="3267" w:type="dxa"/>
                  <w:gridSpan w:val="7"/>
                  <w:vAlign w:val="center"/>
                </w:tcPr>
                <w:p>
                  <w:pPr>
                    <w:ind w:firstLine="360"/>
                    <w:jc w:val="center"/>
                    <w:rPr>
                      <w:color w:val="000000"/>
                      <w:szCs w:val="21"/>
                    </w:rPr>
                  </w:pPr>
                  <w:r>
                    <w:rPr>
                      <w:rFonts w:hint="eastAsia"/>
                      <w:color w:val="000000"/>
                      <w:szCs w:val="21"/>
                    </w:rPr>
                    <w:t>水文要素影响型</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vMerge w:val="continue"/>
                  <w:noWrap/>
                  <w:vAlign w:val="center"/>
                </w:tcPr>
                <w:p>
                  <w:pPr>
                    <w:ind w:firstLine="360"/>
                    <w:jc w:val="center"/>
                    <w:rPr>
                      <w:color w:val="000000"/>
                      <w:szCs w:val="21"/>
                    </w:rPr>
                  </w:pPr>
                </w:p>
              </w:tc>
              <w:tc>
                <w:tcPr>
                  <w:tcW w:w="3054" w:type="dxa"/>
                  <w:gridSpan w:val="5"/>
                  <w:noWrap/>
                  <w:vAlign w:val="center"/>
                </w:tcPr>
                <w:p>
                  <w:pPr>
                    <w:ind w:firstLine="360"/>
                    <w:rPr>
                      <w:color w:val="000000"/>
                      <w:szCs w:val="21"/>
                    </w:rPr>
                  </w:pPr>
                  <w:r>
                    <w:rPr>
                      <w:rFonts w:hint="eastAsia"/>
                      <w:color w:val="000000"/>
                      <w:szCs w:val="21"/>
                    </w:rPr>
                    <w:t>一级 □；二级 □；三级</w:t>
                  </w:r>
                  <w:r>
                    <w:rPr>
                      <w:color w:val="000000"/>
                      <w:szCs w:val="21"/>
                    </w:rPr>
                    <w:t xml:space="preserve">A </w:t>
                  </w:r>
                  <w:r>
                    <w:rPr>
                      <w:rFonts w:hint="eastAsia"/>
                      <w:color w:val="000000"/>
                      <w:szCs w:val="21"/>
                    </w:rPr>
                    <w:t>□；三级</w:t>
                  </w:r>
                  <w:r>
                    <w:rPr>
                      <w:color w:val="000000"/>
                      <w:szCs w:val="21"/>
                    </w:rPr>
                    <w:t xml:space="preserve">B </w:t>
                  </w:r>
                  <w:r>
                    <w:rPr>
                      <w:szCs w:val="21"/>
                    </w:rPr>
                    <w:sym w:font="Wingdings 2" w:char="F052"/>
                  </w:r>
                </w:p>
              </w:tc>
              <w:tc>
                <w:tcPr>
                  <w:tcW w:w="3267" w:type="dxa"/>
                  <w:gridSpan w:val="7"/>
                  <w:vAlign w:val="center"/>
                </w:tcPr>
                <w:p>
                  <w:pPr>
                    <w:ind w:firstLine="360"/>
                    <w:rPr>
                      <w:color w:val="000000"/>
                      <w:szCs w:val="21"/>
                    </w:rPr>
                  </w:pPr>
                  <w:r>
                    <w:rPr>
                      <w:rFonts w:hint="eastAsia"/>
                      <w:color w:val="000000"/>
                      <w:szCs w:val="21"/>
                    </w:rPr>
                    <w:t>一级 □；二级 □；三级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restart"/>
                  <w:noWrap/>
                  <w:textDirection w:val="tbRlV"/>
                  <w:vAlign w:val="center"/>
                </w:tcPr>
                <w:p>
                  <w:pPr>
                    <w:ind w:firstLine="360"/>
                    <w:jc w:val="center"/>
                    <w:rPr>
                      <w:color w:val="000000"/>
                      <w:szCs w:val="21"/>
                    </w:rPr>
                  </w:pPr>
                  <w:r>
                    <w:rPr>
                      <w:rFonts w:hint="eastAsia"/>
                      <w:color w:val="000000"/>
                      <w:szCs w:val="21"/>
                    </w:rPr>
                    <w:t>现状调查</w:t>
                  </w:r>
                </w:p>
              </w:tc>
              <w:tc>
                <w:tcPr>
                  <w:tcW w:w="1082" w:type="dxa"/>
                  <w:vMerge w:val="restart"/>
                  <w:vAlign w:val="center"/>
                </w:tcPr>
                <w:p>
                  <w:pPr>
                    <w:jc w:val="center"/>
                    <w:rPr>
                      <w:color w:val="000000"/>
                      <w:szCs w:val="21"/>
                    </w:rPr>
                  </w:pPr>
                  <w:r>
                    <w:rPr>
                      <w:rFonts w:hint="eastAsia"/>
                      <w:color w:val="000000"/>
                      <w:szCs w:val="21"/>
                    </w:rPr>
                    <w:t>区域污染源</w:t>
                  </w:r>
                </w:p>
              </w:tc>
              <w:tc>
                <w:tcPr>
                  <w:tcW w:w="3054" w:type="dxa"/>
                  <w:gridSpan w:val="5"/>
                  <w:noWrap/>
                  <w:vAlign w:val="center"/>
                </w:tcPr>
                <w:p>
                  <w:pPr>
                    <w:ind w:firstLine="360"/>
                    <w:jc w:val="center"/>
                    <w:rPr>
                      <w:color w:val="000000"/>
                      <w:szCs w:val="21"/>
                    </w:rPr>
                  </w:pPr>
                  <w:r>
                    <w:rPr>
                      <w:rFonts w:hint="eastAsia"/>
                      <w:color w:val="000000"/>
                      <w:szCs w:val="21"/>
                    </w:rPr>
                    <w:t>调查项目</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473" w:type="dxa"/>
                  <w:gridSpan w:val="2"/>
                  <w:vAlign w:val="center"/>
                </w:tcPr>
                <w:p>
                  <w:pPr>
                    <w:rPr>
                      <w:color w:val="000000"/>
                      <w:szCs w:val="21"/>
                    </w:rPr>
                  </w:pPr>
                  <w:r>
                    <w:rPr>
                      <w:rFonts w:hint="eastAsia"/>
                      <w:color w:val="000000"/>
                      <w:szCs w:val="21"/>
                    </w:rPr>
                    <w:t>已建</w:t>
                  </w:r>
                  <w:r>
                    <w:rPr>
                      <w:color w:val="000000"/>
                      <w:szCs w:val="21"/>
                    </w:rPr>
                    <w:t xml:space="preserve"> </w:t>
                  </w:r>
                  <w:r>
                    <w:rPr>
                      <w:color w:val="000000"/>
                      <w:szCs w:val="21"/>
                    </w:rPr>
                    <w:sym w:font="Wingdings 2" w:char="00A3"/>
                  </w:r>
                  <w:r>
                    <w:rPr>
                      <w:rFonts w:hint="eastAsia"/>
                      <w:color w:val="000000"/>
                      <w:szCs w:val="21"/>
                    </w:rPr>
                    <w:t>；在建 □；拟建</w:t>
                  </w:r>
                  <w:r>
                    <w:rPr>
                      <w:color w:val="000000"/>
                      <w:szCs w:val="21"/>
                    </w:rPr>
                    <w:t xml:space="preserve"> </w:t>
                  </w:r>
                  <w:r>
                    <w:rPr>
                      <w:rFonts w:hint="eastAsia"/>
                      <w:color w:val="000000"/>
                      <w:szCs w:val="21"/>
                    </w:rPr>
                    <w:t>□；其他 □</w:t>
                  </w:r>
                </w:p>
              </w:tc>
              <w:tc>
                <w:tcPr>
                  <w:tcW w:w="1581" w:type="dxa"/>
                  <w:gridSpan w:val="3"/>
                  <w:vAlign w:val="center"/>
                </w:tcPr>
                <w:p>
                  <w:pPr>
                    <w:rPr>
                      <w:color w:val="000000"/>
                      <w:szCs w:val="21"/>
                    </w:rPr>
                  </w:pPr>
                  <w:r>
                    <w:rPr>
                      <w:rFonts w:hint="eastAsia"/>
                      <w:color w:val="000000"/>
                      <w:szCs w:val="21"/>
                    </w:rPr>
                    <w:t>拟替代的污染源</w:t>
                  </w:r>
                  <w:r>
                    <w:rPr>
                      <w:color w:val="000000"/>
                      <w:szCs w:val="21"/>
                    </w:rPr>
                    <w:t xml:space="preserve"> </w:t>
                  </w:r>
                  <w:r>
                    <w:rPr>
                      <w:rFonts w:hint="eastAsia"/>
                      <w:color w:val="000000"/>
                      <w:szCs w:val="21"/>
                    </w:rPr>
                    <w:t>□</w:t>
                  </w:r>
                </w:p>
              </w:tc>
              <w:tc>
                <w:tcPr>
                  <w:tcW w:w="3267" w:type="dxa"/>
                  <w:gridSpan w:val="7"/>
                  <w:vAlign w:val="center"/>
                </w:tcPr>
                <w:p>
                  <w:pPr>
                    <w:rPr>
                      <w:color w:val="000000"/>
                      <w:szCs w:val="21"/>
                    </w:rPr>
                  </w:pPr>
                  <w:r>
                    <w:rPr>
                      <w:rFonts w:hint="eastAsia"/>
                      <w:color w:val="000000"/>
                      <w:szCs w:val="21"/>
                    </w:rPr>
                    <w:t>排污许可证 □；环评 □；环保验收 □；既有实测</w:t>
                  </w:r>
                  <w:r>
                    <w:rPr>
                      <w:color w:val="000000"/>
                      <w:szCs w:val="21"/>
                    </w:rPr>
                    <w:t xml:space="preserve"> </w:t>
                  </w:r>
                  <w:r>
                    <w:rPr>
                      <w:color w:val="000000"/>
                      <w:szCs w:val="21"/>
                    </w:rPr>
                    <w:sym w:font="Wingdings 2" w:char="00A3"/>
                  </w:r>
                  <w:r>
                    <w:rPr>
                      <w:rFonts w:hint="eastAsia"/>
                      <w:color w:val="000000"/>
                      <w:szCs w:val="21"/>
                    </w:rPr>
                    <w:t>；现场监测 □；入河排放口数据 □；其他</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restart"/>
                  <w:vAlign w:val="center"/>
                </w:tcPr>
                <w:p>
                  <w:pPr>
                    <w:jc w:val="center"/>
                    <w:rPr>
                      <w:color w:val="000000"/>
                      <w:szCs w:val="21"/>
                    </w:rPr>
                  </w:pPr>
                  <w:r>
                    <w:rPr>
                      <w:rFonts w:hint="eastAsia"/>
                      <w:color w:val="000000"/>
                      <w:szCs w:val="21"/>
                    </w:rPr>
                    <w:t>受影响水体水环境质量</w:t>
                  </w:r>
                </w:p>
              </w:tc>
              <w:tc>
                <w:tcPr>
                  <w:tcW w:w="3054" w:type="dxa"/>
                  <w:gridSpan w:val="5"/>
                  <w:noWrap/>
                  <w:vAlign w:val="center"/>
                </w:tcPr>
                <w:p>
                  <w:pPr>
                    <w:ind w:firstLine="360"/>
                    <w:jc w:val="center"/>
                    <w:rPr>
                      <w:color w:val="000000"/>
                      <w:szCs w:val="21"/>
                    </w:rPr>
                  </w:pPr>
                  <w:r>
                    <w:rPr>
                      <w:rFonts w:hint="eastAsia"/>
                      <w:color w:val="000000"/>
                      <w:szCs w:val="21"/>
                    </w:rPr>
                    <w:t>调查时期</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3054" w:type="dxa"/>
                  <w:gridSpan w:val="5"/>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w:t>
                  </w:r>
                  <w:r>
                    <w:rPr>
                      <w:color w:val="000000"/>
                      <w:szCs w:val="21"/>
                    </w:rPr>
                    <w:t xml:space="preserve"> </w:t>
                  </w:r>
                  <w:r>
                    <w:rPr>
                      <w:color w:val="000000"/>
                      <w:szCs w:val="21"/>
                    </w:rPr>
                    <w:sym w:font="Wingdings 2" w:char="00A3"/>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 □；冬季 □</w:t>
                  </w:r>
                </w:p>
              </w:tc>
              <w:tc>
                <w:tcPr>
                  <w:tcW w:w="3267" w:type="dxa"/>
                  <w:gridSpan w:val="7"/>
                  <w:noWrap/>
                  <w:vAlign w:val="center"/>
                </w:tcPr>
                <w:p>
                  <w:pPr>
                    <w:ind w:firstLine="360"/>
                    <w:jc w:val="center"/>
                    <w:rPr>
                      <w:color w:val="000000"/>
                      <w:szCs w:val="21"/>
                    </w:rPr>
                  </w:pPr>
                  <w:r>
                    <w:rPr>
                      <w:rFonts w:hint="eastAsia"/>
                      <w:color w:val="000000"/>
                      <w:szCs w:val="21"/>
                    </w:rPr>
                    <w:t>生态环境保护主管部门 □；补充监测 □；其他</w:t>
                  </w:r>
                  <w:r>
                    <w:rPr>
                      <w:color w:val="000000"/>
                      <w:szCs w:val="21"/>
                    </w:rPr>
                    <w:t xml:space="preserve"> </w:t>
                  </w:r>
                  <w:r>
                    <w:rPr>
                      <w:szCs w:val="21"/>
                    </w:rPr>
                    <w:sym w:font="Wingdings 2" w:char="00A3"/>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jc w:val="center"/>
                    <w:rPr>
                      <w:color w:val="000000"/>
                      <w:szCs w:val="21"/>
                    </w:rPr>
                  </w:pPr>
                  <w:r>
                    <w:rPr>
                      <w:rFonts w:hint="eastAsia"/>
                      <w:color w:val="000000"/>
                      <w:szCs w:val="21"/>
                    </w:rPr>
                    <w:t>区域水资源开发利用状况</w:t>
                  </w:r>
                </w:p>
              </w:tc>
              <w:tc>
                <w:tcPr>
                  <w:tcW w:w="6321" w:type="dxa"/>
                  <w:gridSpan w:val="12"/>
                  <w:noWrap/>
                  <w:vAlign w:val="center"/>
                </w:tcPr>
                <w:p>
                  <w:pPr>
                    <w:ind w:firstLine="360"/>
                    <w:rPr>
                      <w:color w:val="000000"/>
                      <w:szCs w:val="21"/>
                    </w:rPr>
                  </w:pPr>
                  <w:r>
                    <w:rPr>
                      <w:rFonts w:hint="eastAsia"/>
                      <w:color w:val="000000"/>
                      <w:szCs w:val="21"/>
                    </w:rPr>
                    <w:t>未开发 □；开发量</w:t>
                  </w:r>
                  <w:r>
                    <w:rPr>
                      <w:color w:val="000000"/>
                      <w:szCs w:val="21"/>
                    </w:rPr>
                    <w:t>40%</w:t>
                  </w:r>
                  <w:r>
                    <w:rPr>
                      <w:rFonts w:hint="eastAsia"/>
                      <w:color w:val="000000"/>
                      <w:szCs w:val="21"/>
                    </w:rPr>
                    <w:t>以下 □；开发量</w:t>
                  </w:r>
                  <w:r>
                    <w:rPr>
                      <w:color w:val="000000"/>
                      <w:szCs w:val="21"/>
                    </w:rPr>
                    <w:t>40%</w:t>
                  </w:r>
                  <w:r>
                    <w:rPr>
                      <w:rFonts w:hint="eastAsia"/>
                      <w:color w:val="000000"/>
                      <w:szCs w:val="21"/>
                    </w:rPr>
                    <w:t>以上</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restart"/>
                  <w:vAlign w:val="center"/>
                </w:tcPr>
                <w:p>
                  <w:pPr>
                    <w:jc w:val="center"/>
                    <w:rPr>
                      <w:color w:val="000000"/>
                      <w:szCs w:val="21"/>
                    </w:rPr>
                  </w:pPr>
                  <w:r>
                    <w:rPr>
                      <w:rFonts w:hint="eastAsia"/>
                      <w:color w:val="000000"/>
                      <w:szCs w:val="21"/>
                    </w:rPr>
                    <w:t>水文情势调查</w:t>
                  </w:r>
                </w:p>
              </w:tc>
              <w:tc>
                <w:tcPr>
                  <w:tcW w:w="3054" w:type="dxa"/>
                  <w:gridSpan w:val="5"/>
                  <w:noWrap/>
                  <w:vAlign w:val="center"/>
                </w:tcPr>
                <w:p>
                  <w:pPr>
                    <w:ind w:firstLine="360"/>
                    <w:jc w:val="center"/>
                    <w:rPr>
                      <w:color w:val="000000"/>
                      <w:szCs w:val="21"/>
                    </w:rPr>
                  </w:pPr>
                  <w:r>
                    <w:rPr>
                      <w:rFonts w:hint="eastAsia"/>
                      <w:color w:val="000000"/>
                      <w:szCs w:val="21"/>
                    </w:rPr>
                    <w:t>调查时期</w:t>
                  </w:r>
                </w:p>
              </w:tc>
              <w:tc>
                <w:tcPr>
                  <w:tcW w:w="3267" w:type="dxa"/>
                  <w:gridSpan w:val="7"/>
                  <w:noWrap/>
                  <w:vAlign w:val="center"/>
                </w:tcPr>
                <w:p>
                  <w:pPr>
                    <w:ind w:firstLine="360"/>
                    <w:jc w:val="center"/>
                    <w:rPr>
                      <w:color w:val="000000"/>
                      <w:szCs w:val="21"/>
                    </w:rPr>
                  </w:pPr>
                  <w:r>
                    <w:rPr>
                      <w:rFonts w:hint="eastAsia"/>
                      <w:color w:val="000000"/>
                      <w:szCs w:val="21"/>
                    </w:rPr>
                    <w:t>数据来源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3054" w:type="dxa"/>
                  <w:gridSpan w:val="5"/>
                  <w:vAlign w:val="center"/>
                </w:tcPr>
                <w:p>
                  <w:pPr>
                    <w:ind w:firstLine="360"/>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w:t>
                  </w:r>
                  <w:r>
                    <w:rPr>
                      <w:color w:val="000000"/>
                      <w:szCs w:val="21"/>
                    </w:rPr>
                    <w:t xml:space="preserve"> </w:t>
                  </w:r>
                  <w:r>
                    <w:rPr>
                      <w:color w:val="000000"/>
                      <w:szCs w:val="21"/>
                    </w:rPr>
                    <w:sym w:font="Wingdings 2" w:char="0052"/>
                  </w:r>
                  <w:r>
                    <w:rPr>
                      <w:rFonts w:hint="eastAsia"/>
                      <w:color w:val="000000"/>
                      <w:szCs w:val="21"/>
                    </w:rPr>
                    <w:t>；夏季</w:t>
                  </w:r>
                  <w:r>
                    <w:rPr>
                      <w:color w:val="000000"/>
                      <w:szCs w:val="21"/>
                    </w:rPr>
                    <w:t xml:space="preserve"> </w:t>
                  </w:r>
                  <w:r>
                    <w:rPr>
                      <w:color w:val="000000"/>
                      <w:szCs w:val="21"/>
                    </w:rPr>
                    <w:sym w:font="Wingdings 2" w:char="0052"/>
                  </w:r>
                  <w:r>
                    <w:rPr>
                      <w:rFonts w:hint="eastAsia"/>
                      <w:color w:val="000000"/>
                      <w:szCs w:val="21"/>
                    </w:rPr>
                    <w:t>；秋季 □；冬季 □</w:t>
                  </w:r>
                </w:p>
              </w:tc>
              <w:tc>
                <w:tcPr>
                  <w:tcW w:w="3267" w:type="dxa"/>
                  <w:gridSpan w:val="7"/>
                  <w:noWrap/>
                  <w:vAlign w:val="center"/>
                </w:tcPr>
                <w:p>
                  <w:pPr>
                    <w:rPr>
                      <w:color w:val="000000"/>
                      <w:szCs w:val="21"/>
                    </w:rPr>
                  </w:pPr>
                  <w:r>
                    <w:rPr>
                      <w:rFonts w:hint="eastAsia"/>
                      <w:color w:val="000000"/>
                      <w:szCs w:val="21"/>
                    </w:rPr>
                    <w:t>水行政主管部门 □；补充监测 □；其他</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restart"/>
                  <w:vAlign w:val="center"/>
                </w:tcPr>
                <w:p>
                  <w:pPr>
                    <w:jc w:val="center"/>
                    <w:rPr>
                      <w:color w:val="000000"/>
                      <w:szCs w:val="21"/>
                    </w:rPr>
                  </w:pPr>
                  <w:r>
                    <w:rPr>
                      <w:rFonts w:hint="eastAsia"/>
                      <w:color w:val="000000"/>
                      <w:szCs w:val="21"/>
                    </w:rPr>
                    <w:t>补充监测</w:t>
                  </w:r>
                </w:p>
              </w:tc>
              <w:tc>
                <w:tcPr>
                  <w:tcW w:w="3054" w:type="dxa"/>
                  <w:gridSpan w:val="5"/>
                  <w:vAlign w:val="center"/>
                </w:tcPr>
                <w:p>
                  <w:pPr>
                    <w:ind w:firstLine="360"/>
                    <w:jc w:val="center"/>
                    <w:rPr>
                      <w:color w:val="000000"/>
                      <w:szCs w:val="21"/>
                    </w:rPr>
                  </w:pPr>
                  <w:r>
                    <w:rPr>
                      <w:rFonts w:hint="eastAsia"/>
                      <w:color w:val="000000"/>
                      <w:szCs w:val="21"/>
                    </w:rPr>
                    <w:t>监测时期</w:t>
                  </w:r>
                </w:p>
              </w:tc>
              <w:tc>
                <w:tcPr>
                  <w:tcW w:w="2072" w:type="dxa"/>
                  <w:gridSpan w:val="5"/>
                  <w:noWrap/>
                  <w:vAlign w:val="center"/>
                </w:tcPr>
                <w:p>
                  <w:pPr>
                    <w:jc w:val="center"/>
                    <w:rPr>
                      <w:color w:val="000000"/>
                      <w:szCs w:val="21"/>
                    </w:rPr>
                  </w:pPr>
                  <w:r>
                    <w:rPr>
                      <w:rFonts w:hint="eastAsia"/>
                      <w:color w:val="000000"/>
                      <w:szCs w:val="21"/>
                    </w:rPr>
                    <w:t>监测因子</w:t>
                  </w:r>
                </w:p>
              </w:tc>
              <w:tc>
                <w:tcPr>
                  <w:tcW w:w="1195" w:type="dxa"/>
                  <w:gridSpan w:val="2"/>
                  <w:noWrap/>
                  <w:vAlign w:val="center"/>
                </w:tcPr>
                <w:p>
                  <w:pPr>
                    <w:jc w:val="center"/>
                    <w:rPr>
                      <w:color w:val="000000"/>
                      <w:szCs w:val="21"/>
                    </w:rPr>
                  </w:pPr>
                  <w:r>
                    <w:rPr>
                      <w:rFonts w:hint="eastAsia"/>
                      <w:color w:val="000000"/>
                      <w:szCs w:val="21"/>
                    </w:rPr>
                    <w:t>监测断面或点位</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02"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3054" w:type="dxa"/>
                  <w:gridSpan w:val="5"/>
                  <w:vAlign w:val="center"/>
                </w:tcPr>
                <w:p>
                  <w:pPr>
                    <w:jc w:val="cente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p>
              </w:tc>
              <w:tc>
                <w:tcPr>
                  <w:tcW w:w="2072" w:type="dxa"/>
                  <w:gridSpan w:val="5"/>
                  <w:noWrap/>
                  <w:vAlign w:val="center"/>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195" w:type="dxa"/>
                  <w:gridSpan w:val="2"/>
                  <w:noWrap/>
                  <w:vAlign w:val="center"/>
                </w:tcPr>
                <w:p>
                  <w:pPr>
                    <w:jc w:val="center"/>
                    <w:rPr>
                      <w:color w:val="000000"/>
                      <w:szCs w:val="21"/>
                    </w:rPr>
                  </w:pPr>
                  <w:r>
                    <w:rPr>
                      <w:rFonts w:hint="eastAsia"/>
                      <w:color w:val="000000"/>
                      <w:szCs w:val="21"/>
                    </w:rPr>
                    <w:t>监测断面或点位个数（</w:t>
                  </w:r>
                  <w:r>
                    <w:rPr>
                      <w:color w:val="000000"/>
                      <w:szCs w:val="21"/>
                    </w:rPr>
                    <w:t xml:space="preserve">   </w:t>
                  </w:r>
                  <w:r>
                    <w:rPr>
                      <w:rFonts w:hint="eastAsia"/>
                      <w:color w:val="000000"/>
                      <w:szCs w:val="21"/>
                    </w:rPr>
                    <w:t>）个</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restart"/>
                  <w:noWrap/>
                  <w:textDirection w:val="tbRlV"/>
                  <w:vAlign w:val="center"/>
                </w:tcPr>
                <w:p>
                  <w:pPr>
                    <w:rPr>
                      <w:color w:val="000000"/>
                      <w:szCs w:val="21"/>
                    </w:rPr>
                  </w:pPr>
                  <w:r>
                    <w:rPr>
                      <w:rFonts w:hint="eastAsia"/>
                      <w:color w:val="000000"/>
                      <w:szCs w:val="21"/>
                    </w:rPr>
                    <w:t>现状评价</w:t>
                  </w:r>
                </w:p>
              </w:tc>
              <w:tc>
                <w:tcPr>
                  <w:tcW w:w="1082" w:type="dxa"/>
                  <w:vAlign w:val="center"/>
                </w:tcPr>
                <w:p>
                  <w:pPr>
                    <w:rPr>
                      <w:color w:val="000000"/>
                      <w:szCs w:val="21"/>
                    </w:rPr>
                  </w:pPr>
                  <w:r>
                    <w:rPr>
                      <w:rFonts w:hint="eastAsia"/>
                      <w:color w:val="000000"/>
                      <w:szCs w:val="21"/>
                    </w:rPr>
                    <w:t>评价范围</w:t>
                  </w:r>
                </w:p>
              </w:tc>
              <w:tc>
                <w:tcPr>
                  <w:tcW w:w="6321" w:type="dxa"/>
                  <w:gridSpan w:val="12"/>
                  <w:noWrap/>
                  <w:vAlign w:val="center"/>
                </w:tcPr>
                <w:p>
                  <w:pPr>
                    <w:ind w:firstLine="360"/>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评价因子</w:t>
                  </w:r>
                </w:p>
              </w:tc>
              <w:tc>
                <w:tcPr>
                  <w:tcW w:w="6321" w:type="dxa"/>
                  <w:gridSpan w:val="12"/>
                  <w:noWrap/>
                  <w:vAlign w:val="center"/>
                </w:tcPr>
                <w:p>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评价标准</w:t>
                  </w:r>
                </w:p>
              </w:tc>
              <w:tc>
                <w:tcPr>
                  <w:tcW w:w="6321" w:type="dxa"/>
                  <w:gridSpan w:val="12"/>
                  <w:noWrap/>
                  <w:vAlign w:val="center"/>
                </w:tcPr>
                <w:p>
                  <w:pPr>
                    <w:ind w:firstLine="360"/>
                    <w:rPr>
                      <w:color w:val="000000"/>
                      <w:szCs w:val="21"/>
                    </w:rPr>
                  </w:pPr>
                  <w:r>
                    <w:rPr>
                      <w:rFonts w:hint="eastAsia"/>
                      <w:color w:val="000000"/>
                      <w:szCs w:val="21"/>
                    </w:rPr>
                    <w:t>河流、湖库、河口：Ⅰ类 □；Ⅱ类口；Ⅲ类</w:t>
                  </w:r>
                  <w:r>
                    <w:rPr>
                      <w:color w:val="000000"/>
                      <w:szCs w:val="21"/>
                    </w:rPr>
                    <w:t xml:space="preserve"> </w:t>
                  </w:r>
                  <w:r>
                    <w:rPr>
                      <w:color w:val="000000"/>
                      <w:szCs w:val="21"/>
                    </w:rPr>
                    <w:sym w:font="Wingdings 2" w:char="0052"/>
                  </w:r>
                  <w:r>
                    <w:rPr>
                      <w:rFonts w:hint="eastAsia"/>
                      <w:color w:val="000000"/>
                      <w:szCs w:val="21"/>
                    </w:rPr>
                    <w:t>；Ⅳ类 □；Ⅴ类 □</w:t>
                  </w:r>
                </w:p>
                <w:p>
                  <w:pPr>
                    <w:ind w:firstLine="360"/>
                    <w:rPr>
                      <w:color w:val="000000"/>
                      <w:szCs w:val="21"/>
                    </w:rPr>
                  </w:pPr>
                  <w:r>
                    <w:rPr>
                      <w:rFonts w:hint="eastAsia"/>
                      <w:color w:val="000000"/>
                      <w:szCs w:val="21"/>
                    </w:rPr>
                    <w:t>近岸海域：第一类 □；第二类 □；第三类 □；第四类 □</w:t>
                  </w:r>
                </w:p>
                <w:p>
                  <w:pPr>
                    <w:ind w:firstLine="360"/>
                    <w:rPr>
                      <w:color w:val="000000"/>
                      <w:szCs w:val="21"/>
                    </w:rPr>
                  </w:pPr>
                  <w:r>
                    <w:rPr>
                      <w:rFonts w:hint="eastAsia"/>
                      <w:color w:val="000000"/>
                      <w:szCs w:val="21"/>
                    </w:rPr>
                    <w:t>规划年评价标准（</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评价时期</w:t>
                  </w:r>
                </w:p>
              </w:tc>
              <w:tc>
                <w:tcPr>
                  <w:tcW w:w="6321" w:type="dxa"/>
                  <w:gridSpan w:val="12"/>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604"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评价结论</w:t>
                  </w:r>
                </w:p>
              </w:tc>
              <w:tc>
                <w:tcPr>
                  <w:tcW w:w="5510" w:type="dxa"/>
                  <w:gridSpan w:val="11"/>
                  <w:vAlign w:val="center"/>
                </w:tcPr>
                <w:p>
                  <w:pPr>
                    <w:rPr>
                      <w:color w:val="000000"/>
                      <w:szCs w:val="21"/>
                    </w:rPr>
                  </w:pPr>
                  <w:r>
                    <w:rPr>
                      <w:rFonts w:hint="eastAsia"/>
                      <w:color w:val="000000"/>
                      <w:szCs w:val="21"/>
                    </w:rPr>
                    <w:t>水环境功能区或水功能区、近岸海域环境功能区水质达标状况 □：达标</w:t>
                  </w:r>
                  <w:r>
                    <w:rPr>
                      <w:color w:val="000000"/>
                      <w:szCs w:val="21"/>
                    </w:rPr>
                    <w:t xml:space="preserve"> </w:t>
                  </w:r>
                  <w:r>
                    <w:rPr>
                      <w:szCs w:val="21"/>
                    </w:rPr>
                    <w:sym w:font="Wingdings 2" w:char="F052"/>
                  </w:r>
                  <w:r>
                    <w:rPr>
                      <w:rFonts w:hint="eastAsia"/>
                      <w:color w:val="000000"/>
                      <w:szCs w:val="21"/>
                    </w:rPr>
                    <w:t>；不达标 □</w:t>
                  </w:r>
                  <w:r>
                    <w:rPr>
                      <w:color w:val="000000"/>
                      <w:szCs w:val="21"/>
                    </w:rPr>
                    <w:br w:type="textWrapping"/>
                  </w:r>
                  <w:r>
                    <w:rPr>
                      <w:rFonts w:hint="eastAsia"/>
                      <w:color w:val="000000"/>
                      <w:szCs w:val="21"/>
                    </w:rPr>
                    <w:t>水环境控制单元或断面水质达标状况 □：达标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type="textWrapping"/>
                  </w:r>
                  <w:r>
                    <w:rPr>
                      <w:rFonts w:hint="eastAsia"/>
                      <w:color w:val="000000"/>
                      <w:szCs w:val="21"/>
                    </w:rPr>
                    <w:t>水环境保护目标质量状况 □：达标</w:t>
                  </w:r>
                  <w:r>
                    <w:rPr>
                      <w:color w:val="000000"/>
                      <w:szCs w:val="21"/>
                    </w:rPr>
                    <w:t xml:space="preserve"> </w:t>
                  </w:r>
                  <w:r>
                    <w:rPr>
                      <w:szCs w:val="21"/>
                    </w:rPr>
                    <w:sym w:font="Wingdings 2" w:char="00A3"/>
                  </w:r>
                  <w:r>
                    <w:rPr>
                      <w:rFonts w:hint="eastAsia"/>
                      <w:color w:val="000000"/>
                      <w:szCs w:val="21"/>
                    </w:rPr>
                    <w:t>；不达标</w:t>
                  </w:r>
                  <w:r>
                    <w:rPr>
                      <w:color w:val="000000"/>
                      <w:szCs w:val="21"/>
                    </w:rPr>
                    <w:t xml:space="preserve"> </w:t>
                  </w:r>
                  <w:r>
                    <w:rPr>
                      <w:color w:val="000000"/>
                      <w:szCs w:val="21"/>
                    </w:rPr>
                    <w:sym w:font="Wingdings 2" w:char="0052"/>
                  </w:r>
                  <w:r>
                    <w:rPr>
                      <w:color w:val="000000"/>
                      <w:szCs w:val="21"/>
                    </w:rPr>
                    <w:br w:type="textWrapping"/>
                  </w:r>
                  <w:r>
                    <w:rPr>
                      <w:rFonts w:hint="eastAsia"/>
                      <w:color w:val="000000"/>
                      <w:szCs w:val="21"/>
                    </w:rPr>
                    <w:t>对照断面、控制断面等代表性断面的水质状况 □：达标 □；不达标 □</w:t>
                  </w:r>
                </w:p>
                <w:p>
                  <w:pPr>
                    <w:rPr>
                      <w:color w:val="000000"/>
                      <w:szCs w:val="21"/>
                    </w:rPr>
                  </w:pPr>
                  <w:r>
                    <w:rPr>
                      <w:rFonts w:hint="eastAsia"/>
                      <w:color w:val="000000"/>
                      <w:szCs w:val="21"/>
                    </w:rPr>
                    <w:t>底泥污染评价 □</w:t>
                  </w:r>
                  <w:r>
                    <w:rPr>
                      <w:color w:val="000000"/>
                      <w:szCs w:val="21"/>
                    </w:rPr>
                    <w:br w:type="textWrapping"/>
                  </w:r>
                  <w:r>
                    <w:rPr>
                      <w:rFonts w:hint="eastAsia"/>
                      <w:color w:val="000000"/>
                      <w:szCs w:val="21"/>
                    </w:rPr>
                    <w:t>水资源与开发利用程度及其水文情势评价 □</w:t>
                  </w:r>
                  <w:r>
                    <w:rPr>
                      <w:color w:val="000000"/>
                      <w:szCs w:val="21"/>
                    </w:rPr>
                    <w:br w:type="textWrapping"/>
                  </w:r>
                  <w:r>
                    <w:rPr>
                      <w:rFonts w:hint="eastAsia"/>
                      <w:color w:val="000000"/>
                      <w:szCs w:val="21"/>
                    </w:rPr>
                    <w:t>水环境质量回顾评价 □</w:t>
                  </w:r>
                  <w:r>
                    <w:rPr>
                      <w:color w:val="000000"/>
                      <w:szCs w:val="21"/>
                    </w:rPr>
                    <w:br w:type="textWrapping"/>
                  </w:r>
                  <w:r>
                    <w:rPr>
                      <w:rFonts w:hint="eastAsia"/>
                      <w:color w:val="000000"/>
                      <w:szCs w:val="21"/>
                    </w:rPr>
                    <w:t>流域（区域）水资源（包括水能资源）与开发利用总体状况、生态流量管理要求与现状满足程度、建设项目占用水域空间的水流状况与河湖演变状况 □</w:t>
                  </w:r>
                </w:p>
              </w:tc>
              <w:tc>
                <w:tcPr>
                  <w:tcW w:w="811" w:type="dxa"/>
                  <w:vAlign w:val="center"/>
                </w:tcPr>
                <w:p>
                  <w:pPr>
                    <w:rPr>
                      <w:color w:val="000000"/>
                      <w:szCs w:val="21"/>
                    </w:rPr>
                  </w:pPr>
                  <w:r>
                    <w:rPr>
                      <w:rFonts w:hint="eastAsia"/>
                      <w:color w:val="000000"/>
                      <w:szCs w:val="21"/>
                    </w:rPr>
                    <w:t>达标区</w:t>
                  </w:r>
                  <w:r>
                    <w:rPr>
                      <w:color w:val="000000"/>
                      <w:szCs w:val="21"/>
                    </w:rPr>
                    <w:t xml:space="preserve"> </w:t>
                  </w:r>
                  <w:r>
                    <w:rPr>
                      <w:szCs w:val="21"/>
                    </w:rPr>
                    <w:sym w:font="Wingdings 2" w:char="00A3"/>
                  </w:r>
                </w:p>
                <w:p>
                  <w:pPr>
                    <w:rPr>
                      <w:color w:val="000000"/>
                      <w:szCs w:val="21"/>
                    </w:rPr>
                  </w:pPr>
                  <w:r>
                    <w:rPr>
                      <w:rFonts w:hint="eastAsia"/>
                      <w:color w:val="000000"/>
                      <w:szCs w:val="21"/>
                    </w:rPr>
                    <w:t>不达标区</w:t>
                  </w:r>
                  <w:r>
                    <w:rPr>
                      <w:color w:val="000000"/>
                      <w:szCs w:val="21"/>
                    </w:rPr>
                    <w:t xml:space="preserve"> </w:t>
                  </w:r>
                  <w:r>
                    <w:rPr>
                      <w:color w:val="000000"/>
                      <w:szCs w:val="21"/>
                    </w:rPr>
                    <w:sym w:font="Wingdings 2" w:char="0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restart"/>
                  <w:noWrap/>
                  <w:textDirection w:val="tbRlV"/>
                  <w:vAlign w:val="center"/>
                </w:tcPr>
                <w:p>
                  <w:pPr>
                    <w:ind w:firstLine="360"/>
                    <w:jc w:val="center"/>
                    <w:rPr>
                      <w:color w:val="000000"/>
                      <w:szCs w:val="21"/>
                    </w:rPr>
                  </w:pPr>
                  <w:r>
                    <w:rPr>
                      <w:rFonts w:hint="eastAsia"/>
                      <w:color w:val="000000"/>
                      <w:szCs w:val="21"/>
                    </w:rPr>
                    <w:t>影响预测</w:t>
                  </w:r>
                </w:p>
              </w:tc>
              <w:tc>
                <w:tcPr>
                  <w:tcW w:w="1082" w:type="dxa"/>
                  <w:vAlign w:val="center"/>
                </w:tcPr>
                <w:p>
                  <w:pPr>
                    <w:rPr>
                      <w:color w:val="000000"/>
                      <w:szCs w:val="21"/>
                    </w:rPr>
                  </w:pPr>
                  <w:r>
                    <w:rPr>
                      <w:rFonts w:hint="eastAsia"/>
                      <w:color w:val="000000"/>
                      <w:szCs w:val="21"/>
                    </w:rPr>
                    <w:t>预测范围</w:t>
                  </w:r>
                </w:p>
              </w:tc>
              <w:tc>
                <w:tcPr>
                  <w:tcW w:w="6321" w:type="dxa"/>
                  <w:gridSpan w:val="12"/>
                  <w:noWrap/>
                  <w:vAlign w:val="center"/>
                </w:tcPr>
                <w:p>
                  <w:pPr>
                    <w:rPr>
                      <w:color w:val="000000"/>
                      <w:szCs w:val="21"/>
                    </w:rPr>
                  </w:pPr>
                  <w:r>
                    <w:rPr>
                      <w:rFonts w:hint="eastAsia"/>
                      <w:color w:val="000000"/>
                      <w:szCs w:val="21"/>
                    </w:rPr>
                    <w:t>河流：长度（</w:t>
                  </w:r>
                  <w:r>
                    <w:rPr>
                      <w:color w:val="000000"/>
                      <w:szCs w:val="21"/>
                    </w:rPr>
                    <w:t xml:space="preserve">   </w:t>
                  </w:r>
                  <w:r>
                    <w:rPr>
                      <w:rFonts w:hint="eastAsia"/>
                      <w:color w:val="000000"/>
                      <w:szCs w:val="21"/>
                    </w:rPr>
                    <w:t>）</w:t>
                  </w:r>
                  <w:r>
                    <w:rPr>
                      <w:color w:val="000000"/>
                      <w:szCs w:val="21"/>
                    </w:rPr>
                    <w:t>km</w:t>
                  </w:r>
                  <w:r>
                    <w:rPr>
                      <w:rFonts w:hint="eastAsia"/>
                      <w:color w:val="000000"/>
                      <w:szCs w:val="21"/>
                    </w:rPr>
                    <w:t>；湖库、河口及近岸海域：面积（</w:t>
                  </w:r>
                  <w:r>
                    <w:rPr>
                      <w:color w:val="000000"/>
                      <w:szCs w:val="21"/>
                    </w:rPr>
                    <w:t xml:space="preserve">   </w:t>
                  </w:r>
                  <w:r>
                    <w:rPr>
                      <w:rFonts w:hint="eastAsia"/>
                      <w:color w:val="000000"/>
                      <w:szCs w:val="21"/>
                    </w:rPr>
                    <w:t>）</w:t>
                  </w:r>
                  <w:r>
                    <w:rPr>
                      <w:color w:val="000000"/>
                      <w:szCs w:val="21"/>
                    </w:rPr>
                    <w:t>km</w:t>
                  </w:r>
                  <w:r>
                    <w:rPr>
                      <w:color w:val="000000"/>
                      <w:szCs w:val="21"/>
                      <w:vertAlign w:val="superscript"/>
                    </w:rPr>
                    <w:t>2</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预测因子</w:t>
                  </w:r>
                </w:p>
              </w:tc>
              <w:tc>
                <w:tcPr>
                  <w:tcW w:w="6321" w:type="dxa"/>
                  <w:gridSpan w:val="12"/>
                  <w:noWrap/>
                  <w:vAlign w:val="center"/>
                </w:tcPr>
                <w:p>
                  <w:pPr>
                    <w:ind w:firstLine="360"/>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预测时期</w:t>
                  </w:r>
                </w:p>
              </w:tc>
              <w:tc>
                <w:tcPr>
                  <w:tcW w:w="6321" w:type="dxa"/>
                  <w:gridSpan w:val="12"/>
                  <w:vAlign w:val="center"/>
                </w:tcPr>
                <w:p>
                  <w:pPr>
                    <w:rPr>
                      <w:color w:val="000000"/>
                      <w:szCs w:val="21"/>
                    </w:rPr>
                  </w:pPr>
                  <w:r>
                    <w:rPr>
                      <w:rFonts w:hint="eastAsia"/>
                      <w:color w:val="000000"/>
                      <w:szCs w:val="21"/>
                    </w:rPr>
                    <w:t>丰水期 □；平水期 □；枯水期 □；冰封期 □</w:t>
                  </w:r>
                  <w:r>
                    <w:rPr>
                      <w:color w:val="000000"/>
                      <w:szCs w:val="21"/>
                    </w:rPr>
                    <w:br w:type="textWrapping"/>
                  </w:r>
                  <w:r>
                    <w:rPr>
                      <w:rFonts w:hint="eastAsia"/>
                      <w:color w:val="000000"/>
                      <w:szCs w:val="21"/>
                    </w:rPr>
                    <w:t>春季 □；夏季 □；秋季 □；冬季 □</w:t>
                  </w:r>
                  <w:r>
                    <w:rPr>
                      <w:color w:val="000000"/>
                      <w:szCs w:val="21"/>
                    </w:rPr>
                    <w:br w:type="textWrapping"/>
                  </w:r>
                  <w:r>
                    <w:rPr>
                      <w:rFonts w:hint="eastAsia"/>
                      <w:color w:val="000000"/>
                      <w:szCs w:val="21"/>
                    </w:rPr>
                    <w:t>设计水文条件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预测情景</w:t>
                  </w:r>
                </w:p>
              </w:tc>
              <w:tc>
                <w:tcPr>
                  <w:tcW w:w="6321" w:type="dxa"/>
                  <w:gridSpan w:val="12"/>
                  <w:vAlign w:val="center"/>
                </w:tcPr>
                <w:p>
                  <w:pPr>
                    <w:rPr>
                      <w:color w:val="000000"/>
                      <w:szCs w:val="21"/>
                    </w:rPr>
                  </w:pPr>
                  <w:r>
                    <w:rPr>
                      <w:rFonts w:hint="eastAsia"/>
                      <w:color w:val="000000"/>
                      <w:szCs w:val="21"/>
                    </w:rPr>
                    <w:t>建设期 □；生产运行期 □；服务期满后 □</w:t>
                  </w:r>
                  <w:r>
                    <w:rPr>
                      <w:color w:val="000000"/>
                      <w:szCs w:val="21"/>
                    </w:rPr>
                    <w:br w:type="textWrapping"/>
                  </w:r>
                  <w:r>
                    <w:rPr>
                      <w:rFonts w:hint="eastAsia"/>
                      <w:color w:val="000000"/>
                      <w:szCs w:val="21"/>
                    </w:rPr>
                    <w:t>正常工况 □；非正常工况 □</w:t>
                  </w:r>
                  <w:r>
                    <w:rPr>
                      <w:color w:val="000000"/>
                      <w:szCs w:val="21"/>
                    </w:rPr>
                    <w:br w:type="textWrapping"/>
                  </w:r>
                  <w:r>
                    <w:rPr>
                      <w:rFonts w:hint="eastAsia"/>
                      <w:color w:val="000000"/>
                      <w:szCs w:val="21"/>
                    </w:rPr>
                    <w:t>污染控制和减缓措施方案 □</w:t>
                  </w:r>
                  <w:r>
                    <w:rPr>
                      <w:color w:val="000000"/>
                      <w:szCs w:val="21"/>
                    </w:rPr>
                    <w:br w:type="textWrapping"/>
                  </w:r>
                  <w:r>
                    <w:rPr>
                      <w:rFonts w:hint="eastAsia"/>
                      <w:color w:val="000000"/>
                      <w:szCs w:val="21"/>
                    </w:rPr>
                    <w:t>区（流）域环境质量改善目标要求情景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预测方法</w:t>
                  </w:r>
                </w:p>
              </w:tc>
              <w:tc>
                <w:tcPr>
                  <w:tcW w:w="6321" w:type="dxa"/>
                  <w:gridSpan w:val="12"/>
                  <w:noWrap/>
                  <w:vAlign w:val="center"/>
                </w:tcPr>
                <w:p>
                  <w:pPr>
                    <w:rPr>
                      <w:color w:val="000000"/>
                      <w:szCs w:val="21"/>
                    </w:rPr>
                  </w:pPr>
                  <w:r>
                    <w:rPr>
                      <w:rFonts w:hint="eastAsia"/>
                      <w:color w:val="000000"/>
                      <w:szCs w:val="21"/>
                    </w:rPr>
                    <w:t>数值解 □：解析解 □；其他 □</w:t>
                  </w:r>
                </w:p>
                <w:p>
                  <w:pPr>
                    <w:rPr>
                      <w:color w:val="000000"/>
                      <w:szCs w:val="21"/>
                    </w:rPr>
                  </w:pPr>
                  <w:r>
                    <w:rPr>
                      <w:rFonts w:hint="eastAsia"/>
                      <w:color w:val="000000"/>
                      <w:szCs w:val="21"/>
                    </w:rPr>
                    <w:t>导则推荐模式</w:t>
                  </w:r>
                  <w:r>
                    <w:rPr>
                      <w:color w:val="000000"/>
                      <w:szCs w:val="21"/>
                    </w:rPr>
                    <w:t xml:space="preserve"> </w:t>
                  </w:r>
                  <w:r>
                    <w:rPr>
                      <w:rFonts w:hint="eastAsia"/>
                      <w:color w:val="000000"/>
                      <w:szCs w:val="21"/>
                    </w:rPr>
                    <w:t>□：其他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792" w:type="dxa"/>
                  <w:vMerge w:val="restart"/>
                  <w:noWrap/>
                  <w:textDirection w:val="tbRlV"/>
                  <w:vAlign w:val="center"/>
                </w:tcPr>
                <w:p>
                  <w:pPr>
                    <w:ind w:firstLine="360"/>
                    <w:jc w:val="center"/>
                    <w:rPr>
                      <w:color w:val="000000"/>
                      <w:szCs w:val="21"/>
                    </w:rPr>
                  </w:pPr>
                  <w:r>
                    <w:rPr>
                      <w:rFonts w:hint="eastAsia"/>
                      <w:color w:val="000000"/>
                      <w:szCs w:val="21"/>
                    </w:rPr>
                    <w:t>影响评价</w:t>
                  </w:r>
                </w:p>
              </w:tc>
              <w:tc>
                <w:tcPr>
                  <w:tcW w:w="1082" w:type="dxa"/>
                  <w:vAlign w:val="center"/>
                </w:tcPr>
                <w:p>
                  <w:pPr>
                    <w:rPr>
                      <w:color w:val="000000"/>
                      <w:szCs w:val="21"/>
                    </w:rPr>
                  </w:pPr>
                  <w:r>
                    <w:rPr>
                      <w:rFonts w:hint="eastAsia"/>
                      <w:color w:val="000000"/>
                      <w:szCs w:val="21"/>
                    </w:rPr>
                    <w:t>水污染控制和水环境影响减缓措施有效性评价</w:t>
                  </w:r>
                </w:p>
              </w:tc>
              <w:tc>
                <w:tcPr>
                  <w:tcW w:w="6321" w:type="dxa"/>
                  <w:gridSpan w:val="12"/>
                  <w:noWrap/>
                  <w:vAlign w:val="center"/>
                </w:tcPr>
                <w:p>
                  <w:pPr>
                    <w:rPr>
                      <w:color w:val="000000"/>
                      <w:szCs w:val="21"/>
                    </w:rPr>
                  </w:pPr>
                  <w:r>
                    <w:rPr>
                      <w:rFonts w:hint="eastAsia"/>
                      <w:color w:val="000000"/>
                      <w:szCs w:val="21"/>
                    </w:rPr>
                    <w:t>区（流）域水环境质量改善目标 □；替代削减源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水环境影响评价</w:t>
                  </w:r>
                </w:p>
              </w:tc>
              <w:tc>
                <w:tcPr>
                  <w:tcW w:w="6321" w:type="dxa"/>
                  <w:gridSpan w:val="12"/>
                  <w:vAlign w:val="center"/>
                </w:tcPr>
                <w:p>
                  <w:pPr>
                    <w:rPr>
                      <w:color w:val="000000"/>
                      <w:szCs w:val="21"/>
                    </w:rPr>
                  </w:pPr>
                  <w:r>
                    <w:rPr>
                      <w:rFonts w:hint="eastAsia"/>
                      <w:color w:val="000000"/>
                      <w:szCs w:val="21"/>
                    </w:rPr>
                    <w:t>排放口混合区外满足水环境管理要求 □</w:t>
                  </w:r>
                  <w:r>
                    <w:rPr>
                      <w:color w:val="000000"/>
                      <w:szCs w:val="21"/>
                    </w:rPr>
                    <w:br w:type="textWrapping"/>
                  </w:r>
                  <w:r>
                    <w:rPr>
                      <w:rFonts w:hint="eastAsia"/>
                      <w:color w:val="000000"/>
                      <w:szCs w:val="21"/>
                    </w:rPr>
                    <w:t>水环境功能区或水功能区、近岸海域环境功能区水质达标 □</w:t>
                  </w:r>
                  <w:r>
                    <w:rPr>
                      <w:color w:val="000000"/>
                      <w:szCs w:val="21"/>
                    </w:rPr>
                    <w:br w:type="textWrapping"/>
                  </w:r>
                  <w:r>
                    <w:rPr>
                      <w:rFonts w:hint="eastAsia"/>
                      <w:color w:val="000000"/>
                      <w:szCs w:val="21"/>
                    </w:rPr>
                    <w:t>满足水环境保护目标水域水环境质量要求 □</w:t>
                  </w:r>
                  <w:r>
                    <w:rPr>
                      <w:color w:val="000000"/>
                      <w:szCs w:val="21"/>
                    </w:rPr>
                    <w:br w:type="textWrapping"/>
                  </w:r>
                  <w:r>
                    <w:rPr>
                      <w:rFonts w:hint="eastAsia"/>
                      <w:color w:val="000000"/>
                      <w:szCs w:val="21"/>
                    </w:rPr>
                    <w:t>水环境控制单元或断面水质达标 □</w:t>
                  </w:r>
                  <w:r>
                    <w:rPr>
                      <w:color w:val="000000"/>
                      <w:szCs w:val="21"/>
                    </w:rPr>
                    <w:br w:type="textWrapping"/>
                  </w:r>
                  <w:r>
                    <w:rPr>
                      <w:rFonts w:hint="eastAsia"/>
                      <w:color w:val="000000"/>
                      <w:szCs w:val="21"/>
                    </w:rPr>
                    <w:t>满足重点水污染物排放总量控制指标要求，重点行业建设项目，</w:t>
                  </w:r>
                  <w:r>
                    <w:rPr>
                      <w:color w:val="000000"/>
                      <w:szCs w:val="21"/>
                    </w:rPr>
                    <w:t xml:space="preserve"> </w:t>
                  </w:r>
                  <w:r>
                    <w:rPr>
                      <w:rFonts w:hint="eastAsia"/>
                      <w:color w:val="000000"/>
                      <w:szCs w:val="21"/>
                    </w:rPr>
                    <w:t>主要污染物排放满足等量或减量替代要求 □</w:t>
                  </w:r>
                </w:p>
                <w:p>
                  <w:pPr>
                    <w:rPr>
                      <w:color w:val="000000"/>
                      <w:szCs w:val="21"/>
                    </w:rPr>
                  </w:pPr>
                  <w:r>
                    <w:rPr>
                      <w:rFonts w:hint="eastAsia"/>
                      <w:color w:val="000000"/>
                      <w:szCs w:val="21"/>
                    </w:rPr>
                    <w:t>满足区（流）域水环境质量改善目标要求 □</w:t>
                  </w:r>
                  <w:r>
                    <w:rPr>
                      <w:color w:val="000000"/>
                      <w:szCs w:val="21"/>
                    </w:rPr>
                    <w:br w:type="textWrapping"/>
                  </w:r>
                  <w:r>
                    <w:rPr>
                      <w:rFonts w:hint="eastAsia"/>
                      <w:color w:val="000000"/>
                      <w:szCs w:val="21"/>
                    </w:rPr>
                    <w:t>水文要素影响型建设项目同时应包括水文情势变化评价、主要水文特征值影响评价、生态流量符合性评价 □</w:t>
                  </w:r>
                  <w:r>
                    <w:rPr>
                      <w:color w:val="000000"/>
                      <w:szCs w:val="21"/>
                    </w:rPr>
                    <w:br w:type="textWrapping"/>
                  </w:r>
                  <w:r>
                    <w:rPr>
                      <w:rFonts w:hint="eastAsia"/>
                      <w:color w:val="000000"/>
                      <w:szCs w:val="21"/>
                    </w:rPr>
                    <w:t>对于新设或调整入河（湖库、近岸海域）排放口的建设项目，应包括排放口设置的环境合理性评价 □</w:t>
                  </w:r>
                  <w:r>
                    <w:rPr>
                      <w:color w:val="000000"/>
                      <w:szCs w:val="21"/>
                    </w:rPr>
                    <w:br w:type="textWrapping"/>
                  </w:r>
                  <w:r>
                    <w:rPr>
                      <w:rFonts w:hint="eastAsia"/>
                      <w:color w:val="000000"/>
                      <w:szCs w:val="21"/>
                    </w:rPr>
                    <w:t>满足生态保护红线、水环境质量底线、资源利用上线和环境准入清单管理要求</w:t>
                  </w:r>
                  <w:r>
                    <w:rPr>
                      <w:szCs w:val="21"/>
                    </w:rPr>
                    <w:sym w:font="Wingdings 2" w:char="F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restart"/>
                  <w:vAlign w:val="center"/>
                </w:tcPr>
                <w:p>
                  <w:pPr>
                    <w:rPr>
                      <w:color w:val="000000"/>
                      <w:szCs w:val="21"/>
                    </w:rPr>
                  </w:pPr>
                  <w:r>
                    <w:rPr>
                      <w:rFonts w:hint="eastAsia"/>
                      <w:color w:val="000000"/>
                      <w:szCs w:val="21"/>
                    </w:rPr>
                    <w:t>污染源排放量核算</w:t>
                  </w:r>
                </w:p>
              </w:tc>
              <w:tc>
                <w:tcPr>
                  <w:tcW w:w="1999" w:type="dxa"/>
                  <w:gridSpan w:val="3"/>
                  <w:noWrap/>
                  <w:vAlign w:val="center"/>
                </w:tcPr>
                <w:p>
                  <w:pPr>
                    <w:ind w:firstLine="360"/>
                    <w:rPr>
                      <w:color w:val="000000"/>
                      <w:szCs w:val="21"/>
                    </w:rPr>
                  </w:pPr>
                  <w:r>
                    <w:rPr>
                      <w:rFonts w:hint="eastAsia"/>
                      <w:color w:val="000000"/>
                      <w:szCs w:val="21"/>
                    </w:rPr>
                    <w:t>污染物名称</w:t>
                  </w:r>
                </w:p>
              </w:tc>
              <w:tc>
                <w:tcPr>
                  <w:tcW w:w="2215" w:type="dxa"/>
                  <w:gridSpan w:val="5"/>
                  <w:vAlign w:val="center"/>
                </w:tcPr>
                <w:p>
                  <w:pPr>
                    <w:ind w:firstLine="360"/>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2107" w:type="dxa"/>
                  <w:gridSpan w:val="4"/>
                  <w:vAlign w:val="center"/>
                </w:tcPr>
                <w:p>
                  <w:pPr>
                    <w:ind w:firstLine="233" w:firstLineChars="111"/>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999" w:type="dxa"/>
                  <w:gridSpan w:val="3"/>
                  <w:noWrap/>
                  <w:vAlign w:val="center"/>
                </w:tcPr>
                <w:p>
                  <w:pPr>
                    <w:ind w:firstLine="360"/>
                    <w:rPr>
                      <w:color w:val="000000"/>
                      <w:szCs w:val="21"/>
                    </w:rPr>
                  </w:pPr>
                  <w:r>
                    <w:rPr>
                      <w:rFonts w:hint="eastAsia"/>
                      <w:color w:val="000000"/>
                      <w:szCs w:val="21"/>
                    </w:rPr>
                    <w:t>（</w:t>
                  </w:r>
                  <w:r>
                    <w:rPr>
                      <w:color w:val="000000"/>
                      <w:szCs w:val="21"/>
                    </w:rPr>
                    <w:t>COD</w:t>
                  </w:r>
                  <w:r>
                    <w:rPr>
                      <w:rFonts w:hint="eastAsia"/>
                      <w:color w:val="000000"/>
                      <w:szCs w:val="21"/>
                    </w:rPr>
                    <w:t>）</w:t>
                  </w:r>
                </w:p>
                <w:p>
                  <w:pPr>
                    <w:ind w:firstLine="360"/>
                    <w:rPr>
                      <w:color w:val="000000"/>
                      <w:szCs w:val="21"/>
                    </w:rPr>
                  </w:pPr>
                  <w:r>
                    <w:rPr>
                      <w:rFonts w:hint="eastAsia"/>
                      <w:color w:val="000000"/>
                      <w:szCs w:val="21"/>
                    </w:rPr>
                    <w:t>（</w:t>
                  </w:r>
                  <w:r>
                    <w:rPr>
                      <w:color w:val="000000"/>
                      <w:szCs w:val="21"/>
                    </w:rPr>
                    <w:t>SS</w:t>
                  </w:r>
                  <w:r>
                    <w:rPr>
                      <w:rFonts w:hint="eastAsia"/>
                      <w:color w:val="000000"/>
                      <w:szCs w:val="21"/>
                    </w:rPr>
                    <w:t>）</w:t>
                  </w:r>
                </w:p>
                <w:p>
                  <w:pPr>
                    <w:ind w:firstLine="360"/>
                    <w:rPr>
                      <w:color w:val="000000"/>
                      <w:szCs w:val="21"/>
                    </w:rPr>
                  </w:pPr>
                  <w:r>
                    <w:rPr>
                      <w:rFonts w:hint="eastAsia"/>
                      <w:color w:val="000000"/>
                      <w:szCs w:val="21"/>
                    </w:rPr>
                    <w:t>（氨氮）</w:t>
                  </w:r>
                </w:p>
                <w:p>
                  <w:pPr>
                    <w:ind w:firstLine="360"/>
                    <w:rPr>
                      <w:color w:val="000000"/>
                      <w:szCs w:val="21"/>
                    </w:rPr>
                  </w:pPr>
                  <w:r>
                    <w:rPr>
                      <w:rFonts w:hint="eastAsia"/>
                      <w:color w:val="000000"/>
                      <w:szCs w:val="21"/>
                    </w:rPr>
                    <w:t>（总氮）</w:t>
                  </w:r>
                </w:p>
                <w:p>
                  <w:pPr>
                    <w:ind w:firstLine="360"/>
                    <w:rPr>
                      <w:color w:val="000000"/>
                      <w:szCs w:val="21"/>
                    </w:rPr>
                  </w:pPr>
                  <w:r>
                    <w:rPr>
                      <w:rFonts w:hint="eastAsia"/>
                      <w:color w:val="000000"/>
                      <w:szCs w:val="21"/>
                    </w:rPr>
                    <w:t>（</w:t>
                  </w:r>
                  <w:r>
                    <w:rPr>
                      <w:color w:val="000000"/>
                      <w:szCs w:val="21"/>
                    </w:rPr>
                    <w:t>TP</w:t>
                  </w:r>
                  <w:r>
                    <w:rPr>
                      <w:rFonts w:hint="eastAsia"/>
                      <w:color w:val="000000"/>
                      <w:szCs w:val="21"/>
                    </w:rPr>
                    <w:t>）</w:t>
                  </w:r>
                </w:p>
              </w:tc>
              <w:tc>
                <w:tcPr>
                  <w:tcW w:w="2215" w:type="dxa"/>
                  <w:gridSpan w:val="5"/>
                  <w:vAlign w:val="center"/>
                </w:tcPr>
                <w:p>
                  <w:pPr>
                    <w:ind w:firstLine="360"/>
                    <w:rPr>
                      <w:color w:val="000000"/>
                      <w:szCs w:val="21"/>
                    </w:rPr>
                  </w:pPr>
                  <w:r>
                    <w:rPr>
                      <w:rFonts w:hint="eastAsia"/>
                      <w:color w:val="000000"/>
                      <w:szCs w:val="21"/>
                    </w:rPr>
                    <w:t>（</w:t>
                  </w:r>
                  <w:r>
                    <w:rPr>
                      <w:color w:val="000000"/>
                      <w:szCs w:val="21"/>
                    </w:rPr>
                    <w:t>0.</w:t>
                  </w:r>
                  <w:r>
                    <w:rPr>
                      <w:rFonts w:hint="eastAsia"/>
                      <w:color w:val="000000"/>
                      <w:szCs w:val="21"/>
                      <w:lang w:val="en-US" w:eastAsia="zh-CN"/>
                    </w:rPr>
                    <w:t>0036</w:t>
                  </w:r>
                  <w:r>
                    <w:rPr>
                      <w:rFonts w:hint="eastAsia"/>
                      <w:color w:val="000000"/>
                      <w:szCs w:val="21"/>
                    </w:rPr>
                    <w:t>）</w:t>
                  </w:r>
                </w:p>
                <w:p>
                  <w:pPr>
                    <w:ind w:firstLine="360"/>
                    <w:rPr>
                      <w:color w:val="000000"/>
                      <w:szCs w:val="21"/>
                    </w:rPr>
                  </w:pPr>
                  <w:r>
                    <w:rPr>
                      <w:rFonts w:hint="eastAsia"/>
                      <w:color w:val="000000"/>
                      <w:szCs w:val="21"/>
                    </w:rPr>
                    <w:t>（</w:t>
                  </w:r>
                  <w:r>
                    <w:rPr>
                      <w:color w:val="000000"/>
                      <w:szCs w:val="21"/>
                    </w:rPr>
                    <w:t>0.0</w:t>
                  </w:r>
                  <w:r>
                    <w:rPr>
                      <w:rFonts w:hint="eastAsia"/>
                      <w:color w:val="000000"/>
                      <w:szCs w:val="21"/>
                    </w:rPr>
                    <w:t>0</w:t>
                  </w:r>
                  <w:r>
                    <w:rPr>
                      <w:rFonts w:hint="eastAsia"/>
                      <w:color w:val="000000"/>
                      <w:szCs w:val="21"/>
                      <w:lang w:val="en-US" w:eastAsia="zh-CN"/>
                    </w:rPr>
                    <w:t>072</w:t>
                  </w:r>
                  <w:r>
                    <w:rPr>
                      <w:rFonts w:hint="eastAsia"/>
                      <w:color w:val="000000"/>
                      <w:szCs w:val="21"/>
                    </w:rPr>
                    <w:t>）</w:t>
                  </w:r>
                </w:p>
                <w:p>
                  <w:pPr>
                    <w:ind w:firstLine="360"/>
                    <w:rPr>
                      <w:color w:val="000000"/>
                      <w:szCs w:val="21"/>
                    </w:rPr>
                  </w:pPr>
                  <w:r>
                    <w:rPr>
                      <w:rFonts w:hint="eastAsia"/>
                      <w:color w:val="000000"/>
                      <w:szCs w:val="21"/>
                    </w:rPr>
                    <w:t>（</w:t>
                  </w:r>
                  <w:r>
                    <w:rPr>
                      <w:color w:val="000000"/>
                      <w:szCs w:val="21"/>
                    </w:rPr>
                    <w:t>0.0</w:t>
                  </w:r>
                  <w:r>
                    <w:rPr>
                      <w:rFonts w:hint="eastAsia"/>
                      <w:color w:val="000000"/>
                      <w:szCs w:val="21"/>
                    </w:rPr>
                    <w:t>0</w:t>
                  </w:r>
                  <w:r>
                    <w:rPr>
                      <w:rFonts w:hint="eastAsia"/>
                      <w:color w:val="000000"/>
                      <w:szCs w:val="21"/>
                      <w:lang w:val="en-US" w:eastAsia="zh-CN"/>
                    </w:rPr>
                    <w:t>035</w:t>
                  </w:r>
                  <w:r>
                    <w:rPr>
                      <w:rFonts w:hint="eastAsia"/>
                      <w:color w:val="000000"/>
                      <w:szCs w:val="21"/>
                    </w:rPr>
                    <w:t>）</w:t>
                  </w:r>
                </w:p>
                <w:p>
                  <w:pPr>
                    <w:ind w:firstLine="360"/>
                    <w:rPr>
                      <w:color w:val="000000"/>
                      <w:szCs w:val="21"/>
                    </w:rPr>
                  </w:pPr>
                  <w:r>
                    <w:rPr>
                      <w:rFonts w:hint="eastAsia"/>
                      <w:color w:val="000000"/>
                      <w:szCs w:val="21"/>
                    </w:rPr>
                    <w:t>（</w:t>
                  </w:r>
                  <w:r>
                    <w:rPr>
                      <w:color w:val="000000"/>
                      <w:szCs w:val="21"/>
                    </w:rPr>
                    <w:t>0.0</w:t>
                  </w:r>
                  <w:r>
                    <w:rPr>
                      <w:rFonts w:hint="eastAsia"/>
                      <w:color w:val="000000"/>
                      <w:szCs w:val="21"/>
                    </w:rPr>
                    <w:t>0</w:t>
                  </w:r>
                  <w:r>
                    <w:rPr>
                      <w:rFonts w:hint="eastAsia"/>
                      <w:color w:val="000000"/>
                      <w:szCs w:val="21"/>
                      <w:lang w:val="en-US" w:eastAsia="zh-CN"/>
                    </w:rPr>
                    <w:t>108</w:t>
                  </w:r>
                  <w:r>
                    <w:rPr>
                      <w:rFonts w:hint="eastAsia"/>
                      <w:color w:val="000000"/>
                      <w:szCs w:val="21"/>
                    </w:rPr>
                    <w:t>）</w:t>
                  </w:r>
                </w:p>
                <w:p>
                  <w:pPr>
                    <w:ind w:firstLine="360"/>
                    <w:rPr>
                      <w:b/>
                      <w:bCs/>
                      <w:color w:val="000000"/>
                      <w:spacing w:val="-4"/>
                      <w:szCs w:val="21"/>
                    </w:rPr>
                  </w:pPr>
                  <w:r>
                    <w:rPr>
                      <w:rFonts w:hint="eastAsia"/>
                      <w:color w:val="000000"/>
                      <w:szCs w:val="21"/>
                    </w:rPr>
                    <w:t>（</w:t>
                  </w:r>
                  <w:r>
                    <w:rPr>
                      <w:color w:val="000000"/>
                      <w:szCs w:val="21"/>
                    </w:rPr>
                    <w:t>0.0</w:t>
                  </w:r>
                  <w:r>
                    <w:rPr>
                      <w:rFonts w:hint="eastAsia"/>
                      <w:color w:val="000000"/>
                      <w:szCs w:val="21"/>
                      <w:lang w:val="en-US" w:eastAsia="zh-CN"/>
                    </w:rPr>
                    <w:t>00</w:t>
                  </w:r>
                  <w:r>
                    <w:rPr>
                      <w:rFonts w:hint="eastAsia"/>
                      <w:color w:val="000000"/>
                      <w:szCs w:val="21"/>
                    </w:rPr>
                    <w:t>036）</w:t>
                  </w:r>
                </w:p>
              </w:tc>
              <w:tc>
                <w:tcPr>
                  <w:tcW w:w="2107" w:type="dxa"/>
                  <w:gridSpan w:val="4"/>
                  <w:vAlign w:val="center"/>
                </w:tcPr>
                <w:p>
                  <w:pPr>
                    <w:ind w:firstLine="360"/>
                    <w:rPr>
                      <w:color w:val="000000"/>
                      <w:szCs w:val="21"/>
                    </w:rPr>
                  </w:pPr>
                  <w:r>
                    <w:rPr>
                      <w:rFonts w:hint="eastAsia"/>
                      <w:color w:val="000000"/>
                      <w:szCs w:val="21"/>
                    </w:rPr>
                    <w:t>（</w:t>
                  </w:r>
                  <w:r>
                    <w:rPr>
                      <w:color w:val="000000"/>
                      <w:szCs w:val="21"/>
                    </w:rPr>
                    <w:t>50</w:t>
                  </w:r>
                  <w:r>
                    <w:rPr>
                      <w:rFonts w:hint="eastAsia"/>
                      <w:color w:val="000000"/>
                      <w:szCs w:val="21"/>
                    </w:rPr>
                    <w:t>）</w:t>
                  </w:r>
                </w:p>
                <w:p>
                  <w:pPr>
                    <w:ind w:firstLine="360"/>
                    <w:rPr>
                      <w:color w:val="000000"/>
                      <w:szCs w:val="21"/>
                    </w:rPr>
                  </w:pPr>
                  <w:r>
                    <w:rPr>
                      <w:rFonts w:hint="eastAsia"/>
                      <w:color w:val="000000"/>
                      <w:szCs w:val="21"/>
                    </w:rPr>
                    <w:t>（1</w:t>
                  </w:r>
                  <w:r>
                    <w:rPr>
                      <w:color w:val="000000"/>
                      <w:szCs w:val="21"/>
                    </w:rPr>
                    <w:t>0</w:t>
                  </w:r>
                  <w:r>
                    <w:rPr>
                      <w:rFonts w:hint="eastAsia"/>
                      <w:color w:val="000000"/>
                      <w:szCs w:val="21"/>
                    </w:rPr>
                    <w:t>）</w:t>
                  </w:r>
                </w:p>
                <w:p>
                  <w:pPr>
                    <w:ind w:firstLine="360"/>
                    <w:rPr>
                      <w:color w:val="000000"/>
                      <w:szCs w:val="21"/>
                    </w:rPr>
                  </w:pPr>
                  <w:r>
                    <w:rPr>
                      <w:rFonts w:hint="eastAsia"/>
                      <w:color w:val="000000"/>
                      <w:szCs w:val="21"/>
                    </w:rPr>
                    <w:t>（</w:t>
                  </w:r>
                  <w:r>
                    <w:rPr>
                      <w:color w:val="000000"/>
                      <w:szCs w:val="21"/>
                    </w:rPr>
                    <w:t>5</w:t>
                  </w:r>
                  <w:r>
                    <w:rPr>
                      <w:rFonts w:hint="eastAsia"/>
                      <w:color w:val="000000"/>
                      <w:szCs w:val="21"/>
                    </w:rPr>
                    <w:t>）</w:t>
                  </w:r>
                </w:p>
                <w:p>
                  <w:pPr>
                    <w:ind w:firstLine="360"/>
                    <w:rPr>
                      <w:color w:val="000000"/>
                      <w:szCs w:val="21"/>
                    </w:rPr>
                  </w:pPr>
                  <w:r>
                    <w:rPr>
                      <w:rFonts w:hint="eastAsia"/>
                      <w:color w:val="000000"/>
                      <w:szCs w:val="21"/>
                    </w:rPr>
                    <w:t>（1</w:t>
                  </w:r>
                  <w:r>
                    <w:rPr>
                      <w:color w:val="000000"/>
                      <w:szCs w:val="21"/>
                    </w:rPr>
                    <w:t>5</w:t>
                  </w:r>
                  <w:r>
                    <w:rPr>
                      <w:rFonts w:hint="eastAsia"/>
                      <w:color w:val="000000"/>
                      <w:szCs w:val="21"/>
                    </w:rPr>
                    <w:t>）</w:t>
                  </w:r>
                </w:p>
                <w:p>
                  <w:pPr>
                    <w:ind w:firstLine="360"/>
                    <w:rPr>
                      <w:color w:val="000000"/>
                      <w:szCs w:val="21"/>
                    </w:rPr>
                  </w:pPr>
                  <w:r>
                    <w:rPr>
                      <w:rFonts w:hint="eastAsia"/>
                      <w:color w:val="000000"/>
                      <w:szCs w:val="21"/>
                    </w:rPr>
                    <w:t>（0.</w:t>
                  </w:r>
                  <w:r>
                    <w:rPr>
                      <w:color w:val="000000"/>
                      <w:szCs w:val="21"/>
                    </w:rPr>
                    <w:t>5</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restart"/>
                  <w:vAlign w:val="center"/>
                </w:tcPr>
                <w:p>
                  <w:pPr>
                    <w:rPr>
                      <w:color w:val="000000"/>
                      <w:szCs w:val="21"/>
                    </w:rPr>
                  </w:pPr>
                  <w:r>
                    <w:rPr>
                      <w:rFonts w:hint="eastAsia"/>
                      <w:color w:val="000000"/>
                      <w:szCs w:val="21"/>
                    </w:rPr>
                    <w:t>替代源排放情况</w:t>
                  </w:r>
                </w:p>
              </w:tc>
              <w:tc>
                <w:tcPr>
                  <w:tcW w:w="1113" w:type="dxa"/>
                  <w:noWrap/>
                  <w:vAlign w:val="center"/>
                </w:tcPr>
                <w:p>
                  <w:pPr>
                    <w:jc w:val="center"/>
                    <w:rPr>
                      <w:color w:val="000000"/>
                      <w:szCs w:val="21"/>
                    </w:rPr>
                  </w:pPr>
                  <w:r>
                    <w:rPr>
                      <w:rFonts w:hint="eastAsia"/>
                      <w:color w:val="000000"/>
                      <w:szCs w:val="21"/>
                    </w:rPr>
                    <w:t>污染源名称</w:t>
                  </w:r>
                </w:p>
              </w:tc>
              <w:tc>
                <w:tcPr>
                  <w:tcW w:w="1329" w:type="dxa"/>
                  <w:gridSpan w:val="3"/>
                  <w:vAlign w:val="center"/>
                </w:tcPr>
                <w:p>
                  <w:pPr>
                    <w:jc w:val="center"/>
                    <w:rPr>
                      <w:color w:val="000000"/>
                      <w:szCs w:val="21"/>
                    </w:rPr>
                  </w:pPr>
                  <w:r>
                    <w:rPr>
                      <w:rFonts w:hint="eastAsia"/>
                      <w:color w:val="000000"/>
                      <w:szCs w:val="21"/>
                    </w:rPr>
                    <w:t>排污许可证编号</w:t>
                  </w:r>
                </w:p>
              </w:tc>
              <w:tc>
                <w:tcPr>
                  <w:tcW w:w="1221" w:type="dxa"/>
                  <w:gridSpan w:val="2"/>
                  <w:vAlign w:val="center"/>
                </w:tcPr>
                <w:p>
                  <w:pPr>
                    <w:jc w:val="center"/>
                    <w:rPr>
                      <w:color w:val="000000"/>
                      <w:szCs w:val="21"/>
                    </w:rPr>
                  </w:pPr>
                  <w:r>
                    <w:rPr>
                      <w:rFonts w:hint="eastAsia"/>
                      <w:color w:val="000000"/>
                      <w:szCs w:val="21"/>
                    </w:rPr>
                    <w:t>污染物名称</w:t>
                  </w:r>
                </w:p>
              </w:tc>
              <w:tc>
                <w:tcPr>
                  <w:tcW w:w="1329" w:type="dxa"/>
                  <w:gridSpan w:val="3"/>
                  <w:vAlign w:val="center"/>
                </w:tcPr>
                <w:p>
                  <w:pPr>
                    <w:jc w:val="center"/>
                    <w:rPr>
                      <w:color w:val="000000"/>
                      <w:szCs w:val="21"/>
                    </w:rPr>
                  </w:pPr>
                  <w:r>
                    <w:rPr>
                      <w:rFonts w:hint="eastAsia"/>
                      <w:color w:val="000000"/>
                      <w:szCs w:val="21"/>
                    </w:rPr>
                    <w:t>排放量</w:t>
                  </w:r>
                  <w:r>
                    <w:rPr>
                      <w:color w:val="000000"/>
                      <w:szCs w:val="21"/>
                    </w:rPr>
                    <w:t>/</w:t>
                  </w:r>
                  <w:r>
                    <w:rPr>
                      <w:rFonts w:hint="eastAsia"/>
                      <w:color w:val="000000"/>
                      <w:szCs w:val="21"/>
                    </w:rPr>
                    <w:t>（</w:t>
                  </w:r>
                  <w:r>
                    <w:rPr>
                      <w:szCs w:val="21"/>
                    </w:rPr>
                    <w:t>t/a</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排放浓度</w:t>
                  </w:r>
                  <w:r>
                    <w:rPr>
                      <w:color w:val="000000"/>
                      <w:szCs w:val="21"/>
                    </w:rPr>
                    <w:t>/</w:t>
                  </w:r>
                  <w:r>
                    <w:rPr>
                      <w:rFonts w:hint="eastAsia"/>
                      <w:color w:val="000000"/>
                      <w:szCs w:val="21"/>
                    </w:rPr>
                    <w:t>（</w:t>
                  </w:r>
                  <w:r>
                    <w:rPr>
                      <w:color w:val="000000"/>
                      <w:szCs w:val="21"/>
                    </w:rPr>
                    <w:t>mg/L</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113" w:type="dxa"/>
                  <w:noWrap/>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221" w:type="dxa"/>
                  <w:gridSpan w:val="2"/>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1329" w:type="dxa"/>
                  <w:gridSpan w:val="3"/>
                  <w:vAlign w:val="center"/>
                </w:tcPr>
                <w:p>
                  <w:pPr>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生态流量确定</w:t>
                  </w:r>
                </w:p>
              </w:tc>
              <w:tc>
                <w:tcPr>
                  <w:tcW w:w="6321" w:type="dxa"/>
                  <w:gridSpan w:val="12"/>
                  <w:noWrap/>
                  <w:vAlign w:val="center"/>
                </w:tcPr>
                <w:p>
                  <w:pPr>
                    <w:rPr>
                      <w:color w:val="000000"/>
                      <w:szCs w:val="21"/>
                    </w:rPr>
                  </w:pPr>
                  <w:r>
                    <w:rPr>
                      <w:rFonts w:hint="eastAsia"/>
                      <w:color w:val="000000"/>
                      <w:szCs w:val="21"/>
                    </w:rPr>
                    <w:t>生态流量：一般水期（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r>
                    <w:rPr>
                      <w:color w:val="000000"/>
                      <w:szCs w:val="21"/>
                      <w:vertAlign w:val="superscript"/>
                    </w:rPr>
                    <w:t>3</w:t>
                  </w:r>
                  <w:r>
                    <w:rPr>
                      <w:color w:val="000000"/>
                      <w:szCs w:val="21"/>
                    </w:rPr>
                    <w:t>/s</w:t>
                  </w:r>
                </w:p>
                <w:p>
                  <w:pPr>
                    <w:rPr>
                      <w:color w:val="000000"/>
                      <w:szCs w:val="21"/>
                    </w:rPr>
                  </w:pPr>
                  <w:r>
                    <w:rPr>
                      <w:rFonts w:hint="eastAsia"/>
                      <w:color w:val="000000"/>
                      <w:szCs w:val="21"/>
                    </w:rPr>
                    <w:t>生态水位：一般水期（</w:t>
                  </w:r>
                  <w:r>
                    <w:rPr>
                      <w:color w:val="000000"/>
                      <w:szCs w:val="21"/>
                    </w:rPr>
                    <w:t xml:space="preserve">   </w:t>
                  </w:r>
                  <w:r>
                    <w:rPr>
                      <w:rFonts w:hint="eastAsia"/>
                      <w:color w:val="000000"/>
                      <w:szCs w:val="21"/>
                    </w:rPr>
                    <w:t>）</w:t>
                  </w:r>
                  <w:r>
                    <w:rPr>
                      <w:color w:val="000000"/>
                      <w:szCs w:val="21"/>
                    </w:rPr>
                    <w:t>m</w:t>
                  </w:r>
                  <w:r>
                    <w:rPr>
                      <w:rFonts w:hint="eastAsia"/>
                      <w:color w:val="000000"/>
                      <w:szCs w:val="21"/>
                    </w:rPr>
                    <w:t>；鱼类繁殖期（</w:t>
                  </w:r>
                  <w:r>
                    <w:rPr>
                      <w:color w:val="000000"/>
                      <w:szCs w:val="21"/>
                    </w:rPr>
                    <w:t xml:space="preserve">   </w:t>
                  </w:r>
                  <w:r>
                    <w:rPr>
                      <w:rFonts w:hint="eastAsia"/>
                      <w:color w:val="000000"/>
                      <w:szCs w:val="21"/>
                    </w:rPr>
                    <w:t>）</w:t>
                  </w:r>
                  <w:r>
                    <w:rPr>
                      <w:color w:val="000000"/>
                      <w:szCs w:val="21"/>
                    </w:rPr>
                    <w:t>m</w:t>
                  </w:r>
                  <w:r>
                    <w:rPr>
                      <w:rFonts w:hint="eastAsia"/>
                      <w:color w:val="000000"/>
                      <w:szCs w:val="21"/>
                    </w:rPr>
                    <w:t>；其他（</w:t>
                  </w:r>
                  <w:r>
                    <w:rPr>
                      <w:color w:val="000000"/>
                      <w:szCs w:val="21"/>
                    </w:rPr>
                    <w:t xml:space="preserve">   </w:t>
                  </w:r>
                  <w:r>
                    <w:rPr>
                      <w:rFonts w:hint="eastAsia"/>
                      <w:color w:val="000000"/>
                      <w:szCs w:val="21"/>
                    </w:rPr>
                    <w:t>）</w:t>
                  </w:r>
                  <w:r>
                    <w:rPr>
                      <w:color w:val="000000"/>
                      <w:szCs w:val="21"/>
                    </w:rPr>
                    <w:t>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restart"/>
                  <w:noWrap/>
                  <w:textDirection w:val="tbRlV"/>
                  <w:vAlign w:val="center"/>
                </w:tcPr>
                <w:p>
                  <w:pPr>
                    <w:ind w:firstLine="360"/>
                    <w:jc w:val="center"/>
                    <w:rPr>
                      <w:color w:val="000000"/>
                      <w:szCs w:val="21"/>
                    </w:rPr>
                  </w:pPr>
                  <w:r>
                    <w:rPr>
                      <w:rFonts w:hint="eastAsia"/>
                      <w:color w:val="000000"/>
                      <w:szCs w:val="21"/>
                    </w:rPr>
                    <w:t>防治措施</w:t>
                  </w:r>
                </w:p>
              </w:tc>
              <w:tc>
                <w:tcPr>
                  <w:tcW w:w="1082" w:type="dxa"/>
                  <w:vAlign w:val="center"/>
                </w:tcPr>
                <w:p>
                  <w:pPr>
                    <w:rPr>
                      <w:color w:val="000000"/>
                      <w:szCs w:val="21"/>
                    </w:rPr>
                  </w:pPr>
                  <w:r>
                    <w:rPr>
                      <w:rFonts w:hint="eastAsia"/>
                      <w:color w:val="000000"/>
                      <w:szCs w:val="21"/>
                    </w:rPr>
                    <w:t>环保措施</w:t>
                  </w:r>
                </w:p>
              </w:tc>
              <w:tc>
                <w:tcPr>
                  <w:tcW w:w="6321" w:type="dxa"/>
                  <w:gridSpan w:val="12"/>
                  <w:noWrap/>
                  <w:vAlign w:val="center"/>
                </w:tcPr>
                <w:p>
                  <w:pPr>
                    <w:rPr>
                      <w:color w:val="000000"/>
                      <w:szCs w:val="21"/>
                    </w:rPr>
                  </w:pPr>
                  <w:r>
                    <w:rPr>
                      <w:rFonts w:hint="eastAsia"/>
                      <w:color w:val="000000"/>
                      <w:szCs w:val="21"/>
                    </w:rPr>
                    <w:t>污水处理设施 □；水文减缓设施 □；生态流量保障设施 □；区域削减 □；依托其他工程措施</w:t>
                  </w:r>
                  <w:r>
                    <w:rPr>
                      <w:color w:val="000000"/>
                      <w:szCs w:val="21"/>
                    </w:rPr>
                    <w:t xml:space="preserve"> </w:t>
                  </w:r>
                  <w:r>
                    <w:rPr>
                      <w:szCs w:val="21"/>
                    </w:rPr>
                    <w:sym w:font="Wingdings 2" w:char="F052"/>
                  </w:r>
                  <w:r>
                    <w:rPr>
                      <w:rFonts w:hint="eastAsia"/>
                      <w:color w:val="000000"/>
                      <w:szCs w:val="21"/>
                    </w:rPr>
                    <w:t>；其他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92" w:type="dxa"/>
                  <w:vMerge w:val="continue"/>
                  <w:vAlign w:val="center"/>
                </w:tcPr>
                <w:p>
                  <w:pPr>
                    <w:ind w:firstLine="360"/>
                    <w:rPr>
                      <w:color w:val="000000"/>
                      <w:szCs w:val="21"/>
                    </w:rPr>
                  </w:pPr>
                </w:p>
              </w:tc>
              <w:tc>
                <w:tcPr>
                  <w:tcW w:w="1082" w:type="dxa"/>
                  <w:vMerge w:val="restart"/>
                  <w:vAlign w:val="center"/>
                </w:tcPr>
                <w:p>
                  <w:pPr>
                    <w:rPr>
                      <w:color w:val="000000"/>
                      <w:szCs w:val="21"/>
                    </w:rPr>
                  </w:pPr>
                  <w:r>
                    <w:rPr>
                      <w:rFonts w:hint="eastAsia"/>
                      <w:color w:val="000000"/>
                      <w:szCs w:val="21"/>
                    </w:rPr>
                    <w:t>监测计划</w:t>
                  </w:r>
                </w:p>
              </w:tc>
              <w:tc>
                <w:tcPr>
                  <w:tcW w:w="1473" w:type="dxa"/>
                  <w:gridSpan w:val="2"/>
                  <w:noWrap/>
                  <w:vAlign w:val="center"/>
                </w:tcPr>
                <w:p>
                  <w:pPr>
                    <w:ind w:firstLine="360"/>
                    <w:jc w:val="center"/>
                    <w:rPr>
                      <w:color w:val="000000"/>
                      <w:szCs w:val="21"/>
                    </w:rPr>
                  </w:pPr>
                </w:p>
              </w:tc>
              <w:tc>
                <w:tcPr>
                  <w:tcW w:w="2424" w:type="dxa"/>
                  <w:gridSpan w:val="5"/>
                  <w:vAlign w:val="center"/>
                </w:tcPr>
                <w:p>
                  <w:pPr>
                    <w:ind w:firstLine="360"/>
                    <w:jc w:val="center"/>
                    <w:rPr>
                      <w:color w:val="000000"/>
                      <w:szCs w:val="21"/>
                    </w:rPr>
                  </w:pPr>
                  <w:r>
                    <w:rPr>
                      <w:rFonts w:hint="eastAsia"/>
                      <w:color w:val="000000"/>
                      <w:szCs w:val="21"/>
                    </w:rPr>
                    <w:t>环境质量</w:t>
                  </w:r>
                </w:p>
              </w:tc>
              <w:tc>
                <w:tcPr>
                  <w:tcW w:w="2424" w:type="dxa"/>
                  <w:gridSpan w:val="5"/>
                  <w:vAlign w:val="center"/>
                </w:tcPr>
                <w:p>
                  <w:pPr>
                    <w:ind w:firstLine="360"/>
                    <w:jc w:val="center"/>
                    <w:rPr>
                      <w:color w:val="000000"/>
                      <w:szCs w:val="21"/>
                    </w:rPr>
                  </w:pPr>
                  <w:r>
                    <w:rPr>
                      <w:rFonts w:hint="eastAsia"/>
                      <w:color w:val="000000"/>
                      <w:szCs w:val="21"/>
                    </w:rPr>
                    <w:t>污染源</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473" w:type="dxa"/>
                  <w:gridSpan w:val="2"/>
                  <w:noWrap/>
                  <w:vAlign w:val="center"/>
                </w:tcPr>
                <w:p>
                  <w:pPr>
                    <w:ind w:firstLine="360"/>
                    <w:jc w:val="center"/>
                    <w:rPr>
                      <w:color w:val="000000"/>
                      <w:szCs w:val="21"/>
                    </w:rPr>
                  </w:pPr>
                  <w:r>
                    <w:rPr>
                      <w:rFonts w:hint="eastAsia"/>
                      <w:color w:val="000000"/>
                      <w:szCs w:val="21"/>
                    </w:rPr>
                    <w:t>监测方式</w:t>
                  </w:r>
                </w:p>
              </w:tc>
              <w:tc>
                <w:tcPr>
                  <w:tcW w:w="2424" w:type="dxa"/>
                  <w:gridSpan w:val="5"/>
                  <w:vAlign w:val="center"/>
                </w:tcPr>
                <w:p>
                  <w:pPr>
                    <w:ind w:firstLine="360"/>
                    <w:jc w:val="center"/>
                    <w:rPr>
                      <w:b/>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c>
                <w:tcPr>
                  <w:tcW w:w="2424" w:type="dxa"/>
                  <w:gridSpan w:val="5"/>
                  <w:vAlign w:val="center"/>
                </w:tcPr>
                <w:p>
                  <w:pPr>
                    <w:ind w:firstLine="360"/>
                    <w:jc w:val="center"/>
                    <w:rPr>
                      <w:color w:val="000000"/>
                      <w:szCs w:val="21"/>
                    </w:rPr>
                  </w:pPr>
                  <w:r>
                    <w:rPr>
                      <w:rFonts w:hint="eastAsia"/>
                      <w:color w:val="000000"/>
                      <w:szCs w:val="21"/>
                    </w:rPr>
                    <w:t>手动</w:t>
                  </w:r>
                  <w:r>
                    <w:rPr>
                      <w:color w:val="000000"/>
                      <w:szCs w:val="21"/>
                    </w:rPr>
                    <w:t xml:space="preserve"> </w:t>
                  </w:r>
                  <w:r>
                    <w:rPr>
                      <w:rFonts w:hint="eastAsia"/>
                      <w:color w:val="000000"/>
                      <w:szCs w:val="21"/>
                    </w:rPr>
                    <w:t>□；自动</w:t>
                  </w:r>
                  <w:r>
                    <w:rPr>
                      <w:color w:val="000000"/>
                      <w:szCs w:val="21"/>
                    </w:rPr>
                    <w:t xml:space="preserve"> </w:t>
                  </w:r>
                  <w:r>
                    <w:rPr>
                      <w:rFonts w:hint="eastAsia"/>
                      <w:color w:val="000000"/>
                      <w:szCs w:val="21"/>
                    </w:rPr>
                    <w:t>□；无监测</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473" w:type="dxa"/>
                  <w:gridSpan w:val="2"/>
                  <w:noWrap/>
                  <w:vAlign w:val="center"/>
                </w:tcPr>
                <w:p>
                  <w:pPr>
                    <w:ind w:firstLine="360"/>
                    <w:jc w:val="center"/>
                    <w:rPr>
                      <w:color w:val="000000"/>
                      <w:szCs w:val="21"/>
                    </w:rPr>
                  </w:pPr>
                  <w:r>
                    <w:rPr>
                      <w:rFonts w:hint="eastAsia"/>
                      <w:color w:val="000000"/>
                      <w:szCs w:val="21"/>
                    </w:rPr>
                    <w:t>监测点位</w:t>
                  </w:r>
                </w:p>
              </w:tc>
              <w:tc>
                <w:tcPr>
                  <w:tcW w:w="2424" w:type="dxa"/>
                  <w:gridSpan w:val="5"/>
                  <w:vAlign w:val="center"/>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vAlign w:val="center"/>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jc w:val="center"/>
              </w:trPr>
              <w:tc>
                <w:tcPr>
                  <w:tcW w:w="792" w:type="dxa"/>
                  <w:vMerge w:val="continue"/>
                  <w:vAlign w:val="center"/>
                </w:tcPr>
                <w:p>
                  <w:pPr>
                    <w:ind w:firstLine="360"/>
                    <w:rPr>
                      <w:color w:val="000000"/>
                      <w:szCs w:val="21"/>
                    </w:rPr>
                  </w:pPr>
                </w:p>
              </w:tc>
              <w:tc>
                <w:tcPr>
                  <w:tcW w:w="1082" w:type="dxa"/>
                  <w:vMerge w:val="continue"/>
                  <w:vAlign w:val="center"/>
                </w:tcPr>
                <w:p>
                  <w:pPr>
                    <w:ind w:firstLine="360"/>
                    <w:jc w:val="center"/>
                    <w:rPr>
                      <w:color w:val="000000"/>
                      <w:szCs w:val="21"/>
                    </w:rPr>
                  </w:pPr>
                </w:p>
              </w:tc>
              <w:tc>
                <w:tcPr>
                  <w:tcW w:w="1473" w:type="dxa"/>
                  <w:gridSpan w:val="2"/>
                  <w:noWrap/>
                  <w:vAlign w:val="center"/>
                </w:tcPr>
                <w:p>
                  <w:pPr>
                    <w:ind w:firstLine="360"/>
                    <w:jc w:val="center"/>
                    <w:rPr>
                      <w:color w:val="000000"/>
                      <w:szCs w:val="21"/>
                    </w:rPr>
                  </w:pPr>
                  <w:r>
                    <w:rPr>
                      <w:rFonts w:hint="eastAsia"/>
                      <w:color w:val="000000"/>
                      <w:szCs w:val="21"/>
                    </w:rPr>
                    <w:t>监测因子</w:t>
                  </w:r>
                </w:p>
              </w:tc>
              <w:tc>
                <w:tcPr>
                  <w:tcW w:w="2424" w:type="dxa"/>
                  <w:gridSpan w:val="5"/>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c>
                <w:tcPr>
                  <w:tcW w:w="2424" w:type="dxa"/>
                  <w:gridSpan w:val="5"/>
                </w:tcPr>
                <w:p>
                  <w:pPr>
                    <w:ind w:firstLine="360"/>
                    <w:jc w:val="center"/>
                    <w:rPr>
                      <w:color w:val="000000"/>
                      <w:szCs w:val="21"/>
                    </w:rPr>
                  </w:pPr>
                  <w:r>
                    <w:rPr>
                      <w:rFonts w:hint="eastAsia"/>
                      <w:color w:val="000000"/>
                      <w:szCs w:val="21"/>
                    </w:rPr>
                    <w:t>（</w:t>
                  </w:r>
                  <w:r>
                    <w:rPr>
                      <w:color w:val="000000"/>
                      <w:szCs w:val="21"/>
                    </w:rPr>
                    <w:t xml:space="preserve">   </w:t>
                  </w:r>
                  <w:r>
                    <w:rPr>
                      <w:rFonts w:hint="eastAsia"/>
                      <w:color w:val="000000"/>
                      <w:szCs w:val="21"/>
                    </w:rPr>
                    <w: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792" w:type="dxa"/>
                  <w:vMerge w:val="continue"/>
                  <w:vAlign w:val="center"/>
                </w:tcPr>
                <w:p>
                  <w:pPr>
                    <w:ind w:firstLine="360"/>
                    <w:rPr>
                      <w:color w:val="000000"/>
                      <w:szCs w:val="21"/>
                    </w:rPr>
                  </w:pPr>
                </w:p>
              </w:tc>
              <w:tc>
                <w:tcPr>
                  <w:tcW w:w="1082" w:type="dxa"/>
                  <w:vAlign w:val="center"/>
                </w:tcPr>
                <w:p>
                  <w:pPr>
                    <w:rPr>
                      <w:color w:val="000000"/>
                      <w:szCs w:val="21"/>
                    </w:rPr>
                  </w:pPr>
                  <w:r>
                    <w:rPr>
                      <w:rFonts w:hint="eastAsia"/>
                      <w:color w:val="000000"/>
                      <w:szCs w:val="21"/>
                    </w:rPr>
                    <w:t>污染物排放清单</w:t>
                  </w:r>
                </w:p>
              </w:tc>
              <w:tc>
                <w:tcPr>
                  <w:tcW w:w="6321" w:type="dxa"/>
                  <w:gridSpan w:val="12"/>
                  <w:noWrap/>
                  <w:vAlign w:val="center"/>
                </w:tcPr>
                <w:p>
                  <w:pPr>
                    <w:ind w:firstLine="440"/>
                    <w:rPr>
                      <w:color w:val="000000"/>
                      <w:szCs w:val="21"/>
                    </w:rPr>
                  </w:pPr>
                  <w:r>
                    <w:rPr>
                      <w:szCs w:val="21"/>
                    </w:rPr>
                    <w:sym w:font="Wingdings 2" w:char="F052"/>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1874" w:type="dxa"/>
                  <w:gridSpan w:val="2"/>
                  <w:noWrap/>
                  <w:vAlign w:val="center"/>
                </w:tcPr>
                <w:p>
                  <w:pPr>
                    <w:ind w:firstLine="360"/>
                    <w:jc w:val="center"/>
                    <w:rPr>
                      <w:color w:val="000000"/>
                      <w:szCs w:val="21"/>
                    </w:rPr>
                  </w:pPr>
                  <w:r>
                    <w:rPr>
                      <w:rFonts w:hint="eastAsia"/>
                      <w:color w:val="000000"/>
                      <w:szCs w:val="21"/>
                    </w:rPr>
                    <w:t>评价结论</w:t>
                  </w:r>
                </w:p>
              </w:tc>
              <w:tc>
                <w:tcPr>
                  <w:tcW w:w="6321" w:type="dxa"/>
                  <w:gridSpan w:val="12"/>
                  <w:noWrap/>
                  <w:vAlign w:val="center"/>
                </w:tcPr>
                <w:p>
                  <w:pPr>
                    <w:ind w:firstLine="360"/>
                    <w:rPr>
                      <w:color w:val="000000"/>
                      <w:szCs w:val="21"/>
                    </w:rPr>
                  </w:pPr>
                  <w:r>
                    <w:rPr>
                      <w:rFonts w:hint="eastAsia"/>
                      <w:color w:val="000000"/>
                      <w:szCs w:val="21"/>
                    </w:rPr>
                    <w:t>可以接受</w:t>
                  </w:r>
                  <w:r>
                    <w:rPr>
                      <w:color w:val="000000"/>
                      <w:szCs w:val="21"/>
                    </w:rPr>
                    <w:t xml:space="preserve"> </w:t>
                  </w:r>
                  <w:r>
                    <w:rPr>
                      <w:szCs w:val="21"/>
                    </w:rPr>
                    <w:sym w:font="Wingdings 2" w:char="F052"/>
                  </w:r>
                  <w:r>
                    <w:rPr>
                      <w:rFonts w:hint="eastAsia"/>
                      <w:color w:val="000000"/>
                      <w:szCs w:val="21"/>
                    </w:rPr>
                    <w:t>；不可以接受 □</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195" w:type="dxa"/>
                  <w:gridSpan w:val="14"/>
                  <w:noWrap/>
                  <w:vAlign w:val="center"/>
                </w:tcPr>
                <w:p>
                  <w:pPr>
                    <w:ind w:firstLine="360"/>
                    <w:rPr>
                      <w:color w:val="000000"/>
                      <w:szCs w:val="21"/>
                    </w:rPr>
                  </w:pPr>
                  <w:r>
                    <w:rPr>
                      <w:rFonts w:hint="eastAsia"/>
                      <w:color w:val="000000"/>
                      <w:szCs w:val="21"/>
                    </w:rPr>
                    <w:t>注：“□”为勾选项，可√；“（</w:t>
                  </w:r>
                  <w:r>
                    <w:rPr>
                      <w:color w:val="000000"/>
                      <w:szCs w:val="21"/>
                    </w:rPr>
                    <w:t xml:space="preserve">   </w:t>
                  </w:r>
                  <w:r>
                    <w:rPr>
                      <w:rFonts w:hint="eastAsia"/>
                      <w:color w:val="000000"/>
                      <w:szCs w:val="21"/>
                    </w:rPr>
                    <w:t>）”为内容填写项；“备注”为其他补充内容。</w:t>
                  </w:r>
                </w:p>
              </w:tc>
            </w:tr>
          </w:tbl>
          <w:p>
            <w:pPr>
              <w:spacing w:line="360" w:lineRule="auto"/>
              <w:rPr>
                <w:rFonts w:hAnsi="宋体"/>
                <w:kern w:val="0"/>
                <w:sz w:val="24"/>
                <w:szCs w:val="24"/>
              </w:rPr>
            </w:pPr>
            <w:r>
              <w:rPr>
                <w:rFonts w:hint="eastAsia" w:hAnsi="宋体"/>
                <w:kern w:val="0"/>
                <w:sz w:val="24"/>
                <w:szCs w:val="24"/>
                <w:lang w:val="en-US" w:eastAsia="zh-CN"/>
              </w:rPr>
              <w:t>2、</w:t>
            </w:r>
            <w:r>
              <w:rPr>
                <w:rFonts w:hint="eastAsia" w:hAnsi="宋体"/>
                <w:kern w:val="0"/>
                <w:sz w:val="24"/>
                <w:szCs w:val="24"/>
              </w:rPr>
              <w:t>废气环境影响分析</w:t>
            </w:r>
          </w:p>
          <w:p>
            <w:pPr>
              <w:spacing w:line="360" w:lineRule="auto"/>
              <w:ind w:firstLine="480" w:firstLineChars="200"/>
              <w:rPr>
                <w:sz w:val="24"/>
              </w:rPr>
            </w:pPr>
            <w:r>
              <w:rPr>
                <w:rFonts w:hint="eastAsia"/>
                <w:sz w:val="24"/>
              </w:rPr>
              <w:t>（1）源强</w:t>
            </w:r>
          </w:p>
          <w:p>
            <w:pPr>
              <w:spacing w:line="360" w:lineRule="auto"/>
              <w:ind w:firstLine="480" w:firstLineChars="200"/>
              <w:rPr>
                <w:sz w:val="24"/>
              </w:rPr>
            </w:pPr>
            <w:r>
              <w:rPr>
                <w:sz w:val="24"/>
              </w:rPr>
              <w:t>本项目大气污染物主要是</w:t>
            </w:r>
            <w:r>
              <w:rPr>
                <w:rFonts w:hint="eastAsia"/>
                <w:sz w:val="24"/>
              </w:rPr>
              <w:t>打孔工序产生的粉尘。</w:t>
            </w:r>
          </w:p>
          <w:p>
            <w:pPr>
              <w:spacing w:line="360" w:lineRule="auto"/>
              <w:ind w:firstLine="480" w:firstLineChars="200"/>
              <w:rPr>
                <w:sz w:val="24"/>
              </w:rPr>
            </w:pPr>
            <w:r>
              <w:rPr>
                <w:rFonts w:hint="eastAsia"/>
                <w:sz w:val="24"/>
              </w:rPr>
              <w:t>根据工程分析，本项目新建后全厂废气排放量见</w:t>
            </w:r>
            <w:r>
              <w:rPr>
                <w:rFonts w:hint="eastAsia"/>
                <w:b/>
                <w:sz w:val="24"/>
              </w:rPr>
              <w:t>表7-1</w:t>
            </w:r>
            <w:r>
              <w:rPr>
                <w:rFonts w:hint="eastAsia"/>
                <w:sz w:val="24"/>
              </w:rPr>
              <w:t>。</w:t>
            </w:r>
          </w:p>
          <w:p>
            <w:pPr>
              <w:spacing w:line="400" w:lineRule="exact"/>
              <w:jc w:val="center"/>
              <w:rPr>
                <w:b/>
                <w:sz w:val="24"/>
                <w:szCs w:val="24"/>
              </w:rPr>
            </w:pPr>
            <w:r>
              <w:rPr>
                <w:b/>
                <w:sz w:val="24"/>
                <w:szCs w:val="24"/>
              </w:rPr>
              <w:t>表7-1</w:t>
            </w:r>
            <w:r>
              <w:rPr>
                <w:rFonts w:hint="eastAsia"/>
                <w:b/>
                <w:sz w:val="24"/>
                <w:szCs w:val="24"/>
              </w:rPr>
              <w:t>全厂</w:t>
            </w:r>
            <w:r>
              <w:rPr>
                <w:b/>
                <w:sz w:val="24"/>
                <w:szCs w:val="24"/>
              </w:rPr>
              <w:t>废气产生及排放情况</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93"/>
              <w:gridCol w:w="1143"/>
              <w:gridCol w:w="1018"/>
              <w:gridCol w:w="1332"/>
              <w:gridCol w:w="1566"/>
              <w:gridCol w:w="139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9" w:type="dxa"/>
                  <w:vAlign w:val="center"/>
                </w:tcPr>
                <w:p>
                  <w:pPr>
                    <w:jc w:val="center"/>
                    <w:rPr>
                      <w:b/>
                      <w:szCs w:val="21"/>
                    </w:rPr>
                  </w:pPr>
                  <w:r>
                    <w:rPr>
                      <w:b/>
                      <w:szCs w:val="21"/>
                    </w:rPr>
                    <w:t>工序</w:t>
                  </w:r>
                </w:p>
              </w:tc>
              <w:tc>
                <w:tcPr>
                  <w:tcW w:w="893" w:type="dxa"/>
                  <w:vAlign w:val="center"/>
                </w:tcPr>
                <w:p>
                  <w:pPr>
                    <w:ind w:firstLine="2" w:firstLineChars="1"/>
                    <w:jc w:val="center"/>
                    <w:rPr>
                      <w:b/>
                      <w:szCs w:val="21"/>
                    </w:rPr>
                  </w:pPr>
                  <w:r>
                    <w:rPr>
                      <w:b/>
                      <w:szCs w:val="21"/>
                    </w:rPr>
                    <w:t>污染物名称</w:t>
                  </w:r>
                </w:p>
              </w:tc>
              <w:tc>
                <w:tcPr>
                  <w:tcW w:w="1143" w:type="dxa"/>
                  <w:vAlign w:val="center"/>
                </w:tcPr>
                <w:p>
                  <w:pPr>
                    <w:ind w:firstLine="2" w:firstLineChars="1"/>
                    <w:jc w:val="center"/>
                    <w:rPr>
                      <w:b/>
                      <w:szCs w:val="21"/>
                    </w:rPr>
                  </w:pPr>
                  <w:r>
                    <w:rPr>
                      <w:rFonts w:hint="eastAsia"/>
                      <w:b/>
                      <w:szCs w:val="21"/>
                    </w:rPr>
                    <w:t>污染因子</w:t>
                  </w:r>
                </w:p>
              </w:tc>
              <w:tc>
                <w:tcPr>
                  <w:tcW w:w="1018" w:type="dxa"/>
                  <w:vAlign w:val="center"/>
                </w:tcPr>
                <w:p>
                  <w:pPr>
                    <w:jc w:val="center"/>
                    <w:rPr>
                      <w:b/>
                      <w:szCs w:val="21"/>
                    </w:rPr>
                  </w:pPr>
                  <w:r>
                    <w:rPr>
                      <w:b/>
                      <w:szCs w:val="21"/>
                    </w:rPr>
                    <w:t>产生量</w:t>
                  </w:r>
                </w:p>
              </w:tc>
              <w:tc>
                <w:tcPr>
                  <w:tcW w:w="1332" w:type="dxa"/>
                  <w:vAlign w:val="center"/>
                </w:tcPr>
                <w:p>
                  <w:pPr>
                    <w:jc w:val="center"/>
                    <w:rPr>
                      <w:b/>
                      <w:szCs w:val="21"/>
                    </w:rPr>
                  </w:pPr>
                  <w:r>
                    <w:rPr>
                      <w:b/>
                      <w:szCs w:val="21"/>
                    </w:rPr>
                    <w:t>排放量</w:t>
                  </w:r>
                </w:p>
              </w:tc>
              <w:tc>
                <w:tcPr>
                  <w:tcW w:w="1566" w:type="dxa"/>
                  <w:vAlign w:val="center"/>
                </w:tcPr>
                <w:p>
                  <w:pPr>
                    <w:jc w:val="center"/>
                    <w:rPr>
                      <w:b/>
                      <w:szCs w:val="21"/>
                    </w:rPr>
                  </w:pPr>
                  <w:r>
                    <w:rPr>
                      <w:b/>
                      <w:szCs w:val="21"/>
                    </w:rPr>
                    <w:t>排放速率</w:t>
                  </w:r>
                </w:p>
              </w:tc>
              <w:tc>
                <w:tcPr>
                  <w:tcW w:w="1392" w:type="dxa"/>
                  <w:vAlign w:val="center"/>
                </w:tcPr>
                <w:p>
                  <w:pPr>
                    <w:jc w:val="center"/>
                    <w:rPr>
                      <w:b/>
                      <w:szCs w:val="21"/>
                    </w:rPr>
                  </w:pPr>
                  <w:r>
                    <w:rPr>
                      <w:b/>
                      <w:szCs w:val="21"/>
                    </w:rPr>
                    <w:t>排放方式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69" w:type="dxa"/>
                  <w:vAlign w:val="center"/>
                </w:tcPr>
                <w:p>
                  <w:pPr>
                    <w:jc w:val="center"/>
                    <w:rPr>
                      <w:rFonts w:hAnsi="宋体"/>
                      <w:kern w:val="0"/>
                      <w:szCs w:val="21"/>
                    </w:rPr>
                  </w:pPr>
                  <w:r>
                    <w:rPr>
                      <w:rFonts w:hint="eastAsia" w:hAnsi="宋体"/>
                      <w:kern w:val="0"/>
                      <w:szCs w:val="21"/>
                    </w:rPr>
                    <w:t>打孔</w:t>
                  </w:r>
                </w:p>
              </w:tc>
              <w:tc>
                <w:tcPr>
                  <w:tcW w:w="893" w:type="dxa"/>
                  <w:vAlign w:val="center"/>
                </w:tcPr>
                <w:p>
                  <w:pPr>
                    <w:jc w:val="center"/>
                    <w:rPr>
                      <w:kern w:val="0"/>
                      <w:szCs w:val="21"/>
                    </w:rPr>
                  </w:pPr>
                  <w:r>
                    <w:rPr>
                      <w:rFonts w:hint="eastAsia"/>
                      <w:kern w:val="0"/>
                      <w:szCs w:val="21"/>
                    </w:rPr>
                    <w:t>粉尘</w:t>
                  </w:r>
                </w:p>
              </w:tc>
              <w:tc>
                <w:tcPr>
                  <w:tcW w:w="1143" w:type="dxa"/>
                  <w:vAlign w:val="center"/>
                </w:tcPr>
                <w:p>
                  <w:pPr>
                    <w:jc w:val="center"/>
                    <w:rPr>
                      <w:kern w:val="0"/>
                      <w:szCs w:val="21"/>
                    </w:rPr>
                  </w:pPr>
                  <w:r>
                    <w:rPr>
                      <w:rFonts w:hint="eastAsia"/>
                      <w:kern w:val="0"/>
                      <w:szCs w:val="21"/>
                    </w:rPr>
                    <w:t>颗粒物</w:t>
                  </w:r>
                </w:p>
              </w:tc>
              <w:tc>
                <w:tcPr>
                  <w:tcW w:w="1018" w:type="dxa"/>
                  <w:vAlign w:val="center"/>
                </w:tcPr>
                <w:p>
                  <w:pPr>
                    <w:pStyle w:val="127"/>
                    <w:spacing w:line="240" w:lineRule="auto"/>
                    <w:rPr>
                      <w:rFonts w:ascii="Times New Roman" w:hAnsi="Times New Roman" w:cs="Times New Roman"/>
                    </w:rPr>
                  </w:pPr>
                  <w:r>
                    <w:rPr>
                      <w:rFonts w:hint="eastAsia" w:ascii="Times New Roman" w:hAnsi="Times New Roman" w:cs="Times New Roman"/>
                    </w:rPr>
                    <w:t>0.005</w:t>
                  </w:r>
                  <w:r>
                    <w:rPr>
                      <w:rFonts w:ascii="Times New Roman" w:hAnsi="Times New Roman" w:cs="Times New Roman"/>
                      <w:lang w:val="fi-FI"/>
                    </w:rPr>
                    <w:t>t/a</w:t>
                  </w:r>
                </w:p>
              </w:tc>
              <w:tc>
                <w:tcPr>
                  <w:tcW w:w="1332" w:type="dxa"/>
                  <w:vAlign w:val="center"/>
                </w:tcPr>
                <w:p>
                  <w:pPr>
                    <w:pStyle w:val="127"/>
                    <w:spacing w:line="240" w:lineRule="auto"/>
                    <w:rPr>
                      <w:rFonts w:ascii="Times New Roman" w:hAnsi="Times New Roman" w:cs="Times New Roman"/>
                    </w:rPr>
                  </w:pPr>
                  <w:r>
                    <w:rPr>
                      <w:rFonts w:hint="eastAsia" w:ascii="Times New Roman" w:hAnsi="Times New Roman" w:cs="Times New Roman"/>
                      <w:kern w:val="0"/>
                      <w:szCs w:val="21"/>
                      <w:lang w:eastAsia="zh-CN"/>
                    </w:rPr>
                    <w:t>0.000725</w:t>
                  </w:r>
                  <w:r>
                    <w:rPr>
                      <w:rFonts w:hint="eastAsia" w:ascii="Times New Roman" w:hAnsi="Times New Roman" w:cs="Times New Roman"/>
                      <w:kern w:val="0"/>
                      <w:szCs w:val="21"/>
                    </w:rPr>
                    <w:t>t</w:t>
                  </w:r>
                  <w:r>
                    <w:rPr>
                      <w:rFonts w:ascii="Times New Roman" w:hAnsi="Times New Roman" w:cs="Times New Roman"/>
                      <w:lang w:val="fi-FI"/>
                    </w:rPr>
                    <w:t>/a</w:t>
                  </w:r>
                </w:p>
              </w:tc>
              <w:tc>
                <w:tcPr>
                  <w:tcW w:w="1566" w:type="dxa"/>
                  <w:vAlign w:val="center"/>
                </w:tcPr>
                <w:p>
                  <w:pPr>
                    <w:pStyle w:val="127"/>
                    <w:spacing w:line="240" w:lineRule="auto"/>
                    <w:rPr>
                      <w:rFonts w:ascii="Times New Roman" w:hAnsi="Times New Roman" w:cs="Times New Roman"/>
                    </w:rPr>
                  </w:pPr>
                  <w:r>
                    <w:rPr>
                      <w:rFonts w:hint="eastAsia" w:ascii="Times New Roman" w:hAnsi="Times New Roman" w:cs="Times New Roman"/>
                      <w:lang w:eastAsia="zh-CN"/>
                    </w:rPr>
                    <w:t>0.0024</w:t>
                  </w:r>
                  <w:r>
                    <w:rPr>
                      <w:rFonts w:ascii="Times New Roman" w:hAnsi="Times New Roman" w:cs="Times New Roman"/>
                      <w:lang w:val="fi-FI"/>
                    </w:rPr>
                    <w:t>kg/h</w:t>
                  </w:r>
                </w:p>
              </w:tc>
              <w:tc>
                <w:tcPr>
                  <w:tcW w:w="1392" w:type="dxa"/>
                  <w:vAlign w:val="center"/>
                </w:tcPr>
                <w:p>
                  <w:pPr>
                    <w:jc w:val="center"/>
                    <w:rPr>
                      <w:szCs w:val="21"/>
                    </w:rPr>
                  </w:pPr>
                  <w:r>
                    <w:rPr>
                      <w:rFonts w:hint="eastAsia"/>
                      <w:szCs w:val="21"/>
                    </w:rPr>
                    <w:t>布袋除尘</w:t>
                  </w:r>
                  <w:r>
                    <w:rPr>
                      <w:rFonts w:hint="eastAsia"/>
                      <w:szCs w:val="21"/>
                      <w:lang w:eastAsia="zh-CN"/>
                    </w:rPr>
                    <w:t>处理</w:t>
                  </w:r>
                  <w:r>
                    <w:rPr>
                      <w:rFonts w:hint="eastAsia"/>
                      <w:szCs w:val="21"/>
                    </w:rPr>
                    <w:t>后无</w:t>
                  </w:r>
                  <w:r>
                    <w:rPr>
                      <w:szCs w:val="21"/>
                    </w:rPr>
                    <w:t>组织</w:t>
                  </w:r>
                  <w:r>
                    <w:rPr>
                      <w:rFonts w:hint="eastAsia"/>
                      <w:szCs w:val="21"/>
                    </w:rPr>
                    <w:t>排放</w:t>
                  </w:r>
                </w:p>
              </w:tc>
            </w:tr>
          </w:tbl>
          <w:p>
            <w:pPr>
              <w:numPr>
                <w:ilvl w:val="0"/>
                <w:numId w:val="16"/>
              </w:numPr>
              <w:adjustRightInd w:val="0"/>
              <w:snapToGrid w:val="0"/>
              <w:spacing w:line="360" w:lineRule="auto"/>
              <w:ind w:firstLine="480"/>
              <w:rPr>
                <w:rFonts w:hint="eastAsia"/>
                <w:sz w:val="24"/>
              </w:rPr>
            </w:pPr>
            <w:r>
              <w:rPr>
                <w:rFonts w:hint="eastAsia"/>
                <w:sz w:val="24"/>
              </w:rPr>
              <w:t>无组织预测</w:t>
            </w:r>
          </w:p>
          <w:p>
            <w:pPr>
              <w:pStyle w:val="25"/>
              <w:keepNext w:val="0"/>
              <w:keepLines w:val="0"/>
              <w:pageBreakBefore w:val="0"/>
              <w:widowControl w:val="0"/>
              <w:kinsoku/>
              <w:wordWrap/>
              <w:overflowPunct/>
              <w:topLinePunct w:val="0"/>
              <w:autoSpaceDE/>
              <w:autoSpaceDN/>
              <w:bidi w:val="0"/>
              <w:adjustRightInd w:val="0"/>
              <w:snapToGrid w:val="0"/>
              <w:spacing w:before="0"/>
              <w:ind w:firstLine="480" w:firstLineChars="200"/>
              <w:textAlignment w:val="auto"/>
              <w:rPr>
                <w:rFonts w:hint="eastAsia"/>
                <w:lang w:eastAsia="zh-CN"/>
              </w:rPr>
            </w:pPr>
            <w:r>
              <w:rPr>
                <w:rFonts w:hint="eastAsia"/>
                <w:lang w:eastAsia="zh-CN"/>
              </w:rPr>
              <w:t>本项目评价因子和评价标准见下表</w:t>
            </w:r>
            <w:r>
              <w:rPr>
                <w:rFonts w:hint="default" w:ascii="Times New Roman" w:hAnsi="Times New Roman" w:cs="Times New Roman"/>
                <w:lang w:val="en-US" w:eastAsia="zh-CN"/>
              </w:rPr>
              <w:t>7-2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sz w:val="24"/>
                <w:lang w:val="en-US" w:eastAsia="zh-CN"/>
              </w:rPr>
            </w:pPr>
            <w:r>
              <w:rPr>
                <w:rFonts w:hint="eastAsia"/>
                <w:b/>
                <w:sz w:val="24"/>
                <w:lang w:eastAsia="zh-CN"/>
              </w:rPr>
              <w:t>表</w:t>
            </w:r>
            <w:r>
              <w:rPr>
                <w:rFonts w:hint="eastAsia"/>
                <w:b/>
                <w:sz w:val="24"/>
                <w:lang w:val="en-US" w:eastAsia="zh-CN"/>
              </w:rPr>
              <w:t>7-2 评价因子和评价标准表</w:t>
            </w:r>
          </w:p>
          <w:tbl>
            <w:tblPr>
              <w:tblStyle w:val="76"/>
              <w:tblW w:w="831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830"/>
              <w:gridCol w:w="1740"/>
              <w:gridCol w:w="334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99" w:type="dxa"/>
                  <w:tcBorders>
                    <w:tl2br w:val="nil"/>
                    <w:tr2bl w:val="nil"/>
                  </w:tcBorders>
                  <w:noWrap w:val="0"/>
                  <w:vAlign w:val="center"/>
                </w:tcPr>
                <w:p>
                  <w:pPr>
                    <w:pStyle w:val="25"/>
                    <w:jc w:val="center"/>
                    <w:rPr>
                      <w:rFonts w:hint="eastAsia"/>
                      <w:sz w:val="21"/>
                      <w:szCs w:val="21"/>
                      <w:vertAlign w:val="baseline"/>
                      <w:lang w:val="en-US" w:eastAsia="zh-CN"/>
                    </w:rPr>
                  </w:pPr>
                  <w:r>
                    <w:rPr>
                      <w:rFonts w:hint="eastAsia"/>
                      <w:sz w:val="21"/>
                      <w:szCs w:val="21"/>
                      <w:vertAlign w:val="baseline"/>
                      <w:lang w:val="en-US" w:eastAsia="zh-CN"/>
                    </w:rPr>
                    <w:t>评价因子</w:t>
                  </w:r>
                </w:p>
              </w:tc>
              <w:tc>
                <w:tcPr>
                  <w:tcW w:w="1830" w:type="dxa"/>
                  <w:tcBorders>
                    <w:tl2br w:val="nil"/>
                    <w:tr2bl w:val="nil"/>
                  </w:tcBorders>
                  <w:noWrap w:val="0"/>
                  <w:vAlign w:val="center"/>
                </w:tcPr>
                <w:p>
                  <w:pPr>
                    <w:pStyle w:val="25"/>
                    <w:jc w:val="center"/>
                    <w:rPr>
                      <w:rFonts w:hint="eastAsia"/>
                      <w:sz w:val="21"/>
                      <w:szCs w:val="21"/>
                      <w:vertAlign w:val="baseline"/>
                      <w:lang w:val="en-US" w:eastAsia="zh-CN"/>
                    </w:rPr>
                  </w:pPr>
                  <w:r>
                    <w:rPr>
                      <w:rFonts w:hint="eastAsia"/>
                      <w:sz w:val="21"/>
                      <w:szCs w:val="21"/>
                      <w:vertAlign w:val="baseline"/>
                      <w:lang w:val="en-US" w:eastAsia="zh-CN"/>
                    </w:rPr>
                    <w:t>平均时段</w:t>
                  </w:r>
                </w:p>
              </w:tc>
              <w:tc>
                <w:tcPr>
                  <w:tcW w:w="1740" w:type="dxa"/>
                  <w:tcBorders>
                    <w:tl2br w:val="nil"/>
                    <w:tr2bl w:val="nil"/>
                  </w:tcBorders>
                  <w:noWrap w:val="0"/>
                  <w:vAlign w:val="center"/>
                </w:tcPr>
                <w:p>
                  <w:pPr>
                    <w:pStyle w:val="25"/>
                    <w:jc w:val="center"/>
                    <w:rPr>
                      <w:rFonts w:hint="eastAsia"/>
                      <w:sz w:val="21"/>
                      <w:szCs w:val="21"/>
                      <w:vertAlign w:val="baseline"/>
                      <w:lang w:val="en-US" w:eastAsia="zh-CN"/>
                    </w:rPr>
                  </w:pPr>
                  <w:r>
                    <w:rPr>
                      <w:rFonts w:hint="eastAsia"/>
                      <w:sz w:val="21"/>
                      <w:szCs w:val="21"/>
                      <w:vertAlign w:val="baseline"/>
                      <w:lang w:val="en-US" w:eastAsia="zh-CN"/>
                    </w:rPr>
                    <w:t>标准值（</w:t>
                  </w:r>
                  <w:r>
                    <w:rPr>
                      <w:rFonts w:hint="default" w:ascii="Times New Roman" w:hAnsi="Times New Roman" w:cs="Times New Roman"/>
                      <w:kern w:val="2"/>
                      <w:sz w:val="21"/>
                      <w:szCs w:val="21"/>
                      <w:lang w:val="en-US" w:eastAsia="zh-CN" w:bidi="ar-SA"/>
                    </w:rPr>
                    <w:t>μ</w:t>
                  </w:r>
                  <w:r>
                    <w:rPr>
                      <w:rFonts w:hint="eastAsia" w:ascii="Times New Roman" w:hAnsi="Times New Roman" w:cs="Times New Roman"/>
                      <w:kern w:val="2"/>
                      <w:sz w:val="21"/>
                      <w:szCs w:val="21"/>
                      <w:lang w:val="en-US" w:eastAsia="zh-CN" w:bidi="ar-SA"/>
                    </w:rPr>
                    <w:t>g/m</w:t>
                  </w:r>
                  <w:r>
                    <w:rPr>
                      <w:rFonts w:hint="eastAsia" w:ascii="Times New Roman" w:hAnsi="Times New Roman" w:cs="Times New Roman"/>
                      <w:kern w:val="2"/>
                      <w:sz w:val="21"/>
                      <w:szCs w:val="21"/>
                      <w:vertAlign w:val="superscript"/>
                      <w:lang w:val="en-US" w:eastAsia="zh-CN" w:bidi="ar-SA"/>
                    </w:rPr>
                    <w:t>3</w:t>
                  </w:r>
                  <w:r>
                    <w:rPr>
                      <w:rFonts w:hint="eastAsia" w:ascii="Times New Roman" w:hAnsi="Times New Roman" w:cs="Times New Roman"/>
                      <w:kern w:val="2"/>
                      <w:sz w:val="21"/>
                      <w:szCs w:val="21"/>
                      <w:lang w:val="en-US" w:eastAsia="zh-CN" w:bidi="ar-SA"/>
                    </w:rPr>
                    <w:t>）</w:t>
                  </w:r>
                </w:p>
              </w:tc>
              <w:tc>
                <w:tcPr>
                  <w:tcW w:w="3344" w:type="dxa"/>
                  <w:tcBorders>
                    <w:tl2br w:val="nil"/>
                    <w:tr2bl w:val="nil"/>
                  </w:tcBorders>
                  <w:noWrap w:val="0"/>
                  <w:vAlign w:val="center"/>
                </w:tcPr>
                <w:p>
                  <w:pPr>
                    <w:pStyle w:val="25"/>
                    <w:jc w:val="center"/>
                    <w:rPr>
                      <w:rFonts w:hint="eastAsia"/>
                      <w:sz w:val="21"/>
                      <w:szCs w:val="21"/>
                      <w:vertAlign w:val="baseline"/>
                      <w:lang w:val="en-US" w:eastAsia="zh-CN"/>
                    </w:rPr>
                  </w:pPr>
                  <w:r>
                    <w:rPr>
                      <w:rFonts w:hint="eastAsia"/>
                      <w:sz w:val="21"/>
                      <w:szCs w:val="21"/>
                      <w:vertAlign w:val="baseline"/>
                      <w:lang w:val="en-US" w:eastAsia="zh-CN"/>
                    </w:rPr>
                    <w:t>标准来源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99" w:type="dxa"/>
                  <w:tcBorders>
                    <w:tl2br w:val="nil"/>
                    <w:tr2bl w:val="nil"/>
                  </w:tcBorders>
                  <w:noWrap w:val="0"/>
                  <w:vAlign w:val="center"/>
                </w:tcPr>
                <w:p>
                  <w:pPr>
                    <w:pStyle w:val="25"/>
                    <w:jc w:val="center"/>
                    <w:rPr>
                      <w:rFonts w:hint="eastAsia"/>
                      <w:sz w:val="21"/>
                      <w:szCs w:val="21"/>
                      <w:vertAlign w:val="baseline"/>
                      <w:lang w:val="en-US" w:eastAsia="zh-CN"/>
                    </w:rPr>
                  </w:pPr>
                  <w:r>
                    <w:rPr>
                      <w:rFonts w:hint="eastAsia"/>
                      <w:sz w:val="21"/>
                      <w:szCs w:val="21"/>
                      <w:vertAlign w:val="baseline"/>
                      <w:lang w:val="en-US" w:eastAsia="zh-CN"/>
                    </w:rPr>
                    <w:t>颗粒物</w:t>
                  </w:r>
                </w:p>
              </w:tc>
              <w:tc>
                <w:tcPr>
                  <w:tcW w:w="1830" w:type="dxa"/>
                  <w:tcBorders>
                    <w:tl2br w:val="nil"/>
                    <w:tr2bl w:val="nil"/>
                  </w:tcBorders>
                  <w:noWrap w:val="0"/>
                  <w:vAlign w:val="center"/>
                </w:tcPr>
                <w:p>
                  <w:pPr>
                    <w:pStyle w:val="25"/>
                    <w:jc w:val="center"/>
                    <w:rPr>
                      <w:rFonts w:hint="eastAsia"/>
                      <w:color w:val="auto"/>
                      <w:sz w:val="21"/>
                      <w:szCs w:val="21"/>
                      <w:vertAlign w:val="baseline"/>
                      <w:lang w:val="en-US" w:eastAsia="zh-CN"/>
                    </w:rPr>
                  </w:pPr>
                  <w:r>
                    <w:rPr>
                      <w:rFonts w:hint="eastAsia"/>
                      <w:color w:val="auto"/>
                      <w:sz w:val="21"/>
                      <w:szCs w:val="21"/>
                      <w:vertAlign w:val="baseline"/>
                      <w:lang w:val="en-US" w:eastAsia="zh-CN"/>
                    </w:rPr>
                    <w:t>小时平均</w:t>
                  </w:r>
                </w:p>
              </w:tc>
              <w:tc>
                <w:tcPr>
                  <w:tcW w:w="1740" w:type="dxa"/>
                  <w:tcBorders>
                    <w:tl2br w:val="nil"/>
                    <w:tr2bl w:val="nil"/>
                  </w:tcBorders>
                  <w:noWrap w:val="0"/>
                  <w:vAlign w:val="center"/>
                </w:tcPr>
                <w:p>
                  <w:pPr>
                    <w:pStyle w:val="25"/>
                    <w:jc w:val="center"/>
                    <w:rPr>
                      <w:rFonts w:hint="default"/>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900</w:t>
                  </w:r>
                </w:p>
              </w:tc>
              <w:tc>
                <w:tcPr>
                  <w:tcW w:w="3344" w:type="dxa"/>
                  <w:tcBorders>
                    <w:tl2br w:val="nil"/>
                    <w:tr2bl w:val="nil"/>
                  </w:tcBorders>
                  <w:noWrap w:val="0"/>
                  <w:vAlign w:val="center"/>
                </w:tcPr>
                <w:p>
                  <w:pPr>
                    <w:pStyle w:val="25"/>
                    <w:keepNext w:val="0"/>
                    <w:keepLines w:val="0"/>
                    <w:pageBreakBefore w:val="0"/>
                    <w:widowControl w:val="0"/>
                    <w:kinsoku/>
                    <w:wordWrap/>
                    <w:overflowPunct/>
                    <w:topLinePunct w:val="0"/>
                    <w:autoSpaceDE/>
                    <w:autoSpaceDN/>
                    <w:bidi w:val="0"/>
                    <w:adjustRightInd w:val="0"/>
                    <w:snapToGrid w:val="0"/>
                    <w:spacing w:before="0" w:line="240" w:lineRule="auto"/>
                    <w:jc w:val="center"/>
                    <w:textAlignment w:val="auto"/>
                    <w:rPr>
                      <w:rFonts w:hint="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《环境空气质量标准》（GB3095-2012）中TSP日均浓度限值</w:t>
                  </w:r>
                </w:p>
              </w:tc>
            </w:tr>
          </w:tbl>
          <w:p>
            <w:pPr>
              <w:spacing w:line="360" w:lineRule="auto"/>
              <w:ind w:firstLine="480" w:firstLineChars="200"/>
              <w:rPr>
                <w:sz w:val="24"/>
              </w:rPr>
            </w:pPr>
            <w:r>
              <w:rPr>
                <w:sz w:val="24"/>
              </w:rPr>
              <w:t>本环评选用《环境影响评价技术导则-大气环境》（HJ2.2-20</w:t>
            </w:r>
            <w:r>
              <w:rPr>
                <w:rFonts w:hint="eastAsia"/>
                <w:sz w:val="24"/>
              </w:rPr>
              <w:t>1</w:t>
            </w:r>
            <w:r>
              <w:rPr>
                <w:sz w:val="24"/>
              </w:rPr>
              <w:t>8）推荐模式中的</w:t>
            </w:r>
            <w:r>
              <w:rPr>
                <w:rFonts w:hint="eastAsia"/>
                <w:sz w:val="24"/>
              </w:rPr>
              <w:t>AER</w:t>
            </w:r>
            <w:r>
              <w:rPr>
                <w:sz w:val="24"/>
              </w:rPr>
              <w:t>SCREEN估算模式对废气无组织排放进行预测。</w:t>
            </w:r>
          </w:p>
          <w:p>
            <w:pPr>
              <w:spacing w:line="360" w:lineRule="auto"/>
              <w:ind w:firstLine="480" w:firstLineChars="200"/>
              <w:rPr>
                <w:sz w:val="24"/>
              </w:rPr>
            </w:pPr>
            <w:r>
              <w:rPr>
                <w:sz w:val="24"/>
              </w:rPr>
              <w:t>本环评拟采用的相关参数为：</w:t>
            </w:r>
          </w:p>
          <w:p>
            <w:pPr>
              <w:spacing w:line="360" w:lineRule="auto"/>
              <w:ind w:firstLine="480" w:firstLineChars="200"/>
              <w:rPr>
                <w:sz w:val="24"/>
              </w:rPr>
            </w:pPr>
            <w:r>
              <w:rPr>
                <w:sz w:val="24"/>
              </w:rPr>
              <w:t>A、标准浓度限值：</w:t>
            </w:r>
            <w:r>
              <w:rPr>
                <w:rFonts w:hint="eastAsia"/>
                <w:sz w:val="24"/>
              </w:rPr>
              <w:t>颗粒物≤0.9mg/m</w:t>
            </w:r>
            <w:r>
              <w:rPr>
                <w:sz w:val="24"/>
                <w:vertAlign w:val="superscript"/>
              </w:rPr>
              <w:t>3</w:t>
            </w:r>
            <w:r>
              <w:rPr>
                <w:rFonts w:hint="eastAsia"/>
                <w:sz w:val="24"/>
              </w:rPr>
              <w:t>；</w:t>
            </w:r>
          </w:p>
          <w:p>
            <w:pPr>
              <w:spacing w:line="360" w:lineRule="auto"/>
              <w:ind w:firstLine="480" w:firstLineChars="200"/>
              <w:rPr>
                <w:sz w:val="24"/>
              </w:rPr>
            </w:pPr>
            <w:r>
              <w:rPr>
                <w:sz w:val="24"/>
              </w:rPr>
              <w:t>B、生产单元占地面积S，</w:t>
            </w:r>
            <w:r>
              <w:rPr>
                <w:rFonts w:hint="eastAsia"/>
                <w:sz w:val="24"/>
              </w:rPr>
              <w:t>车间面积约</w:t>
            </w:r>
            <w:r>
              <w:rPr>
                <w:rFonts w:hint="eastAsia"/>
                <w:sz w:val="24"/>
                <w:lang w:val="en-US"/>
              </w:rPr>
              <w:t>460</w:t>
            </w:r>
            <w:r>
              <w:rPr>
                <w:rFonts w:hint="eastAsia" w:ascii="宋体" w:hAnsi="宋体" w:cs="宋体"/>
                <w:sz w:val="24"/>
              </w:rPr>
              <w:t>m</w:t>
            </w:r>
            <w:r>
              <w:rPr>
                <w:rFonts w:hint="eastAsia" w:ascii="宋体" w:hAnsi="宋体" w:cs="宋体"/>
                <w:sz w:val="24"/>
                <w:vertAlign w:val="superscript"/>
              </w:rPr>
              <w:t>2</w:t>
            </w:r>
            <w:r>
              <w:rPr>
                <w:rFonts w:hint="eastAsia"/>
                <w:sz w:val="24"/>
              </w:rPr>
              <w:t>（</w:t>
            </w:r>
            <w:r>
              <w:rPr>
                <w:rFonts w:hint="eastAsia"/>
                <w:sz w:val="24"/>
                <w:lang w:val="en-US"/>
              </w:rPr>
              <w:t>23</w:t>
            </w:r>
            <w:r>
              <w:rPr>
                <w:rFonts w:hint="eastAsia"/>
                <w:sz w:val="24"/>
              </w:rPr>
              <w:t>m×</w:t>
            </w:r>
            <w:r>
              <w:rPr>
                <w:rFonts w:hint="eastAsia"/>
                <w:sz w:val="24"/>
                <w:lang w:val="en-US"/>
              </w:rPr>
              <w:t>20</w:t>
            </w:r>
            <w:r>
              <w:rPr>
                <w:rFonts w:hint="eastAsia"/>
                <w:sz w:val="24"/>
              </w:rPr>
              <w:t>m）；</w:t>
            </w:r>
          </w:p>
          <w:p>
            <w:pPr>
              <w:spacing w:line="360" w:lineRule="auto"/>
              <w:ind w:firstLine="480" w:firstLineChars="200"/>
              <w:rPr>
                <w:bCs/>
                <w:sz w:val="24"/>
              </w:rPr>
            </w:pPr>
            <w:r>
              <w:rPr>
                <w:sz w:val="24"/>
              </w:rPr>
              <w:t>C、</w:t>
            </w:r>
            <w:r>
              <w:rPr>
                <w:rFonts w:hint="eastAsia"/>
                <w:bCs/>
                <w:sz w:val="24"/>
              </w:rPr>
              <w:t>颗粒物</w:t>
            </w:r>
            <w:r>
              <w:rPr>
                <w:bCs/>
                <w:sz w:val="24"/>
              </w:rPr>
              <w:t>排放速率，</w:t>
            </w:r>
            <w:r>
              <w:rPr>
                <w:sz w:val="24"/>
              </w:rPr>
              <w:t>kg/h；</w:t>
            </w:r>
          </w:p>
          <w:p>
            <w:pPr>
              <w:spacing w:line="360" w:lineRule="auto"/>
              <w:ind w:firstLine="480" w:firstLineChars="200"/>
              <w:rPr>
                <w:sz w:val="24"/>
              </w:rPr>
            </w:pPr>
            <w:r>
              <w:rPr>
                <w:sz w:val="24"/>
              </w:rPr>
              <w:t>D、项目面源高度，m（本环评取</w:t>
            </w:r>
            <w:r>
              <w:rPr>
                <w:rFonts w:hint="eastAsia"/>
                <w:sz w:val="24"/>
              </w:rPr>
              <w:t>5</w:t>
            </w:r>
            <w:r>
              <w:rPr>
                <w:sz w:val="24"/>
              </w:rPr>
              <w:t>m）</w:t>
            </w:r>
            <w:r>
              <w:rPr>
                <w:rFonts w:hint="eastAsia"/>
                <w:sz w:val="24"/>
              </w:rPr>
              <w:t>；</w:t>
            </w:r>
          </w:p>
          <w:p>
            <w:pPr>
              <w:spacing w:line="360" w:lineRule="auto"/>
              <w:ind w:firstLine="480" w:firstLineChars="200"/>
              <w:rPr>
                <w:sz w:val="24"/>
              </w:rPr>
            </w:pPr>
            <w:r>
              <w:rPr>
                <w:rFonts w:hint="eastAsia"/>
                <w:sz w:val="24"/>
              </w:rPr>
              <w:t>估算模型参数表见表7-</w:t>
            </w:r>
            <w:r>
              <w:rPr>
                <w:rFonts w:hint="eastAsia"/>
                <w:sz w:val="24"/>
                <w:lang w:val="en-US" w:eastAsia="zh-CN"/>
              </w:rPr>
              <w:t>3</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color w:val="auto"/>
                <w:sz w:val="24"/>
                <w:szCs w:val="24"/>
              </w:rPr>
            </w:pPr>
            <w:r>
              <w:rPr>
                <w:rFonts w:hint="eastAsia"/>
                <w:b/>
                <w:color w:val="auto"/>
                <w:sz w:val="24"/>
                <w:szCs w:val="24"/>
              </w:rPr>
              <w:t>表7-</w:t>
            </w:r>
            <w:r>
              <w:rPr>
                <w:rFonts w:hint="eastAsia"/>
                <w:b/>
                <w:color w:val="auto"/>
                <w:sz w:val="24"/>
                <w:szCs w:val="24"/>
                <w:lang w:val="en-US" w:eastAsia="zh-CN"/>
              </w:rPr>
              <w:t>3</w:t>
            </w:r>
            <w:r>
              <w:rPr>
                <w:rFonts w:hint="eastAsia"/>
                <w:b/>
                <w:color w:val="auto"/>
                <w:sz w:val="24"/>
                <w:szCs w:val="24"/>
              </w:rPr>
              <w:t xml:space="preserve">  估算模型参数表</w:t>
            </w:r>
          </w:p>
          <w:tbl>
            <w:tblPr>
              <w:tblStyle w:val="261"/>
              <w:tblW w:w="8313" w:type="dxa"/>
              <w:jc w:val="center"/>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837"/>
              <w:gridCol w:w="4232"/>
              <w:gridCol w:w="2244"/>
            </w:tblGrid>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tblHeader/>
                <w:jc w:val="center"/>
              </w:trPr>
              <w:tc>
                <w:tcPr>
                  <w:tcW w:w="6069" w:type="dxa"/>
                  <w:gridSpan w:val="2"/>
                  <w:tcBorders>
                    <w:tl2br w:val="nil"/>
                    <w:tr2bl w:val="nil"/>
                  </w:tcBorders>
                  <w:shd w:val="clear" w:color="auto" w:fill="FFFFFF" w:themeFill="background1"/>
                  <w:vAlign w:val="center"/>
                </w:tcPr>
                <w:p>
                  <w:pPr>
                    <w:pStyle w:val="246"/>
                    <w:wordWrap/>
                    <w:spacing w:before="24" w:beforeLines="0" w:beforeAutospacing="0" w:after="24" w:afterLines="0" w:afterAutospacing="0" w:line="240" w:lineRule="auto"/>
                    <w:ind w:left="0" w:leftChars="0" w:right="0" w:rightChars="0" w:firstLine="0" w:firstLineChars="0"/>
                    <w:rPr>
                      <w:rFonts w:eastAsia="宋体"/>
                      <w:color w:val="auto"/>
                    </w:rPr>
                  </w:pPr>
                  <w:r>
                    <w:rPr>
                      <w:rFonts w:hint="eastAsia" w:eastAsia="宋体"/>
                      <w:color w:val="auto"/>
                    </w:rPr>
                    <w:t>参数</w:t>
                  </w:r>
                </w:p>
              </w:tc>
              <w:tc>
                <w:tcPr>
                  <w:tcW w:w="2244" w:type="dxa"/>
                  <w:tcBorders>
                    <w:tl2br w:val="nil"/>
                    <w:tr2bl w:val="nil"/>
                  </w:tcBorders>
                  <w:shd w:val="clear" w:color="auto" w:fill="FFFFFF" w:themeFill="background1"/>
                  <w:noWrap/>
                  <w:vAlign w:val="center"/>
                </w:tcPr>
                <w:p>
                  <w:pPr>
                    <w:pStyle w:val="246"/>
                    <w:wordWrap/>
                    <w:spacing w:before="24" w:beforeLines="0" w:beforeAutospacing="0" w:after="24" w:afterLines="0" w:afterAutospacing="0" w:line="240" w:lineRule="auto"/>
                    <w:ind w:left="0" w:leftChars="0" w:right="0" w:rightChars="0" w:firstLine="0" w:firstLineChars="0"/>
                    <w:rPr>
                      <w:rFonts w:eastAsia="宋体"/>
                      <w:color w:val="auto"/>
                    </w:rPr>
                  </w:pPr>
                  <w:r>
                    <w:rPr>
                      <w:rFonts w:hint="eastAsia" w:eastAsia="宋体"/>
                      <w:color w:val="auto"/>
                    </w:rPr>
                    <w:t>取值</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restart"/>
                  <w:tcBorders>
                    <w:tl2br w:val="nil"/>
                    <w:tr2bl w:val="nil"/>
                  </w:tcBorders>
                  <w:shd w:val="clear" w:color="auto" w:fill="FFFFFF" w:themeFill="background1"/>
                  <w:vAlign w:val="center"/>
                </w:tcPr>
                <w:p>
                  <w:pPr>
                    <w:pStyle w:val="246"/>
                    <w:spacing w:before="24" w:after="24"/>
                    <w:rPr>
                      <w:color w:val="auto"/>
                    </w:rPr>
                  </w:pPr>
                  <w:r>
                    <w:rPr>
                      <w:rFonts w:hint="eastAsia"/>
                      <w:color w:val="auto"/>
                    </w:rPr>
                    <w:t>城市</w:t>
                  </w:r>
                  <w:r>
                    <w:rPr>
                      <w:color w:val="auto"/>
                    </w:rPr>
                    <w:t>/</w:t>
                  </w:r>
                  <w:r>
                    <w:rPr>
                      <w:rFonts w:hint="eastAsia"/>
                      <w:color w:val="auto"/>
                    </w:rPr>
                    <w:t>农村选项</w:t>
                  </w: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城市</w:t>
                  </w:r>
                  <w:r>
                    <w:rPr>
                      <w:color w:val="auto"/>
                    </w:rPr>
                    <w:t>/</w:t>
                  </w:r>
                  <w:r>
                    <w:rPr>
                      <w:rFonts w:hint="eastAsia"/>
                      <w:color w:val="auto"/>
                    </w:rPr>
                    <w:t>农村</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color w:val="auto"/>
                    </w:rPr>
                    <w:t>城市</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continue"/>
                  <w:tcBorders>
                    <w:tl2br w:val="nil"/>
                    <w:tr2bl w:val="nil"/>
                  </w:tcBorders>
                  <w:shd w:val="clear" w:color="auto" w:fill="FFFFFF" w:themeFill="background1"/>
                  <w:vAlign w:val="center"/>
                </w:tcPr>
                <w:p>
                  <w:pPr>
                    <w:pStyle w:val="246"/>
                    <w:spacing w:before="24" w:after="24"/>
                    <w:rPr>
                      <w:color w:val="auto"/>
                    </w:rPr>
                  </w:pP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人口数（城市选项时）</w:t>
                  </w:r>
                </w:p>
              </w:tc>
              <w:tc>
                <w:tcPr>
                  <w:tcW w:w="2244" w:type="dxa"/>
                  <w:tcBorders>
                    <w:tl2br w:val="nil"/>
                    <w:tr2bl w:val="nil"/>
                  </w:tcBorders>
                  <w:shd w:val="clear" w:color="auto" w:fill="FFFFFF" w:themeFill="background1"/>
                  <w:noWrap/>
                  <w:vAlign w:val="center"/>
                </w:tcPr>
                <w:p>
                  <w:pPr>
                    <w:pStyle w:val="246"/>
                    <w:spacing w:before="24" w:after="24"/>
                    <w:rPr>
                      <w:rFonts w:hint="eastAsia" w:eastAsia="宋体"/>
                      <w:color w:val="auto"/>
                      <w:lang w:val="en-US" w:eastAsia="zh-CN"/>
                    </w:rPr>
                  </w:pPr>
                  <w:r>
                    <w:rPr>
                      <w:rFonts w:hint="eastAsia"/>
                      <w:color w:val="auto"/>
                      <w:lang w:val="en-US" w:eastAsia="zh-CN"/>
                    </w:rPr>
                    <w:t>1254700</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6069" w:type="dxa"/>
                  <w:gridSpan w:val="2"/>
                  <w:tcBorders>
                    <w:tl2br w:val="nil"/>
                    <w:tr2bl w:val="nil"/>
                  </w:tcBorders>
                  <w:shd w:val="clear" w:color="auto" w:fill="FFFFFF" w:themeFill="background1"/>
                  <w:vAlign w:val="center"/>
                </w:tcPr>
                <w:p>
                  <w:pPr>
                    <w:pStyle w:val="246"/>
                    <w:spacing w:before="24" w:after="24"/>
                    <w:rPr>
                      <w:color w:val="auto"/>
                    </w:rPr>
                  </w:pPr>
                  <w:r>
                    <w:rPr>
                      <w:rFonts w:hint="eastAsia"/>
                      <w:color w:val="auto"/>
                    </w:rPr>
                    <w:t>最高环境温度/</w:t>
                  </w:r>
                  <w:r>
                    <w:rPr>
                      <w:color w:val="auto"/>
                    </w:rPr>
                    <w:t xml:space="preserve"> </w:t>
                  </w:r>
                  <w:r>
                    <w:rPr>
                      <w:rFonts w:hint="eastAsia" w:ascii="宋体" w:hAnsi="宋体" w:cs="宋体"/>
                      <w:color w:val="auto"/>
                    </w:rPr>
                    <w:t>℃</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39.7</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6069" w:type="dxa"/>
                  <w:gridSpan w:val="2"/>
                  <w:tcBorders>
                    <w:tl2br w:val="nil"/>
                    <w:tr2bl w:val="nil"/>
                  </w:tcBorders>
                  <w:shd w:val="clear" w:color="auto" w:fill="FFFFFF" w:themeFill="background1"/>
                  <w:vAlign w:val="center"/>
                </w:tcPr>
                <w:p>
                  <w:pPr>
                    <w:pStyle w:val="246"/>
                    <w:spacing w:before="24" w:after="24"/>
                    <w:rPr>
                      <w:color w:val="auto"/>
                    </w:rPr>
                  </w:pPr>
                  <w:r>
                    <w:rPr>
                      <w:rFonts w:hint="eastAsia"/>
                      <w:color w:val="auto"/>
                    </w:rPr>
                    <w:t>最低环境温度/</w:t>
                  </w:r>
                  <w:r>
                    <w:rPr>
                      <w:color w:val="auto"/>
                    </w:rPr>
                    <w:t xml:space="preserve"> </w:t>
                  </w:r>
                  <w:r>
                    <w:rPr>
                      <w:rFonts w:hint="eastAsia" w:ascii="宋体" w:hAnsi="宋体" w:cs="宋体"/>
                      <w:color w:val="auto"/>
                    </w:rPr>
                    <w:t>℃</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-10</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6069" w:type="dxa"/>
                  <w:gridSpan w:val="2"/>
                  <w:tcBorders>
                    <w:tl2br w:val="nil"/>
                    <w:tr2bl w:val="nil"/>
                  </w:tcBorders>
                  <w:shd w:val="clear" w:color="auto" w:fill="FFFFFF" w:themeFill="background1"/>
                  <w:vAlign w:val="center"/>
                </w:tcPr>
                <w:p>
                  <w:pPr>
                    <w:pStyle w:val="246"/>
                    <w:spacing w:before="24" w:after="24"/>
                    <w:rPr>
                      <w:color w:val="auto"/>
                    </w:rPr>
                  </w:pPr>
                  <w:r>
                    <w:rPr>
                      <w:rFonts w:hint="eastAsia"/>
                      <w:color w:val="auto"/>
                    </w:rPr>
                    <w:t>土地利用类型</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color w:val="auto"/>
                    </w:rPr>
                    <w:t>工业用地</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6069" w:type="dxa"/>
                  <w:gridSpan w:val="2"/>
                  <w:tcBorders>
                    <w:tl2br w:val="nil"/>
                    <w:tr2bl w:val="nil"/>
                  </w:tcBorders>
                  <w:shd w:val="clear" w:color="auto" w:fill="FFFFFF" w:themeFill="background1"/>
                  <w:vAlign w:val="center"/>
                </w:tcPr>
                <w:p>
                  <w:pPr>
                    <w:pStyle w:val="246"/>
                    <w:spacing w:before="24" w:after="24"/>
                    <w:rPr>
                      <w:color w:val="auto"/>
                    </w:rPr>
                  </w:pPr>
                  <w:r>
                    <w:rPr>
                      <w:rFonts w:hint="eastAsia"/>
                      <w:color w:val="auto"/>
                    </w:rPr>
                    <w:t>区域湿度条件</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82%</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restart"/>
                  <w:tcBorders>
                    <w:tl2br w:val="nil"/>
                    <w:tr2bl w:val="nil"/>
                  </w:tcBorders>
                  <w:shd w:val="clear" w:color="auto" w:fill="FFFFFF" w:themeFill="background1"/>
                  <w:vAlign w:val="center"/>
                </w:tcPr>
                <w:p>
                  <w:pPr>
                    <w:pStyle w:val="246"/>
                    <w:spacing w:before="24" w:after="24"/>
                    <w:rPr>
                      <w:color w:val="auto"/>
                    </w:rPr>
                  </w:pPr>
                  <w:r>
                    <w:rPr>
                      <w:rFonts w:hint="eastAsia"/>
                      <w:color w:val="auto"/>
                    </w:rPr>
                    <w:t>是否考虑地形</w:t>
                  </w: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考虑地形</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ascii="仿宋" w:hAnsi="仿宋" w:eastAsia="仿宋"/>
                      <w:color w:val="auto"/>
                    </w:rPr>
                    <w:t>□</w:t>
                  </w:r>
                  <w:r>
                    <w:rPr>
                      <w:rFonts w:hint="eastAsia"/>
                      <w:color w:val="auto"/>
                    </w:rPr>
                    <w:t xml:space="preserve">是 </w:t>
                  </w:r>
                  <w:r>
                    <w:rPr>
                      <w:color w:val="auto"/>
                    </w:rPr>
                    <w:t xml:space="preserve"> </w:t>
                  </w:r>
                  <w:r>
                    <w:rPr>
                      <w:rFonts w:hint="eastAsia" w:ascii="仿宋" w:hAnsi="仿宋" w:eastAsia="仿宋"/>
                      <w:color w:val="auto"/>
                      <w:highlight w:val="black"/>
                    </w:rPr>
                    <w:t>□</w:t>
                  </w:r>
                  <w:r>
                    <w:rPr>
                      <w:rFonts w:hint="eastAsia"/>
                      <w:color w:val="auto"/>
                    </w:rPr>
                    <w:t>否</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continue"/>
                  <w:tcBorders>
                    <w:tl2br w:val="nil"/>
                    <w:tr2bl w:val="nil"/>
                  </w:tcBorders>
                  <w:shd w:val="clear" w:color="auto" w:fill="FFFFFF" w:themeFill="background1"/>
                  <w:vAlign w:val="center"/>
                </w:tcPr>
                <w:p>
                  <w:pPr>
                    <w:pStyle w:val="246"/>
                    <w:spacing w:before="24" w:after="24"/>
                    <w:rPr>
                      <w:color w:val="auto"/>
                    </w:rPr>
                  </w:pP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 xml:space="preserve">地形数据分辨率 </w:t>
                  </w:r>
                  <w:r>
                    <w:rPr>
                      <w:color w:val="auto"/>
                    </w:rPr>
                    <w:t>/ m</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restart"/>
                  <w:tcBorders>
                    <w:tl2br w:val="nil"/>
                    <w:tr2bl w:val="nil"/>
                  </w:tcBorders>
                  <w:shd w:val="clear" w:color="auto" w:fill="FFFFFF" w:themeFill="background1"/>
                  <w:vAlign w:val="center"/>
                </w:tcPr>
                <w:p>
                  <w:pPr>
                    <w:pStyle w:val="246"/>
                    <w:spacing w:before="24" w:after="24"/>
                    <w:rPr>
                      <w:color w:val="auto"/>
                    </w:rPr>
                  </w:pPr>
                  <w:r>
                    <w:rPr>
                      <w:rFonts w:hint="eastAsia"/>
                      <w:color w:val="auto"/>
                    </w:rPr>
                    <w:t>是否考虑岸线熏烟</w:t>
                  </w: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考虑岸线熏烟</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ascii="仿宋" w:hAnsi="仿宋" w:eastAsia="仿宋"/>
                      <w:color w:val="auto"/>
                    </w:rPr>
                    <w:t>□</w:t>
                  </w:r>
                  <w:r>
                    <w:rPr>
                      <w:rFonts w:hint="eastAsia"/>
                      <w:color w:val="auto"/>
                    </w:rPr>
                    <w:t xml:space="preserve">是 </w:t>
                  </w:r>
                  <w:r>
                    <w:rPr>
                      <w:color w:val="auto"/>
                    </w:rPr>
                    <w:t xml:space="preserve"> </w:t>
                  </w:r>
                  <w:r>
                    <w:rPr>
                      <w:rFonts w:hint="eastAsia" w:ascii="仿宋" w:hAnsi="仿宋" w:eastAsia="仿宋"/>
                      <w:color w:val="auto"/>
                      <w:highlight w:val="black"/>
                    </w:rPr>
                    <w:t>□</w:t>
                  </w:r>
                  <w:r>
                    <w:rPr>
                      <w:rFonts w:hint="eastAsia"/>
                      <w:color w:val="auto"/>
                    </w:rPr>
                    <w:t>否</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continue"/>
                  <w:tcBorders>
                    <w:tl2br w:val="nil"/>
                    <w:tr2bl w:val="nil"/>
                  </w:tcBorders>
                  <w:shd w:val="clear" w:color="auto" w:fill="FFFFFF" w:themeFill="background1"/>
                  <w:vAlign w:val="center"/>
                </w:tcPr>
                <w:p>
                  <w:pPr>
                    <w:pStyle w:val="246"/>
                    <w:spacing w:before="24" w:after="24"/>
                    <w:rPr>
                      <w:color w:val="auto"/>
                    </w:rPr>
                  </w:pP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岸线距离/</w:t>
                  </w:r>
                  <w:r>
                    <w:rPr>
                      <w:color w:val="auto"/>
                    </w:rPr>
                    <w:t xml:space="preserve"> km</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w:t>
                  </w:r>
                </w:p>
              </w:tc>
            </w:tr>
            <w:tr>
              <w:tblPrEx>
                <w:tblBorders>
                  <w:top w:val="double" w:color="000000" w:themeColor="text1" w:sz="4" w:space="0"/>
                  <w:left w:val="none" w:color="auto" w:sz="0" w:space="0"/>
                  <w:bottom w:val="double" w:color="000000" w:themeColor="text1" w:sz="4"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340" w:hRule="atLeast"/>
                <w:jc w:val="center"/>
              </w:trPr>
              <w:tc>
                <w:tcPr>
                  <w:tcW w:w="1837" w:type="dxa"/>
                  <w:vMerge w:val="continue"/>
                  <w:tcBorders>
                    <w:tl2br w:val="nil"/>
                    <w:tr2bl w:val="nil"/>
                  </w:tcBorders>
                  <w:shd w:val="clear" w:color="auto" w:fill="FFFFFF" w:themeFill="background1"/>
                  <w:vAlign w:val="center"/>
                </w:tcPr>
                <w:p>
                  <w:pPr>
                    <w:pStyle w:val="246"/>
                    <w:spacing w:before="24" w:after="24"/>
                    <w:rPr>
                      <w:color w:val="auto"/>
                    </w:rPr>
                  </w:pPr>
                </w:p>
              </w:tc>
              <w:tc>
                <w:tcPr>
                  <w:tcW w:w="4232"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岸线方向/</w:t>
                  </w:r>
                  <w:r>
                    <w:rPr>
                      <w:color w:val="auto"/>
                    </w:rPr>
                    <w:t xml:space="preserve"> °</w:t>
                  </w:r>
                </w:p>
              </w:tc>
              <w:tc>
                <w:tcPr>
                  <w:tcW w:w="2244" w:type="dxa"/>
                  <w:tcBorders>
                    <w:tl2br w:val="nil"/>
                    <w:tr2bl w:val="nil"/>
                  </w:tcBorders>
                  <w:shd w:val="clear" w:color="auto" w:fill="FFFFFF" w:themeFill="background1"/>
                  <w:noWrap/>
                  <w:vAlign w:val="center"/>
                </w:tcPr>
                <w:p>
                  <w:pPr>
                    <w:pStyle w:val="246"/>
                    <w:spacing w:before="24" w:after="24"/>
                    <w:rPr>
                      <w:color w:val="auto"/>
                    </w:rPr>
                  </w:pPr>
                  <w:r>
                    <w:rPr>
                      <w:rFonts w:hint="eastAsia"/>
                      <w:color w:val="auto"/>
                    </w:rPr>
                    <w:t>/</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textAlignment w:val="auto"/>
              <w:rPr>
                <w:rFonts w:hint="eastAsia"/>
                <w:sz w:val="24"/>
                <w:lang w:eastAsia="zh-CN"/>
              </w:rPr>
            </w:pPr>
            <w:r>
              <w:rPr>
                <w:rFonts w:hint="eastAsia"/>
                <w:sz w:val="24"/>
              </w:rPr>
              <w:t>③</w:t>
            </w:r>
            <w:r>
              <w:rPr>
                <w:rFonts w:hint="eastAsia"/>
                <w:sz w:val="24"/>
                <w:lang w:eastAsia="zh-CN"/>
              </w:rPr>
              <w:t>评价等级判定</w:t>
            </w:r>
          </w:p>
          <w:p>
            <w:pPr>
              <w:pStyle w:val="25"/>
              <w:keepNext w:val="0"/>
              <w:keepLines w:val="0"/>
              <w:pageBreakBefore w:val="0"/>
              <w:widowControl w:val="0"/>
              <w:kinsoku/>
              <w:wordWrap/>
              <w:overflowPunct/>
              <w:topLinePunct w:val="0"/>
              <w:autoSpaceDE/>
              <w:autoSpaceDN/>
              <w:bidi w:val="0"/>
              <w:adjustRightInd w:val="0"/>
              <w:snapToGrid w:val="0"/>
              <w:spacing w:before="157" w:beforeLines="50"/>
              <w:ind w:firstLine="480" w:firstLineChars="200"/>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color w:val="auto"/>
                <w:sz w:val="24"/>
              </w:rPr>
              <w:pict>
                <v:shape id="对象 622" o:spid="_x0000_s1026" o:spt="75" type="#_x0000_t75" style="position:absolute;left:0pt;margin-left:153.5pt;margin-top:58.3pt;height:48.25pt;width:75.2pt;mso-wrap-distance-bottom:0pt;mso-wrap-distance-top:0pt;z-index:251781120;mso-width-relative:page;mso-height-relative:page;" o:ole="t" filled="f" o:preferrelative="t" stroked="f" coordsize="21600,21600">
                  <v:path/>
                  <v:fill on="f" focussize="0,0"/>
                  <v:stroke on="f"/>
                  <v:imagedata r:id="rId12" o:title=""/>
                  <o:lock v:ext="edit" grouping="f" rotation="f" text="f" aspectratio="t"/>
                  <w10:wrap type="topAndBottom"/>
                </v:shape>
                <o:OLEObject Type="Embed" ProgID="" ShapeID="对象 622" DrawAspect="Content" ObjectID="_1468075725" r:id="rId11">
                  <o:LockedField>false</o:LockedField>
                </o:OLEObject>
              </w:pict>
            </w:r>
            <w:r>
              <w:rPr>
                <w:rFonts w:hint="default" w:ascii="Times New Roman" w:hAnsi="Times New Roman" w:eastAsia="宋体" w:cs="Times New Roman"/>
                <w:sz w:val="24"/>
                <w:lang w:eastAsia="zh-CN"/>
              </w:rPr>
              <w:t>根据《环境影响评价技术导则大气环境》（</w:t>
            </w:r>
            <w:r>
              <w:rPr>
                <w:rFonts w:hint="default" w:ascii="Times New Roman" w:hAnsi="Times New Roman" w:eastAsia="宋体" w:cs="Times New Roman"/>
                <w:sz w:val="24"/>
                <w:lang w:val="en-US" w:eastAsia="zh-CN"/>
              </w:rPr>
              <w:t>HJ2.2-2018</w:t>
            </w:r>
            <w:r>
              <w:rPr>
                <w:rFonts w:hint="default" w:ascii="Times New Roman" w:hAnsi="Times New Roman" w:eastAsia="宋体" w:cs="Times New Roman"/>
                <w:sz w:val="24"/>
                <w:lang w:eastAsia="zh-CN"/>
              </w:rPr>
              <w:t>），采用推荐模式中的估算模型</w:t>
            </w:r>
            <w:r>
              <w:rPr>
                <w:rFonts w:hint="default" w:ascii="Times New Roman" w:hAnsi="Times New Roman" w:eastAsia="宋体" w:cs="Times New Roman"/>
                <w:sz w:val="24"/>
                <w:lang w:val="en-US" w:eastAsia="zh-CN"/>
              </w:rPr>
              <w:t>AERSCREEN对污染物的最大地面占标率Pi（第i个污染物）及第i个污染物的地面浓度达标准限值10%时所对应的最远距离D10%进行计算。其中Pi定为：</w:t>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式中：Pi——</w:t>
            </w:r>
            <w:r>
              <w:rPr>
                <w:rFonts w:hint="eastAsia" w:ascii="Times New Roman" w:hAnsi="Times New Roman" w:cs="Times New Roman"/>
                <w:kern w:val="2"/>
                <w:sz w:val="24"/>
                <w:szCs w:val="24"/>
                <w:lang w:val="en-US" w:eastAsia="zh-CN" w:bidi="ar-SA"/>
              </w:rPr>
              <w:t>第</w:t>
            </w:r>
            <w:r>
              <w:rPr>
                <w:rFonts w:hint="default" w:ascii="Times New Roman" w:hAnsi="Times New Roman" w:cs="Times New Roman"/>
                <w:kern w:val="2"/>
                <w:sz w:val="24"/>
                <w:szCs w:val="24"/>
                <w:lang w:val="en-US" w:eastAsia="zh-CN" w:bidi="ar-SA"/>
              </w:rPr>
              <w:t>i</w:t>
            </w:r>
            <w:r>
              <w:rPr>
                <w:rFonts w:hint="eastAsia" w:ascii="Times New Roman" w:hAnsi="Times New Roman" w:cs="Times New Roman"/>
                <w:kern w:val="2"/>
                <w:sz w:val="24"/>
                <w:szCs w:val="24"/>
                <w:lang w:val="en-US" w:eastAsia="zh-CN" w:bidi="ar-SA"/>
              </w:rPr>
              <w:t>个</w:t>
            </w:r>
            <w:r>
              <w:rPr>
                <w:rFonts w:hint="default" w:ascii="Times New Roman" w:hAnsi="Times New Roman" w:cs="Times New Roman"/>
                <w:kern w:val="2"/>
                <w:sz w:val="24"/>
                <w:szCs w:val="24"/>
                <w:lang w:val="en-US" w:eastAsia="zh-CN" w:bidi="ar-SA"/>
              </w:rPr>
              <w:t>污染物</w:t>
            </w:r>
            <w:r>
              <w:rPr>
                <w:rFonts w:hint="eastAsia" w:ascii="Times New Roman" w:hAnsi="Times New Roman" w:cs="Times New Roman"/>
                <w:kern w:val="2"/>
                <w:sz w:val="24"/>
                <w:szCs w:val="24"/>
                <w:lang w:val="en-US" w:eastAsia="zh-CN" w:bidi="ar-SA"/>
              </w:rPr>
              <w:t>的最大地面空气质量</w:t>
            </w:r>
            <w:r>
              <w:rPr>
                <w:rFonts w:hint="default" w:ascii="Times New Roman" w:hAnsi="Times New Roman" w:cs="Times New Roman"/>
                <w:kern w:val="2"/>
                <w:sz w:val="24"/>
                <w:szCs w:val="24"/>
                <w:lang w:val="en-US" w:eastAsia="zh-CN" w:bidi="ar-SA"/>
              </w:rPr>
              <w:t>浓度占标率</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      Ci——</w:t>
            </w:r>
            <w:r>
              <w:rPr>
                <w:rFonts w:hint="eastAsia" w:ascii="Times New Roman" w:hAnsi="Times New Roman" w:cs="Times New Roman"/>
                <w:kern w:val="2"/>
                <w:sz w:val="24"/>
                <w:szCs w:val="24"/>
                <w:lang w:val="en-US" w:eastAsia="zh-CN" w:bidi="ar-SA"/>
              </w:rPr>
              <w:t>采用估算模型计算的第</w:t>
            </w:r>
            <w:r>
              <w:rPr>
                <w:rFonts w:hint="default" w:ascii="Times New Roman" w:hAnsi="Times New Roman" w:cs="Times New Roman"/>
                <w:kern w:val="2"/>
                <w:sz w:val="24"/>
                <w:szCs w:val="24"/>
                <w:lang w:val="en-US" w:eastAsia="zh-CN" w:bidi="ar-SA"/>
              </w:rPr>
              <w:t>i</w:t>
            </w:r>
            <w:r>
              <w:rPr>
                <w:rFonts w:hint="eastAsia" w:ascii="Times New Roman" w:hAnsi="Times New Roman" w:cs="Times New Roman"/>
                <w:kern w:val="2"/>
                <w:sz w:val="24"/>
                <w:szCs w:val="24"/>
                <w:lang w:val="en-US" w:eastAsia="zh-CN" w:bidi="ar-SA"/>
              </w:rPr>
              <w:t>个</w:t>
            </w:r>
            <w:r>
              <w:rPr>
                <w:rFonts w:hint="default" w:ascii="Times New Roman" w:hAnsi="Times New Roman" w:cs="Times New Roman"/>
                <w:kern w:val="2"/>
                <w:sz w:val="24"/>
                <w:szCs w:val="24"/>
                <w:lang w:val="en-US" w:eastAsia="zh-CN" w:bidi="ar-SA"/>
              </w:rPr>
              <w:t>污染物</w:t>
            </w:r>
            <w:r>
              <w:rPr>
                <w:rFonts w:hint="eastAsia" w:ascii="Times New Roman" w:hAnsi="Times New Roman" w:cs="Times New Roman"/>
                <w:kern w:val="2"/>
                <w:sz w:val="24"/>
                <w:szCs w:val="24"/>
                <w:lang w:val="en-US" w:eastAsia="zh-CN" w:bidi="ar-SA"/>
              </w:rPr>
              <w:t>最大1h地面空气质量</w:t>
            </w:r>
            <w:r>
              <w:rPr>
                <w:rFonts w:hint="default" w:ascii="Times New Roman" w:hAnsi="Times New Roman" w:cs="Times New Roman"/>
                <w:kern w:val="2"/>
                <w:sz w:val="24"/>
                <w:szCs w:val="24"/>
                <w:lang w:val="en-US" w:eastAsia="zh-CN" w:bidi="ar-SA"/>
              </w:rPr>
              <w:t>浓度，</w:t>
            </w:r>
            <w:r>
              <w:rPr>
                <w:rFonts w:hint="default" w:ascii="Times New Roman" w:hAnsi="Times New Roman" w:cs="Times New Roman"/>
                <w:kern w:val="2"/>
                <w:sz w:val="21"/>
                <w:szCs w:val="21"/>
                <w:lang w:val="en-US" w:eastAsia="zh-CN" w:bidi="ar-SA"/>
              </w:rPr>
              <w:t>μ</w:t>
            </w:r>
            <w:r>
              <w:rPr>
                <w:rFonts w:hint="eastAsia" w:ascii="Times New Roman" w:hAnsi="Times New Roman" w:cs="Times New Roman"/>
                <w:kern w:val="2"/>
                <w:sz w:val="21"/>
                <w:szCs w:val="21"/>
                <w:lang w:val="en-US" w:eastAsia="zh-CN" w:bidi="ar-SA"/>
              </w:rPr>
              <w:t>g/m</w:t>
            </w:r>
            <w:r>
              <w:rPr>
                <w:rFonts w:hint="eastAsia" w:ascii="Times New Roman" w:hAnsi="Times New Roman" w:cs="Times New Roman"/>
                <w:kern w:val="2"/>
                <w:sz w:val="21"/>
                <w:szCs w:val="21"/>
                <w:vertAlign w:val="superscript"/>
                <w:lang w:val="en-US" w:eastAsia="zh-CN" w:bidi="ar-SA"/>
              </w:rPr>
              <w:t>3</w:t>
            </w:r>
            <w:r>
              <w:rPr>
                <w:rFonts w:hint="default" w:ascii="Times New Roman" w:hAnsi="Times New Roman"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kern w:val="2"/>
                <w:sz w:val="24"/>
                <w:szCs w:val="24"/>
                <w:lang w:val="en-US" w:eastAsia="zh-CN" w:bidi="ar-SA"/>
              </w:rPr>
            </w:pPr>
            <w:r>
              <w:rPr>
                <w:rFonts w:hint="default" w:ascii="Times New Roman" w:hAnsi="Times New Roman" w:cs="Times New Roman"/>
                <w:kern w:val="2"/>
                <w:sz w:val="24"/>
                <w:szCs w:val="24"/>
                <w:lang w:val="en-US" w:eastAsia="zh-CN" w:bidi="ar-SA"/>
              </w:rPr>
              <w:t xml:space="preserve">      Csi——</w:t>
            </w:r>
            <w:r>
              <w:rPr>
                <w:rFonts w:hint="eastAsia" w:ascii="Times New Roman" w:hAnsi="Times New Roman" w:cs="Times New Roman"/>
                <w:kern w:val="2"/>
                <w:sz w:val="24"/>
                <w:szCs w:val="24"/>
                <w:lang w:val="en-US" w:eastAsia="zh-CN" w:bidi="ar-SA"/>
              </w:rPr>
              <w:t>第</w:t>
            </w:r>
            <w:r>
              <w:rPr>
                <w:rFonts w:hint="default" w:ascii="Times New Roman" w:hAnsi="Times New Roman" w:cs="Times New Roman"/>
                <w:kern w:val="2"/>
                <w:sz w:val="24"/>
                <w:szCs w:val="24"/>
                <w:lang w:val="en-US" w:eastAsia="zh-CN" w:bidi="ar-SA"/>
              </w:rPr>
              <w:t>i</w:t>
            </w:r>
            <w:r>
              <w:rPr>
                <w:rFonts w:hint="eastAsia" w:ascii="Times New Roman" w:hAnsi="Times New Roman" w:cs="Times New Roman"/>
                <w:kern w:val="2"/>
                <w:sz w:val="24"/>
                <w:szCs w:val="24"/>
                <w:lang w:val="en-US" w:eastAsia="zh-CN" w:bidi="ar-SA"/>
              </w:rPr>
              <w:t>个</w:t>
            </w:r>
            <w:r>
              <w:rPr>
                <w:rFonts w:hint="default" w:ascii="Times New Roman" w:hAnsi="Times New Roman" w:cs="Times New Roman"/>
                <w:kern w:val="2"/>
                <w:sz w:val="24"/>
                <w:szCs w:val="24"/>
                <w:lang w:val="en-US" w:eastAsia="zh-CN" w:bidi="ar-SA"/>
              </w:rPr>
              <w:t>污染物</w:t>
            </w:r>
            <w:r>
              <w:rPr>
                <w:rFonts w:hint="eastAsia" w:ascii="Times New Roman" w:hAnsi="Times New Roman" w:cs="Times New Roman"/>
                <w:kern w:val="2"/>
                <w:sz w:val="24"/>
                <w:szCs w:val="24"/>
                <w:lang w:val="en-US" w:eastAsia="zh-CN" w:bidi="ar-SA"/>
              </w:rPr>
              <w:t>的环境空气质量</w:t>
            </w:r>
            <w:r>
              <w:rPr>
                <w:rFonts w:hint="default" w:ascii="Times New Roman" w:hAnsi="Times New Roman" w:cs="Times New Roman"/>
                <w:kern w:val="2"/>
                <w:sz w:val="24"/>
                <w:szCs w:val="24"/>
                <w:lang w:val="en-US" w:eastAsia="zh-CN" w:bidi="ar-SA"/>
              </w:rPr>
              <w:t>标准，</w:t>
            </w:r>
            <w:r>
              <w:rPr>
                <w:rFonts w:hint="default" w:ascii="Times New Roman" w:hAnsi="Times New Roman" w:cs="Times New Roman"/>
                <w:kern w:val="2"/>
                <w:sz w:val="21"/>
                <w:szCs w:val="21"/>
                <w:lang w:val="en-US" w:eastAsia="zh-CN" w:bidi="ar-SA"/>
              </w:rPr>
              <w:t>μ</w:t>
            </w:r>
            <w:r>
              <w:rPr>
                <w:rFonts w:hint="eastAsia" w:ascii="Times New Roman" w:hAnsi="Times New Roman" w:cs="Times New Roman"/>
                <w:kern w:val="2"/>
                <w:sz w:val="21"/>
                <w:szCs w:val="21"/>
                <w:lang w:val="en-US" w:eastAsia="zh-CN" w:bidi="ar-SA"/>
              </w:rPr>
              <w:t>g/m</w:t>
            </w:r>
            <w:r>
              <w:rPr>
                <w:rFonts w:hint="eastAsia" w:ascii="Times New Roman" w:hAnsi="Times New Roman" w:cs="Times New Roman"/>
                <w:kern w:val="2"/>
                <w:sz w:val="21"/>
                <w:szCs w:val="21"/>
                <w:vertAlign w:val="superscript"/>
                <w:lang w:val="en-US" w:eastAsia="zh-CN" w:bidi="ar-SA"/>
              </w:rPr>
              <w:t>3</w:t>
            </w:r>
            <w:r>
              <w:rPr>
                <w:rFonts w:hint="default" w:ascii="Times New Roman" w:hAnsi="Times New Roman" w:cs="Times New Roman"/>
                <w:kern w:val="2"/>
                <w:sz w:val="24"/>
                <w:szCs w:val="24"/>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ind w:firstLine="480" w:firstLineChars="20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大气评价工作等级判定表如表7-4所示。</w:t>
            </w:r>
          </w:p>
          <w:p>
            <w:pPr>
              <w:spacing w:line="400" w:lineRule="exact"/>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表7-4 大气环境评价工作等级判别表</w:t>
            </w:r>
          </w:p>
          <w:tbl>
            <w:tblPr>
              <w:tblStyle w:val="76"/>
              <w:tblW w:w="830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2"/>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评价工作等级</w:t>
                  </w:r>
                </w:p>
              </w:tc>
              <w:tc>
                <w:tcPr>
                  <w:tcW w:w="4152"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b/>
                      <w:bCs/>
                      <w:kern w:val="2"/>
                      <w:sz w:val="21"/>
                      <w:szCs w:val="21"/>
                      <w:vertAlign w:val="baseline"/>
                      <w:lang w:val="en-US" w:eastAsia="zh-CN" w:bidi="ar-SA"/>
                    </w:rPr>
                  </w:pPr>
                  <w:r>
                    <w:rPr>
                      <w:rFonts w:hint="eastAsia" w:ascii="Times New Roman" w:hAnsi="Times New Roman" w:cs="Times New Roman"/>
                      <w:b/>
                      <w:bCs/>
                      <w:kern w:val="2"/>
                      <w:sz w:val="21"/>
                      <w:szCs w:val="21"/>
                      <w:vertAlign w:val="baseline"/>
                      <w:lang w:val="en-US" w:eastAsia="zh-CN" w:bidi="ar-SA"/>
                    </w:rPr>
                    <w:t>评价工作分级判据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一级</w:t>
                  </w:r>
                </w:p>
              </w:tc>
              <w:tc>
                <w:tcPr>
                  <w:tcW w:w="4152"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P</w:t>
                  </w:r>
                  <w:r>
                    <w:rPr>
                      <w:rFonts w:hint="eastAsia" w:ascii="Times New Roman" w:hAnsi="Times New Roman" w:cs="Times New Roman"/>
                      <w:kern w:val="2"/>
                      <w:sz w:val="21"/>
                      <w:szCs w:val="21"/>
                      <w:vertAlign w:val="subscript"/>
                      <w:lang w:val="en-US" w:eastAsia="zh-CN" w:bidi="ar-SA"/>
                    </w:rPr>
                    <w:t>max</w:t>
                  </w:r>
                  <w:r>
                    <w:rPr>
                      <w:rFonts w:hint="eastAsia" w:ascii="Times New Roman" w:hAnsi="Times New Roman" w:cs="Times New Roman"/>
                      <w:kern w:val="2"/>
                      <w:sz w:val="21"/>
                      <w:szCs w:val="21"/>
                      <w:vertAlign w:val="baseline"/>
                      <w:lang w:val="en-US" w:eastAsia="zh-CN" w:bidi="ar-SA"/>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二级</w:t>
                  </w:r>
                </w:p>
              </w:tc>
              <w:tc>
                <w:tcPr>
                  <w:tcW w:w="4152"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1%≤P</w:t>
                  </w:r>
                  <w:r>
                    <w:rPr>
                      <w:rFonts w:hint="eastAsia" w:ascii="Times New Roman" w:hAnsi="Times New Roman" w:cs="Times New Roman"/>
                      <w:kern w:val="2"/>
                      <w:sz w:val="21"/>
                      <w:szCs w:val="21"/>
                      <w:vertAlign w:val="subscript"/>
                      <w:lang w:val="en-US" w:eastAsia="zh-CN" w:bidi="ar-SA"/>
                    </w:rPr>
                    <w:t>max</w:t>
                  </w:r>
                  <w:r>
                    <w:rPr>
                      <w:rFonts w:hint="eastAsia" w:ascii="Times New Roman" w:hAnsi="Times New Roman" w:cs="Times New Roman"/>
                      <w:kern w:val="2"/>
                      <w:sz w:val="21"/>
                      <w:szCs w:val="21"/>
                      <w:vertAlign w:val="baseline"/>
                      <w:lang w:val="en-US" w:eastAsia="zh-CN" w:bidi="ar-SA"/>
                    </w:rPr>
                    <w:t>≤10%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15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三级</w:t>
                  </w:r>
                </w:p>
              </w:tc>
              <w:tc>
                <w:tcPr>
                  <w:tcW w:w="4152"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jc w:val="center"/>
                    <w:textAlignment w:val="auto"/>
                    <w:rPr>
                      <w:rFonts w:hint="eastAsia" w:ascii="Times New Roman" w:hAnsi="Times New Roman"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P</w:t>
                  </w:r>
                  <w:r>
                    <w:rPr>
                      <w:rFonts w:hint="eastAsia" w:ascii="Times New Roman" w:hAnsi="Times New Roman" w:cs="Times New Roman"/>
                      <w:kern w:val="2"/>
                      <w:sz w:val="21"/>
                      <w:szCs w:val="21"/>
                      <w:vertAlign w:val="subscript"/>
                      <w:lang w:val="en-US" w:eastAsia="zh-CN" w:bidi="ar-SA"/>
                    </w:rPr>
                    <w:t>max</w:t>
                  </w:r>
                  <w:r>
                    <w:rPr>
                      <w:rFonts w:hint="eastAsia" w:ascii="Times New Roman" w:hAnsi="Times New Roman" w:cs="Times New Roman"/>
                      <w:kern w:val="2"/>
                      <w:sz w:val="21"/>
                      <w:szCs w:val="21"/>
                      <w:vertAlign w:val="baseline"/>
                      <w:lang w:val="en-US" w:eastAsia="zh-CN" w:bidi="ar-SA"/>
                    </w:rPr>
                    <w:t>＜1%</w:t>
                  </w:r>
                </w:p>
              </w:tc>
            </w:tr>
          </w:tbl>
          <w:p>
            <w:pPr>
              <w:adjustRightInd w:val="0"/>
              <w:snapToGrid w:val="0"/>
              <w:spacing w:line="360" w:lineRule="auto"/>
              <w:ind w:firstLine="480" w:firstLineChars="200"/>
              <w:rPr>
                <w:rFonts w:hint="eastAsia"/>
                <w:sz w:val="24"/>
              </w:rPr>
            </w:pPr>
            <w:r>
              <w:rPr>
                <w:rFonts w:hint="eastAsia"/>
                <w:bCs/>
                <w:sz w:val="24"/>
                <w:lang w:eastAsia="zh-CN"/>
              </w:rPr>
              <w:t>项目无组织</w:t>
            </w:r>
            <w:r>
              <w:rPr>
                <w:rFonts w:hint="eastAsia"/>
                <w:sz w:val="24"/>
              </w:rPr>
              <w:t>估算模式计算结果见表7</w:t>
            </w:r>
            <w:r>
              <w:rPr>
                <w:rFonts w:hint="eastAsia"/>
                <w:sz w:val="24"/>
                <w:lang w:val="en-US" w:eastAsia="zh-CN"/>
              </w:rPr>
              <w:t>-5</w:t>
            </w:r>
            <w:r>
              <w:rPr>
                <w:rFonts w:hint="eastAsia"/>
                <w:sz w:val="24"/>
              </w:rPr>
              <w:t>。</w:t>
            </w:r>
          </w:p>
          <w:p>
            <w:pPr>
              <w:spacing w:line="400" w:lineRule="exact"/>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表7-5  无组织大气污染物排放影响计算结果表</w:t>
            </w:r>
          </w:p>
          <w:tbl>
            <w:tblPr>
              <w:tblStyle w:val="261"/>
              <w:tblW w:w="8313" w:type="dxa"/>
              <w:jc w:val="center"/>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2811"/>
              <w:gridCol w:w="3118"/>
              <w:gridCol w:w="2384"/>
            </w:tblGrid>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2811" w:type="dxa"/>
                  <w:vMerge w:val="restart"/>
                  <w:tcBorders>
                    <w:tl2br w:val="nil"/>
                    <w:tr2bl w:val="nil"/>
                  </w:tcBorders>
                  <w:shd w:val="clear" w:color="auto" w:fill="FFFFFF"/>
                  <w:noWrap w:val="0"/>
                  <w:vAlign w:val="center"/>
                </w:tcPr>
                <w:p>
                  <w:pPr>
                    <w:pStyle w:val="246"/>
                    <w:wordWrap/>
                    <w:spacing w:before="24" w:beforeLines="0" w:beforeAutospacing="0" w:after="24" w:afterLines="0" w:afterAutospacing="0" w:line="240" w:lineRule="auto"/>
                    <w:ind w:left="0" w:leftChars="0" w:right="0" w:rightChars="0" w:firstLine="0" w:firstLineChars="0"/>
                    <w:rPr>
                      <w:rFonts w:eastAsia="宋体"/>
                      <w:color w:val="000000"/>
                    </w:rPr>
                  </w:pPr>
                  <w:r>
                    <w:rPr>
                      <w:rFonts w:eastAsia="宋体"/>
                      <w:color w:val="000000"/>
                    </w:rPr>
                    <w:t>下风向距离/m</w:t>
                  </w:r>
                </w:p>
              </w:tc>
              <w:tc>
                <w:tcPr>
                  <w:tcW w:w="5502" w:type="dxa"/>
                  <w:gridSpan w:val="2"/>
                  <w:tcBorders>
                    <w:tl2br w:val="nil"/>
                    <w:tr2bl w:val="nil"/>
                  </w:tcBorders>
                  <w:shd w:val="clear" w:color="auto" w:fill="FFFFFF"/>
                  <w:noWrap w:val="0"/>
                  <w:vAlign w:val="center"/>
                </w:tcPr>
                <w:p>
                  <w:pPr>
                    <w:pStyle w:val="246"/>
                    <w:wordWrap/>
                    <w:spacing w:before="24" w:beforeLines="0" w:beforeAutospacing="0" w:after="24" w:afterLines="0" w:afterAutospacing="0" w:line="240" w:lineRule="auto"/>
                    <w:ind w:left="0" w:leftChars="0" w:right="0" w:rightChars="0" w:firstLine="0" w:firstLineChars="0"/>
                    <w:rPr>
                      <w:rFonts w:hint="eastAsia" w:eastAsia="宋体"/>
                      <w:color w:val="000000"/>
                      <w:lang w:val="en-US" w:eastAsia="zh-CN"/>
                    </w:rPr>
                  </w:pPr>
                  <w:r>
                    <w:rPr>
                      <w:rFonts w:hint="eastAsia"/>
                      <w:color w:val="000000"/>
                      <w:lang w:val="en-US" w:eastAsia="zh-CN"/>
                    </w:rPr>
                    <w:t>颗粒物</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vMerge w:val="continue"/>
                  <w:tcBorders>
                    <w:tl2br w:val="nil"/>
                    <w:tr2bl w:val="nil"/>
                  </w:tcBorders>
                  <w:shd w:val="clear" w:color="auto" w:fill="FFFFFF"/>
                  <w:noWrap w:val="0"/>
                  <w:vAlign w:val="center"/>
                </w:tcPr>
                <w:p>
                  <w:pPr>
                    <w:pStyle w:val="246"/>
                    <w:spacing w:before="24" w:after="24"/>
                    <w:rPr>
                      <w:color w:val="000000"/>
                    </w:rPr>
                  </w:pPr>
                </w:p>
              </w:tc>
              <w:tc>
                <w:tcPr>
                  <w:tcW w:w="3118" w:type="dxa"/>
                  <w:tcBorders>
                    <w:tl2br w:val="nil"/>
                    <w:tr2bl w:val="nil"/>
                  </w:tcBorders>
                  <w:shd w:val="clear" w:color="auto" w:fill="FFFFFF"/>
                  <w:noWrap w:val="0"/>
                  <w:vAlign w:val="center"/>
                </w:tcPr>
                <w:p>
                  <w:pPr>
                    <w:pStyle w:val="246"/>
                    <w:spacing w:before="24" w:after="24"/>
                    <w:rPr>
                      <w:color w:val="000000"/>
                    </w:rPr>
                  </w:pPr>
                  <w:r>
                    <w:rPr>
                      <w:color w:val="000000"/>
                    </w:rPr>
                    <w:t>预测质量浓度/（μg/m</w:t>
                  </w:r>
                  <w:r>
                    <w:rPr>
                      <w:color w:val="000000"/>
                      <w:vertAlign w:val="superscript"/>
                    </w:rPr>
                    <w:t>3</w:t>
                  </w:r>
                  <w:r>
                    <w:rPr>
                      <w:color w:val="000000"/>
                    </w:rPr>
                    <w:t>）</w:t>
                  </w:r>
                </w:p>
              </w:tc>
              <w:tc>
                <w:tcPr>
                  <w:tcW w:w="2384" w:type="dxa"/>
                  <w:tcBorders>
                    <w:tl2br w:val="nil"/>
                    <w:tr2bl w:val="nil"/>
                  </w:tcBorders>
                  <w:shd w:val="clear" w:color="auto" w:fill="FFFFFF"/>
                  <w:noWrap w:val="0"/>
                  <w:vAlign w:val="center"/>
                </w:tcPr>
                <w:p>
                  <w:pPr>
                    <w:pStyle w:val="246"/>
                    <w:spacing w:before="24" w:after="24"/>
                    <w:rPr>
                      <w:color w:val="000000"/>
                    </w:rPr>
                  </w:pPr>
                  <w:r>
                    <w:rPr>
                      <w:color w:val="000000"/>
                    </w:rPr>
                    <w:t>占标率/%</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rPr>
                      <w:color w:val="000000"/>
                    </w:rPr>
                    <w:t>10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1.1306</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2.51244E-001</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0.609</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1.35333E-001</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0.33214</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7.38089E-002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300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0.21891</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4.86467E-002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400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0.16028</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3.56178E-002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500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0.12303</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2.73400E-002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600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0.098472</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2.18827E-002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700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0.081258</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1.80573E-002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800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0.068624</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1.52498E-002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900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0.059022</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1.31160E-002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1000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0.051515</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1.14478E-002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1100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0.045511</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1.01136E-002</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1200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0.040617</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9.02600E-003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1300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0.036564</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8.12533E-003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1400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0.03316</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7.36889E-003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1500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0.030267</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6.72600E-003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1600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0.027784</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6.17422E-003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1700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0.025632</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5.69600E-003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1800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0.023752</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5.27822E-003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1900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0.022098</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4.91067E-003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2000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0.020633</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4.58511E-003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2100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0.019328</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4.29511E-003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2200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0.018159</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4.03533E-003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2300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0.017107</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3.80156E-003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2400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0.016157</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3.59044E-003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t>2500</w:t>
                  </w:r>
                </w:p>
              </w:tc>
              <w:tc>
                <w:tcPr>
                  <w:tcW w:w="3118"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0.015293</w:t>
                  </w:r>
                </w:p>
              </w:tc>
              <w:tc>
                <w:tcPr>
                  <w:tcW w:w="2384" w:type="dxa"/>
                  <w:tcBorders>
                    <w:tl2br w:val="nil"/>
                    <w:tr2bl w:val="nil"/>
                  </w:tcBorders>
                  <w:shd w:val="clear" w:color="auto" w:fill="FFFFFF"/>
                  <w:noWrap w:val="0"/>
                  <w:vAlign w:val="center"/>
                </w:tcPr>
                <w:p>
                  <w:pPr>
                    <w:spacing w:before="74" w:beforeLines="0" w:afterLines="0"/>
                    <w:jc w:val="center"/>
                    <w:rPr>
                      <w:rFonts w:ascii="Times New Roman" w:hAnsi="Times New Roman" w:eastAsia="宋体" w:cs="Times New Roman"/>
                      <w:kern w:val="2"/>
                      <w:position w:val="-10"/>
                      <w:sz w:val="21"/>
                      <w:szCs w:val="22"/>
                      <w:lang w:val="en-US" w:eastAsia="zh-CN" w:bidi="ar-SA"/>
                    </w:rPr>
                  </w:pPr>
                  <w:r>
                    <w:rPr>
                      <w:rFonts w:hint="default" w:ascii="Times New Roman" w:hAnsi="Times New Roman" w:eastAsia="宋体" w:cs="Times New Roman"/>
                      <w:kern w:val="2"/>
                      <w:position w:val="-10"/>
                      <w:sz w:val="21"/>
                      <w:szCs w:val="22"/>
                      <w:lang w:val="fi-FI" w:eastAsia="zh-CN" w:bidi="ar-SA"/>
                    </w:rPr>
                    <w:t>3.39844E-003</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rPr>
                      <w:color w:val="000000"/>
                    </w:rPr>
                    <w:t>下风向最大质量浓度及占标率/%</w:t>
                  </w:r>
                </w:p>
              </w:tc>
              <w:tc>
                <w:tcPr>
                  <w:tcW w:w="3118" w:type="dxa"/>
                  <w:tcBorders>
                    <w:tl2br w:val="nil"/>
                    <w:tr2bl w:val="nil"/>
                  </w:tcBorders>
                  <w:shd w:val="clear" w:color="auto" w:fill="FFFFFF"/>
                  <w:noWrap w:val="0"/>
                  <w:vAlign w:val="center"/>
                </w:tcPr>
                <w:p>
                  <w:pPr>
                    <w:spacing w:before="74" w:beforeLines="0" w:afterLines="0"/>
                    <w:jc w:val="center"/>
                    <w:rPr>
                      <w:color w:val="000000"/>
                      <w:lang w:val="en-US"/>
                    </w:rPr>
                  </w:pPr>
                  <w:r>
                    <w:rPr>
                      <w:rFonts w:hint="eastAsia"/>
                      <w:kern w:val="2"/>
                      <w:position w:val="-10"/>
                      <w:sz w:val="21"/>
                      <w:szCs w:val="21"/>
                      <w:lang w:val="en-US" w:eastAsia="zh-CN" w:bidi="ar-SA"/>
                    </w:rPr>
                    <w:t>1.4108</w:t>
                  </w:r>
                </w:p>
              </w:tc>
              <w:tc>
                <w:tcPr>
                  <w:tcW w:w="2384" w:type="dxa"/>
                  <w:tcBorders>
                    <w:tl2br w:val="nil"/>
                    <w:tr2bl w:val="nil"/>
                  </w:tcBorders>
                  <w:shd w:val="clear" w:color="auto" w:fill="FFFFFF"/>
                  <w:noWrap w:val="0"/>
                  <w:vAlign w:val="center"/>
                </w:tcPr>
                <w:p>
                  <w:pPr>
                    <w:spacing w:before="74" w:beforeLines="0" w:afterLines="0"/>
                    <w:jc w:val="center"/>
                    <w:rPr>
                      <w:color w:val="000000"/>
                    </w:rPr>
                  </w:pPr>
                  <w:r>
                    <w:rPr>
                      <w:rFonts w:hint="eastAsia"/>
                      <w:kern w:val="2"/>
                      <w:position w:val="-10"/>
                      <w:sz w:val="21"/>
                      <w:szCs w:val="21"/>
                      <w:lang w:val="en-US" w:eastAsia="zh-CN" w:bidi="ar-SA"/>
                    </w:rPr>
                    <w:t>3.13511</w:t>
                  </w:r>
                  <w:r>
                    <w:rPr>
                      <w:rFonts w:hint="default"/>
                      <w:kern w:val="2"/>
                      <w:position w:val="-10"/>
                      <w:sz w:val="21"/>
                      <w:szCs w:val="21"/>
                      <w:lang w:val="en-US" w:eastAsia="zh-CN" w:bidi="ar-SA"/>
                    </w:rPr>
                    <w:t>E-001</w:t>
                  </w:r>
                </w:p>
              </w:tc>
            </w:tr>
            <w:tr>
              <w:tblPrEx>
                <w:tblBorders>
                  <w:top w:val="double" w:color="000000" w:sz="4" w:space="0"/>
                  <w:left w:val="none" w:color="auto" w:sz="0" w:space="0"/>
                  <w:bottom w:val="double" w:color="000000" w:sz="4"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2811" w:type="dxa"/>
                  <w:tcBorders>
                    <w:tl2br w:val="nil"/>
                    <w:tr2bl w:val="nil"/>
                  </w:tcBorders>
                  <w:shd w:val="clear" w:color="auto" w:fill="FFFFFF"/>
                  <w:noWrap w:val="0"/>
                  <w:vAlign w:val="center"/>
                </w:tcPr>
                <w:p>
                  <w:pPr>
                    <w:pStyle w:val="246"/>
                    <w:spacing w:before="24" w:after="24"/>
                    <w:rPr>
                      <w:color w:val="000000"/>
                    </w:rPr>
                  </w:pPr>
                  <w:r>
                    <w:rPr>
                      <w:i/>
                      <w:color w:val="000000"/>
                    </w:rPr>
                    <w:t>D</w:t>
                  </w:r>
                  <w:r>
                    <w:rPr>
                      <w:color w:val="000000"/>
                      <w:vertAlign w:val="subscript"/>
                    </w:rPr>
                    <w:t>10%</w:t>
                  </w:r>
                  <w:r>
                    <w:rPr>
                      <w:color w:val="000000"/>
                    </w:rPr>
                    <w:t>最远距离/m</w:t>
                  </w:r>
                </w:p>
              </w:tc>
              <w:tc>
                <w:tcPr>
                  <w:tcW w:w="5502" w:type="dxa"/>
                  <w:gridSpan w:val="2"/>
                  <w:tcBorders>
                    <w:tl2br w:val="nil"/>
                    <w:tr2bl w:val="nil"/>
                  </w:tcBorders>
                  <w:shd w:val="clear" w:color="auto" w:fill="FFFFFF"/>
                  <w:noWrap w:val="0"/>
                  <w:vAlign w:val="center"/>
                </w:tcPr>
                <w:p>
                  <w:pPr>
                    <w:pStyle w:val="246"/>
                    <w:spacing w:before="24" w:after="24"/>
                    <w:rPr>
                      <w:rFonts w:hint="eastAsia" w:eastAsia="宋体"/>
                      <w:color w:val="000000"/>
                      <w:lang w:val="en-US" w:eastAsia="zh-CN"/>
                    </w:rPr>
                  </w:pPr>
                  <w:r>
                    <w:rPr>
                      <w:rFonts w:hint="eastAsia"/>
                      <w:color w:val="000000"/>
                      <w:lang w:val="en-US" w:eastAsia="zh-CN"/>
                    </w:rPr>
                    <w:t>16</w:t>
                  </w:r>
                </w:p>
              </w:tc>
            </w:tr>
          </w:tbl>
          <w:p>
            <w:pPr>
              <w:adjustRightInd w:val="0"/>
              <w:snapToGrid w:val="0"/>
              <w:spacing w:line="360" w:lineRule="auto"/>
              <w:ind w:firstLine="480" w:firstLineChars="200"/>
              <w:rPr>
                <w:rFonts w:hint="eastAsia"/>
                <w:color w:val="auto"/>
                <w:sz w:val="24"/>
                <w:lang w:val="en-US" w:eastAsia="zh-CN"/>
              </w:rPr>
            </w:pPr>
            <w:r>
              <w:rPr>
                <w:sz w:val="24"/>
              </w:rPr>
              <w:t>由上表可知，</w:t>
            </w:r>
            <w:r>
              <w:rPr>
                <w:rFonts w:hint="eastAsia"/>
                <w:sz w:val="24"/>
              </w:rPr>
              <w:t>本项目颗粒物</w:t>
            </w:r>
            <w:r>
              <w:rPr>
                <w:rFonts w:hint="eastAsia"/>
                <w:bCs/>
                <w:sz w:val="24"/>
              </w:rPr>
              <w:t>无组织排放</w:t>
            </w:r>
            <w:r>
              <w:rPr>
                <w:rFonts w:hint="eastAsia"/>
                <w:sz w:val="24"/>
                <w:lang w:eastAsia="zh-CN"/>
              </w:rPr>
              <w:t>最大地面浓度</w:t>
            </w:r>
            <w:r>
              <w:rPr>
                <w:rFonts w:hint="eastAsia"/>
                <w:bCs/>
                <w:sz w:val="24"/>
                <w:lang w:eastAsia="zh-CN"/>
              </w:rPr>
              <w:t>占标率</w:t>
            </w:r>
            <w:r>
              <w:rPr>
                <w:rFonts w:hint="eastAsia"/>
                <w:bCs/>
                <w:sz w:val="24"/>
                <w:lang w:val="en-US" w:eastAsia="zh-CN"/>
              </w:rPr>
              <w:t>0.313%，小于1%，</w:t>
            </w:r>
            <w:r>
              <w:rPr>
                <w:rFonts w:hint="eastAsia"/>
                <w:sz w:val="24"/>
                <w:lang w:val="en-US" w:eastAsia="zh-CN"/>
              </w:rPr>
              <w:t>本项目大气评价等级为三级评价，不进行进一步预测与评价，只对污染物排放量进行核算。</w:t>
            </w:r>
            <w:r>
              <w:rPr>
                <w:rFonts w:hint="eastAsia"/>
                <w:bCs/>
                <w:sz w:val="24"/>
              </w:rPr>
              <w:t>颗粒物无组织排放监控点浓度小</w:t>
            </w:r>
            <w:r>
              <w:rPr>
                <w:rFonts w:hint="eastAsia"/>
                <w:bCs/>
                <w:sz w:val="24"/>
                <w:szCs w:val="22"/>
              </w:rPr>
              <w:t>于《</w:t>
            </w:r>
            <w:r>
              <w:rPr>
                <w:rFonts w:hint="eastAsia"/>
                <w:bCs/>
                <w:sz w:val="24"/>
                <w:szCs w:val="22"/>
                <w:lang w:eastAsia="zh-CN"/>
              </w:rPr>
              <w:t>陶瓷工业污染物排放标准</w:t>
            </w:r>
            <w:r>
              <w:rPr>
                <w:rFonts w:hint="eastAsia"/>
                <w:bCs/>
                <w:sz w:val="24"/>
                <w:szCs w:val="22"/>
              </w:rPr>
              <w:t>》</w:t>
            </w:r>
            <w:r>
              <w:rPr>
                <w:rFonts w:hint="eastAsia"/>
                <w:bCs/>
                <w:sz w:val="24"/>
              </w:rPr>
              <w:t>（GB</w:t>
            </w:r>
            <w:r>
              <w:rPr>
                <w:rFonts w:hint="eastAsia"/>
                <w:bCs/>
                <w:sz w:val="24"/>
                <w:lang w:val="en-US" w:eastAsia="zh-CN"/>
              </w:rPr>
              <w:t>25464-2010</w:t>
            </w:r>
            <w:r>
              <w:rPr>
                <w:rFonts w:hint="eastAsia"/>
                <w:bCs/>
                <w:sz w:val="24"/>
              </w:rPr>
              <w:t>）无组织排放监控浓度限值 1.0mg/m</w:t>
            </w:r>
            <w:r>
              <w:rPr>
                <w:bCs/>
                <w:sz w:val="24"/>
                <w:vertAlign w:val="superscript"/>
              </w:rPr>
              <w:t>3</w:t>
            </w:r>
            <w:r>
              <w:rPr>
                <w:rFonts w:hint="eastAsia" w:ascii="宋体" w:hAnsi="宋体"/>
                <w:bCs/>
                <w:sz w:val="24"/>
              </w:rPr>
              <w:t>。</w:t>
            </w:r>
            <w:r>
              <w:rPr>
                <w:sz w:val="24"/>
              </w:rPr>
              <w:t>因此废气无组织排放对周边环境影响较小</w:t>
            </w:r>
            <w:r>
              <w:rPr>
                <w:color w:val="auto"/>
                <w:sz w:val="24"/>
              </w:rPr>
              <w:t>。</w:t>
            </w:r>
            <w:r>
              <w:rPr>
                <w:rFonts w:hint="eastAsia"/>
                <w:color w:val="auto"/>
                <w:sz w:val="24"/>
                <w:lang w:eastAsia="zh-CN"/>
              </w:rPr>
              <w:t>本项目大气污染物排放量核算见下表</w:t>
            </w:r>
            <w:r>
              <w:rPr>
                <w:rFonts w:hint="eastAsia"/>
                <w:color w:val="auto"/>
                <w:sz w:val="24"/>
                <w:lang w:val="en-US" w:eastAsia="zh-CN"/>
              </w:rPr>
              <w:t>。</w:t>
            </w:r>
          </w:p>
          <w:p>
            <w:pPr>
              <w:spacing w:line="400" w:lineRule="exact"/>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表7-6  本项目大气污染物无组织排放量核算表</w:t>
            </w:r>
          </w:p>
          <w:tbl>
            <w:tblPr>
              <w:tblStyle w:val="75"/>
              <w:tblW w:w="8387" w:type="dxa"/>
              <w:tblInd w:w="-15" w:type="dxa"/>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Layout w:type="autofit"/>
              <w:tblCellMar>
                <w:top w:w="0" w:type="dxa"/>
                <w:left w:w="0" w:type="dxa"/>
                <w:bottom w:w="0" w:type="dxa"/>
                <w:right w:w="0" w:type="dxa"/>
              </w:tblCellMar>
            </w:tblPr>
            <w:tblGrid>
              <w:gridCol w:w="578"/>
              <w:gridCol w:w="764"/>
              <w:gridCol w:w="1227"/>
              <w:gridCol w:w="982"/>
              <w:gridCol w:w="914"/>
              <w:gridCol w:w="1691"/>
              <w:gridCol w:w="1322"/>
              <w:gridCol w:w="909"/>
            </w:tblGrid>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578" w:type="dxa"/>
                  <w:vMerge w:val="restart"/>
                  <w:noWrap w:val="0"/>
                  <w:tcMar>
                    <w:top w:w="15" w:type="dxa"/>
                    <w:left w:w="15" w:type="dxa"/>
                    <w:right w:w="15" w:type="dxa"/>
                  </w:tcMar>
                  <w:vAlign w:val="center"/>
                </w:tcPr>
                <w:p>
                  <w:pPr>
                    <w:widowControl/>
                    <w:jc w:val="center"/>
                    <w:textAlignment w:val="center"/>
                    <w:rPr>
                      <w:color w:val="auto"/>
                    </w:rPr>
                  </w:pPr>
                  <w:r>
                    <w:rPr>
                      <w:rFonts w:hint="eastAsia"/>
                      <w:color w:val="auto"/>
                      <w:kern w:val="0"/>
                      <w:lang w:eastAsia="zh-CN" w:bidi="ar"/>
                    </w:rPr>
                    <w:t>序号</w:t>
                  </w:r>
                </w:p>
              </w:tc>
              <w:tc>
                <w:tcPr>
                  <w:tcW w:w="764" w:type="dxa"/>
                  <w:vMerge w:val="restart"/>
                  <w:noWrap w:val="0"/>
                  <w:tcMar>
                    <w:top w:w="15" w:type="dxa"/>
                    <w:left w:w="15" w:type="dxa"/>
                    <w:right w:w="15" w:type="dxa"/>
                  </w:tcMar>
                  <w:vAlign w:val="center"/>
                </w:tcPr>
                <w:p>
                  <w:pPr>
                    <w:widowControl/>
                    <w:jc w:val="center"/>
                    <w:textAlignment w:val="center"/>
                    <w:rPr>
                      <w:color w:val="auto"/>
                    </w:rPr>
                  </w:pPr>
                  <w:r>
                    <w:rPr>
                      <w:rFonts w:hint="eastAsia"/>
                      <w:color w:val="auto"/>
                      <w:kern w:val="0"/>
                      <w:lang w:eastAsia="zh-CN" w:bidi="ar"/>
                    </w:rPr>
                    <w:t>排放口编号</w:t>
                  </w:r>
                </w:p>
              </w:tc>
              <w:tc>
                <w:tcPr>
                  <w:tcW w:w="1227" w:type="dxa"/>
                  <w:vMerge w:val="restart"/>
                  <w:noWrap w:val="0"/>
                  <w:tcMar>
                    <w:top w:w="15" w:type="dxa"/>
                    <w:left w:w="15" w:type="dxa"/>
                    <w:right w:w="15" w:type="dxa"/>
                  </w:tcMar>
                  <w:vAlign w:val="center"/>
                </w:tcPr>
                <w:p>
                  <w:pPr>
                    <w:widowControl/>
                    <w:jc w:val="center"/>
                    <w:textAlignment w:val="center"/>
                    <w:rPr>
                      <w:rFonts w:hint="eastAsia" w:eastAsia="宋体"/>
                      <w:color w:val="auto"/>
                      <w:kern w:val="0"/>
                      <w:lang w:eastAsia="zh-CN" w:bidi="ar"/>
                    </w:rPr>
                  </w:pPr>
                  <w:r>
                    <w:rPr>
                      <w:rFonts w:hint="eastAsia"/>
                      <w:color w:val="auto"/>
                      <w:kern w:val="0"/>
                      <w:lang w:eastAsia="zh-CN" w:bidi="ar"/>
                    </w:rPr>
                    <w:t>产污环节</w:t>
                  </w:r>
                </w:p>
              </w:tc>
              <w:tc>
                <w:tcPr>
                  <w:tcW w:w="982" w:type="dxa"/>
                  <w:vMerge w:val="restart"/>
                  <w:noWrap w:val="0"/>
                  <w:tcMar>
                    <w:top w:w="15" w:type="dxa"/>
                    <w:left w:w="15" w:type="dxa"/>
                    <w:right w:w="15" w:type="dxa"/>
                  </w:tcMar>
                  <w:vAlign w:val="center"/>
                </w:tcPr>
                <w:p>
                  <w:pPr>
                    <w:widowControl/>
                    <w:jc w:val="center"/>
                    <w:textAlignment w:val="center"/>
                    <w:rPr>
                      <w:color w:val="auto"/>
                    </w:rPr>
                  </w:pPr>
                  <w:r>
                    <w:rPr>
                      <w:rFonts w:hint="eastAsia"/>
                      <w:color w:val="auto"/>
                      <w:kern w:val="0"/>
                      <w:lang w:eastAsia="zh-CN" w:bidi="ar"/>
                    </w:rPr>
                    <w:t>污染物</w:t>
                  </w:r>
                </w:p>
              </w:tc>
              <w:tc>
                <w:tcPr>
                  <w:tcW w:w="914" w:type="dxa"/>
                  <w:vMerge w:val="restart"/>
                  <w:noWrap w:val="0"/>
                  <w:vAlign w:val="center"/>
                </w:tcPr>
                <w:p>
                  <w:pPr>
                    <w:widowControl/>
                    <w:jc w:val="center"/>
                    <w:textAlignment w:val="center"/>
                    <w:rPr>
                      <w:color w:val="auto"/>
                      <w:kern w:val="0"/>
                      <w:lang w:bidi="ar"/>
                    </w:rPr>
                  </w:pPr>
                  <w:r>
                    <w:rPr>
                      <w:rFonts w:hint="eastAsia"/>
                      <w:color w:val="auto"/>
                      <w:kern w:val="0"/>
                      <w:lang w:eastAsia="zh-CN" w:bidi="ar"/>
                    </w:rPr>
                    <w:t>主要污染防治措施</w:t>
                  </w:r>
                </w:p>
              </w:tc>
              <w:tc>
                <w:tcPr>
                  <w:tcW w:w="3013" w:type="dxa"/>
                  <w:gridSpan w:val="2"/>
                  <w:noWrap w:val="0"/>
                  <w:vAlign w:val="center"/>
                </w:tcPr>
                <w:p>
                  <w:pPr>
                    <w:widowControl/>
                    <w:jc w:val="center"/>
                    <w:textAlignment w:val="center"/>
                    <w:rPr>
                      <w:rFonts w:hint="eastAsia" w:eastAsia="宋体"/>
                      <w:color w:val="auto"/>
                      <w:kern w:val="0"/>
                      <w:lang w:val="en-US" w:eastAsia="zh-CN" w:bidi="ar"/>
                    </w:rPr>
                  </w:pPr>
                  <w:r>
                    <w:rPr>
                      <w:rFonts w:hint="eastAsia" w:eastAsia="宋体"/>
                      <w:color w:val="auto"/>
                      <w:kern w:val="0"/>
                      <w:lang w:val="en-US" w:eastAsia="zh-CN" w:bidi="ar"/>
                    </w:rPr>
                    <w:t>国家或地方污染物排放标准</w:t>
                  </w:r>
                </w:p>
              </w:tc>
              <w:tc>
                <w:tcPr>
                  <w:tcW w:w="909" w:type="dxa"/>
                  <w:vMerge w:val="restart"/>
                  <w:noWrap w:val="0"/>
                  <w:vAlign w:val="center"/>
                </w:tcPr>
                <w:p>
                  <w:pPr>
                    <w:widowControl/>
                    <w:jc w:val="center"/>
                    <w:textAlignment w:val="center"/>
                    <w:rPr>
                      <w:rFonts w:hint="eastAsia" w:eastAsia="宋体"/>
                      <w:color w:val="auto"/>
                      <w:kern w:val="0"/>
                      <w:lang w:val="en-US" w:eastAsia="zh-CN" w:bidi="ar"/>
                    </w:rPr>
                  </w:pPr>
                  <w:r>
                    <w:rPr>
                      <w:rFonts w:hint="eastAsia" w:eastAsia="宋体"/>
                      <w:color w:val="auto"/>
                      <w:kern w:val="0"/>
                      <w:lang w:val="en-US" w:eastAsia="zh-CN" w:bidi="ar"/>
                    </w:rPr>
                    <w:t>年排放量（t/a）</w:t>
                  </w: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277" w:hRule="atLeast"/>
              </w:trPr>
              <w:tc>
                <w:tcPr>
                  <w:tcW w:w="578" w:type="dxa"/>
                  <w:vMerge w:val="continue"/>
                  <w:noWrap w:val="0"/>
                  <w:tcMar>
                    <w:top w:w="15" w:type="dxa"/>
                    <w:left w:w="15" w:type="dxa"/>
                    <w:right w:w="15" w:type="dxa"/>
                  </w:tcMar>
                  <w:vAlign w:val="center"/>
                </w:tcPr>
                <w:p>
                  <w:pPr>
                    <w:widowControl/>
                    <w:jc w:val="center"/>
                    <w:textAlignment w:val="center"/>
                    <w:rPr>
                      <w:color w:val="auto"/>
                    </w:rPr>
                  </w:pPr>
                </w:p>
              </w:tc>
              <w:tc>
                <w:tcPr>
                  <w:tcW w:w="764" w:type="dxa"/>
                  <w:vMerge w:val="continue"/>
                  <w:noWrap w:val="0"/>
                  <w:tcMar>
                    <w:top w:w="15" w:type="dxa"/>
                    <w:left w:w="15" w:type="dxa"/>
                    <w:right w:w="15" w:type="dxa"/>
                  </w:tcMar>
                  <w:vAlign w:val="center"/>
                </w:tcPr>
                <w:p>
                  <w:pPr>
                    <w:widowControl/>
                    <w:jc w:val="center"/>
                    <w:textAlignment w:val="center"/>
                    <w:rPr>
                      <w:color w:val="auto"/>
                    </w:rPr>
                  </w:pPr>
                </w:p>
              </w:tc>
              <w:tc>
                <w:tcPr>
                  <w:tcW w:w="1227" w:type="dxa"/>
                  <w:vMerge w:val="continue"/>
                  <w:noWrap w:val="0"/>
                  <w:tcMar>
                    <w:top w:w="15" w:type="dxa"/>
                    <w:left w:w="15" w:type="dxa"/>
                    <w:right w:w="15" w:type="dxa"/>
                  </w:tcMar>
                  <w:vAlign w:val="center"/>
                </w:tcPr>
                <w:p>
                  <w:pPr>
                    <w:widowControl/>
                    <w:jc w:val="center"/>
                    <w:textAlignment w:val="center"/>
                    <w:rPr>
                      <w:color w:val="auto"/>
                    </w:rPr>
                  </w:pPr>
                </w:p>
              </w:tc>
              <w:tc>
                <w:tcPr>
                  <w:tcW w:w="982" w:type="dxa"/>
                  <w:vMerge w:val="continue"/>
                  <w:noWrap w:val="0"/>
                  <w:tcMar>
                    <w:top w:w="15" w:type="dxa"/>
                    <w:left w:w="15" w:type="dxa"/>
                    <w:right w:w="15" w:type="dxa"/>
                  </w:tcMar>
                  <w:vAlign w:val="center"/>
                </w:tcPr>
                <w:p>
                  <w:pPr>
                    <w:widowControl/>
                    <w:jc w:val="center"/>
                    <w:textAlignment w:val="center"/>
                    <w:rPr>
                      <w:color w:val="auto"/>
                    </w:rPr>
                  </w:pPr>
                </w:p>
              </w:tc>
              <w:tc>
                <w:tcPr>
                  <w:tcW w:w="914" w:type="dxa"/>
                  <w:vMerge w:val="continue"/>
                  <w:noWrap w:val="0"/>
                  <w:vAlign w:val="center"/>
                </w:tcPr>
                <w:p>
                  <w:pPr>
                    <w:widowControl/>
                    <w:jc w:val="center"/>
                    <w:textAlignment w:val="center"/>
                    <w:rPr>
                      <w:color w:val="auto"/>
                    </w:rPr>
                  </w:pPr>
                </w:p>
              </w:tc>
              <w:tc>
                <w:tcPr>
                  <w:tcW w:w="1691" w:type="dxa"/>
                  <w:noWrap w:val="0"/>
                  <w:vAlign w:val="center"/>
                </w:tcPr>
                <w:p>
                  <w:pPr>
                    <w:widowControl/>
                    <w:jc w:val="center"/>
                    <w:textAlignment w:val="center"/>
                    <w:rPr>
                      <w:rFonts w:hint="eastAsia" w:eastAsia="宋体"/>
                      <w:color w:val="auto"/>
                      <w:kern w:val="0"/>
                      <w:lang w:val="en-US" w:eastAsia="zh-CN" w:bidi="ar"/>
                    </w:rPr>
                  </w:pPr>
                  <w:r>
                    <w:rPr>
                      <w:rFonts w:hint="eastAsia" w:eastAsia="宋体"/>
                      <w:color w:val="auto"/>
                      <w:kern w:val="0"/>
                      <w:lang w:val="en-US" w:eastAsia="zh-CN" w:bidi="ar"/>
                    </w:rPr>
                    <w:t>标准名称</w:t>
                  </w:r>
                </w:p>
              </w:tc>
              <w:tc>
                <w:tcPr>
                  <w:tcW w:w="1322" w:type="dxa"/>
                  <w:noWrap w:val="0"/>
                  <w:vAlign w:val="center"/>
                </w:tcPr>
                <w:p>
                  <w:pPr>
                    <w:widowControl/>
                    <w:jc w:val="center"/>
                    <w:textAlignment w:val="center"/>
                    <w:rPr>
                      <w:rFonts w:hint="eastAsia" w:eastAsia="宋体"/>
                      <w:color w:val="auto"/>
                      <w:kern w:val="0"/>
                      <w:lang w:val="en-US" w:eastAsia="zh-CN" w:bidi="ar"/>
                    </w:rPr>
                  </w:pPr>
                  <w:r>
                    <w:rPr>
                      <w:rFonts w:hint="eastAsia" w:eastAsia="宋体"/>
                      <w:color w:val="auto"/>
                      <w:kern w:val="0"/>
                      <w:lang w:val="en-US" w:eastAsia="zh-CN" w:bidi="ar"/>
                    </w:rPr>
                    <w:t>浓度限值/（</w:t>
                  </w:r>
                  <w:r>
                    <w:rPr>
                      <w:rFonts w:hint="eastAsia"/>
                      <w:color w:val="auto"/>
                      <w:kern w:val="0"/>
                      <w:lang w:val="en-US" w:eastAsia="zh-CN" w:bidi="ar"/>
                    </w:rPr>
                    <w:t>mg</w:t>
                  </w:r>
                  <w:r>
                    <w:rPr>
                      <w:rFonts w:hint="eastAsia" w:eastAsia="宋体"/>
                      <w:color w:val="auto"/>
                      <w:kern w:val="0"/>
                      <w:lang w:val="en-US" w:eastAsia="zh-CN" w:bidi="ar"/>
                    </w:rPr>
                    <w:t>/m</w:t>
                  </w:r>
                  <w:r>
                    <w:rPr>
                      <w:rFonts w:hint="eastAsia" w:eastAsia="宋体"/>
                      <w:color w:val="auto"/>
                      <w:kern w:val="0"/>
                      <w:vertAlign w:val="superscript"/>
                      <w:lang w:val="en-US" w:eastAsia="zh-CN" w:bidi="ar"/>
                    </w:rPr>
                    <w:t>3</w:t>
                  </w:r>
                  <w:r>
                    <w:rPr>
                      <w:rFonts w:hint="eastAsia" w:eastAsia="宋体"/>
                      <w:color w:val="auto"/>
                      <w:kern w:val="0"/>
                      <w:lang w:val="en-US" w:eastAsia="zh-CN" w:bidi="ar"/>
                    </w:rPr>
                    <w:t>）</w:t>
                  </w:r>
                </w:p>
              </w:tc>
              <w:tc>
                <w:tcPr>
                  <w:tcW w:w="909" w:type="dxa"/>
                  <w:vMerge w:val="continue"/>
                  <w:noWrap w:val="0"/>
                  <w:vAlign w:val="center"/>
                </w:tcPr>
                <w:p>
                  <w:pPr>
                    <w:widowControl/>
                    <w:jc w:val="center"/>
                    <w:textAlignment w:val="center"/>
                    <w:rPr>
                      <w:rFonts w:hint="eastAsia" w:eastAsia="宋体"/>
                      <w:color w:val="auto"/>
                      <w:kern w:val="0"/>
                      <w:lang w:val="en-US" w:eastAsia="zh-CN" w:bidi="ar"/>
                    </w:rPr>
                  </w:pP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78" w:type="dxa"/>
                  <w:noWrap w:val="0"/>
                  <w:tcMar>
                    <w:top w:w="15" w:type="dxa"/>
                    <w:left w:w="15" w:type="dxa"/>
                    <w:right w:w="15" w:type="dxa"/>
                  </w:tcMar>
                  <w:vAlign w:val="center"/>
                </w:tcPr>
                <w:p>
                  <w:pPr>
                    <w:widowControl/>
                    <w:jc w:val="center"/>
                    <w:textAlignment w:val="center"/>
                    <w:rPr>
                      <w:rFonts w:hint="eastAsia" w:eastAsia="宋体"/>
                      <w:color w:val="auto"/>
                      <w:lang w:val="en-US" w:eastAsia="zh-CN"/>
                    </w:rPr>
                  </w:pPr>
                  <w:r>
                    <w:rPr>
                      <w:rFonts w:hint="eastAsia" w:eastAsia="宋体"/>
                      <w:color w:val="auto"/>
                      <w:lang w:val="en-US" w:eastAsia="zh-CN"/>
                    </w:rPr>
                    <w:t>1</w:t>
                  </w:r>
                </w:p>
              </w:tc>
              <w:tc>
                <w:tcPr>
                  <w:tcW w:w="764" w:type="dxa"/>
                  <w:noWrap w:val="0"/>
                  <w:tcMar>
                    <w:top w:w="15" w:type="dxa"/>
                    <w:left w:w="15" w:type="dxa"/>
                    <w:right w:w="15" w:type="dxa"/>
                  </w:tcMar>
                  <w:vAlign w:val="center"/>
                </w:tcPr>
                <w:p>
                  <w:pPr>
                    <w:widowControl/>
                    <w:jc w:val="center"/>
                    <w:textAlignment w:val="center"/>
                    <w:rPr>
                      <w:rFonts w:hint="eastAsia" w:eastAsia="宋体"/>
                      <w:color w:val="auto"/>
                      <w:lang w:val="en-US" w:eastAsia="zh-CN"/>
                    </w:rPr>
                  </w:pPr>
                  <w:r>
                    <w:rPr>
                      <w:rFonts w:hint="eastAsia"/>
                      <w:color w:val="auto"/>
                      <w:lang w:val="en-US" w:eastAsia="zh-CN"/>
                    </w:rPr>
                    <w:t>/</w:t>
                  </w:r>
                </w:p>
              </w:tc>
              <w:tc>
                <w:tcPr>
                  <w:tcW w:w="1227" w:type="dxa"/>
                  <w:noWrap w:val="0"/>
                  <w:tcMar>
                    <w:top w:w="15" w:type="dxa"/>
                    <w:left w:w="15" w:type="dxa"/>
                    <w:right w:w="15" w:type="dxa"/>
                  </w:tcMar>
                  <w:vAlign w:val="center"/>
                </w:tcPr>
                <w:p>
                  <w:pPr>
                    <w:widowControl/>
                    <w:jc w:val="center"/>
                    <w:textAlignment w:val="center"/>
                    <w:rPr>
                      <w:rFonts w:hint="eastAsia" w:eastAsia="宋体"/>
                      <w:color w:val="auto"/>
                      <w:lang w:val="en-US" w:eastAsia="zh-CN"/>
                    </w:rPr>
                  </w:pPr>
                  <w:r>
                    <w:rPr>
                      <w:rFonts w:hint="eastAsia"/>
                      <w:color w:val="auto"/>
                      <w:lang w:val="en-US" w:eastAsia="zh-CN"/>
                    </w:rPr>
                    <w:t>打孔</w:t>
                  </w:r>
                </w:p>
              </w:tc>
              <w:tc>
                <w:tcPr>
                  <w:tcW w:w="982" w:type="dxa"/>
                  <w:noWrap w:val="0"/>
                  <w:tcMar>
                    <w:top w:w="15" w:type="dxa"/>
                    <w:left w:w="15" w:type="dxa"/>
                    <w:right w:w="15" w:type="dxa"/>
                  </w:tcMar>
                  <w:vAlign w:val="center"/>
                </w:tcPr>
                <w:p>
                  <w:pPr>
                    <w:widowControl/>
                    <w:jc w:val="center"/>
                    <w:textAlignment w:val="center"/>
                    <w:rPr>
                      <w:rFonts w:hint="eastAsia" w:eastAsia="宋体"/>
                      <w:color w:val="auto"/>
                      <w:lang w:val="en-US" w:eastAsia="zh-CN"/>
                    </w:rPr>
                  </w:pPr>
                  <w:r>
                    <w:rPr>
                      <w:rFonts w:hint="eastAsia" w:hAnsi="宋体"/>
                      <w:b w:val="0"/>
                      <w:bCs/>
                      <w:color w:val="auto"/>
                      <w:kern w:val="0"/>
                      <w:vertAlign w:val="baseline"/>
                      <w:lang w:eastAsia="zh-CN"/>
                    </w:rPr>
                    <w:t>颗粒物</w:t>
                  </w:r>
                </w:p>
              </w:tc>
              <w:tc>
                <w:tcPr>
                  <w:tcW w:w="914" w:type="dxa"/>
                  <w:noWrap w:val="0"/>
                  <w:vAlign w:val="center"/>
                </w:tcPr>
                <w:p>
                  <w:pPr>
                    <w:widowControl/>
                    <w:jc w:val="center"/>
                    <w:textAlignment w:val="center"/>
                    <w:rPr>
                      <w:rFonts w:hint="eastAsia" w:eastAsia="宋体"/>
                      <w:color w:val="auto"/>
                      <w:kern w:val="0"/>
                      <w:lang w:val="en-US" w:eastAsia="zh-CN" w:bidi="ar"/>
                    </w:rPr>
                  </w:pPr>
                  <w:r>
                    <w:rPr>
                      <w:rFonts w:hint="eastAsia" w:eastAsia="宋体"/>
                      <w:color w:val="auto"/>
                      <w:kern w:val="0"/>
                      <w:lang w:val="en-US" w:eastAsia="zh-CN" w:bidi="ar"/>
                    </w:rPr>
                    <w:t>车间通风</w:t>
                  </w:r>
                </w:p>
              </w:tc>
              <w:tc>
                <w:tcPr>
                  <w:tcW w:w="1691" w:type="dxa"/>
                  <w:noWrap w:val="0"/>
                  <w:vAlign w:val="center"/>
                </w:tcPr>
                <w:p>
                  <w:pPr>
                    <w:widowControl/>
                    <w:jc w:val="center"/>
                    <w:textAlignment w:val="center"/>
                    <w:rPr>
                      <w:rFonts w:hint="eastAsia" w:eastAsia="宋体"/>
                      <w:color w:val="auto"/>
                      <w:kern w:val="0"/>
                      <w:lang w:val="en-US" w:eastAsia="zh-CN" w:bidi="ar"/>
                    </w:rPr>
                  </w:pPr>
                  <w:r>
                    <w:rPr>
                      <w:rFonts w:hint="eastAsia" w:hAnsi="宋体"/>
                      <w:bCs/>
                      <w:color w:val="auto"/>
                    </w:rPr>
                    <w:t>《</w:t>
                  </w:r>
                  <w:r>
                    <w:rPr>
                      <w:rFonts w:hint="eastAsia" w:hAnsi="宋体"/>
                      <w:bCs/>
                      <w:color w:val="auto"/>
                      <w:lang w:eastAsia="zh-CN"/>
                    </w:rPr>
                    <w:t>陶瓷工业污染物排放标准</w:t>
                  </w:r>
                  <w:r>
                    <w:rPr>
                      <w:rFonts w:hint="eastAsia" w:hAnsi="宋体"/>
                      <w:bCs/>
                      <w:color w:val="auto"/>
                    </w:rPr>
                    <w:t>》</w:t>
                  </w:r>
                </w:p>
              </w:tc>
              <w:tc>
                <w:tcPr>
                  <w:tcW w:w="1322" w:type="dxa"/>
                  <w:noWrap w:val="0"/>
                  <w:vAlign w:val="center"/>
                </w:tcPr>
                <w:p>
                  <w:pPr>
                    <w:widowControl/>
                    <w:jc w:val="center"/>
                    <w:textAlignment w:val="center"/>
                    <w:rPr>
                      <w:rFonts w:hint="default" w:eastAsia="宋体"/>
                      <w:color w:val="auto"/>
                      <w:lang w:val="en-US" w:eastAsia="zh-CN"/>
                    </w:rPr>
                  </w:pPr>
                  <w:r>
                    <w:rPr>
                      <w:rFonts w:hint="eastAsia"/>
                      <w:color w:val="auto"/>
                      <w:lang w:val="en-US" w:eastAsia="zh-CN"/>
                    </w:rPr>
                    <w:t>1.0</w:t>
                  </w:r>
                </w:p>
              </w:tc>
              <w:tc>
                <w:tcPr>
                  <w:tcW w:w="909" w:type="dxa"/>
                  <w:noWrap w:val="0"/>
                  <w:vAlign w:val="center"/>
                </w:tcPr>
                <w:p>
                  <w:pPr>
                    <w:widowControl/>
                    <w:jc w:val="center"/>
                    <w:textAlignment w:val="center"/>
                    <w:rPr>
                      <w:rFonts w:hint="default" w:eastAsia="宋体"/>
                      <w:color w:val="auto"/>
                      <w:lang w:val="en-US" w:eastAsia="zh-CN"/>
                    </w:rPr>
                  </w:pPr>
                  <w:r>
                    <w:rPr>
                      <w:rFonts w:hint="eastAsia"/>
                      <w:color w:val="auto"/>
                      <w:lang w:val="en-US" w:eastAsia="zh-CN"/>
                    </w:rPr>
                    <w:t>0.000725</w:t>
                  </w:r>
                </w:p>
              </w:tc>
            </w:tr>
            <w:tr>
              <w:tblPrEx>
                <w:tblBorders>
                  <w:top w:val="double" w:color="auto" w:sz="4" w:space="0"/>
                  <w:left w:val="single" w:color="FFFFFF" w:sz="12" w:space="0"/>
                  <w:bottom w:val="double" w:color="auto" w:sz="4" w:space="0"/>
                  <w:right w:val="single" w:color="FFFFFF" w:sz="1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551" w:type="dxa"/>
                  <w:gridSpan w:val="4"/>
                  <w:noWrap w:val="0"/>
                  <w:tcMar>
                    <w:top w:w="15" w:type="dxa"/>
                    <w:left w:w="15" w:type="dxa"/>
                    <w:right w:w="15" w:type="dxa"/>
                  </w:tcMar>
                  <w:vAlign w:val="center"/>
                </w:tcPr>
                <w:p>
                  <w:pPr>
                    <w:widowControl/>
                    <w:jc w:val="center"/>
                    <w:textAlignment w:val="center"/>
                    <w:rPr>
                      <w:rFonts w:hint="eastAsia" w:hAnsi="宋体"/>
                      <w:b w:val="0"/>
                      <w:bCs/>
                      <w:color w:val="auto"/>
                      <w:kern w:val="0"/>
                      <w:vertAlign w:val="baseline"/>
                      <w:lang w:eastAsia="zh-CN"/>
                    </w:rPr>
                  </w:pPr>
                  <w:r>
                    <w:rPr>
                      <w:rFonts w:hint="eastAsia" w:hAnsi="宋体"/>
                      <w:b w:val="0"/>
                      <w:bCs/>
                      <w:color w:val="auto"/>
                      <w:kern w:val="0"/>
                      <w:vertAlign w:val="baseline"/>
                      <w:lang w:eastAsia="zh-CN"/>
                    </w:rPr>
                    <w:t>无组织排放总计</w:t>
                  </w:r>
                </w:p>
              </w:tc>
              <w:tc>
                <w:tcPr>
                  <w:tcW w:w="2605" w:type="dxa"/>
                  <w:gridSpan w:val="2"/>
                  <w:noWrap w:val="0"/>
                  <w:vAlign w:val="center"/>
                </w:tcPr>
                <w:p>
                  <w:pPr>
                    <w:widowControl/>
                    <w:jc w:val="center"/>
                    <w:textAlignment w:val="center"/>
                    <w:rPr>
                      <w:rFonts w:hint="eastAsia" w:hAnsi="宋体"/>
                      <w:bCs/>
                      <w:color w:val="auto"/>
                    </w:rPr>
                  </w:pPr>
                  <w:r>
                    <w:rPr>
                      <w:rFonts w:hint="eastAsia" w:hAnsi="宋体"/>
                      <w:b w:val="0"/>
                      <w:bCs/>
                      <w:color w:val="auto"/>
                      <w:kern w:val="0"/>
                      <w:vertAlign w:val="baseline"/>
                      <w:lang w:eastAsia="zh-CN"/>
                    </w:rPr>
                    <w:t>颗粒物</w:t>
                  </w:r>
                </w:p>
              </w:tc>
              <w:tc>
                <w:tcPr>
                  <w:tcW w:w="2231" w:type="dxa"/>
                  <w:gridSpan w:val="2"/>
                  <w:noWrap w:val="0"/>
                  <w:vAlign w:val="center"/>
                </w:tcPr>
                <w:p>
                  <w:pPr>
                    <w:widowControl/>
                    <w:jc w:val="center"/>
                    <w:textAlignment w:val="center"/>
                    <w:rPr>
                      <w:rFonts w:hint="default" w:eastAsia="宋体"/>
                      <w:color w:val="auto"/>
                      <w:lang w:val="en-US" w:eastAsia="zh-CN"/>
                    </w:rPr>
                  </w:pPr>
                  <w:r>
                    <w:rPr>
                      <w:rFonts w:hint="eastAsia"/>
                      <w:color w:val="auto"/>
                      <w:lang w:val="en-US" w:eastAsia="zh-CN"/>
                    </w:rPr>
                    <w:t>0.000725</w:t>
                  </w:r>
                </w:p>
              </w:tc>
            </w:tr>
          </w:tbl>
          <w:p>
            <w:pPr>
              <w:spacing w:line="400" w:lineRule="exact"/>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表7-7本项目大气污染物年排放量核算表</w:t>
            </w:r>
          </w:p>
          <w:tbl>
            <w:tblPr>
              <w:tblStyle w:val="76"/>
              <w:tblW w:w="8313" w:type="dxa"/>
              <w:tblInd w:w="5"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972"/>
              <w:gridCol w:w="352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21"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eastAsia"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序号</w:t>
                  </w:r>
                </w:p>
              </w:tc>
              <w:tc>
                <w:tcPr>
                  <w:tcW w:w="2972"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eastAsia"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污染物</w:t>
                  </w:r>
                </w:p>
              </w:tc>
              <w:tc>
                <w:tcPr>
                  <w:tcW w:w="3520"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eastAsia"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年排放量/（t/a）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21"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eastAsia"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1</w:t>
                  </w:r>
                </w:p>
              </w:tc>
              <w:tc>
                <w:tcPr>
                  <w:tcW w:w="2972"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eastAsia"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颗粒物</w:t>
                  </w:r>
                </w:p>
              </w:tc>
              <w:tc>
                <w:tcPr>
                  <w:tcW w:w="3520" w:type="dxa"/>
                  <w:tcBorders>
                    <w:tl2br w:val="nil"/>
                    <w:tr2bl w:val="nil"/>
                  </w:tcBorders>
                  <w:noWrap w:val="0"/>
                  <w:vAlign w:val="top"/>
                </w:tcPr>
                <w:p>
                  <w:pPr>
                    <w:pStyle w:val="142"/>
                    <w:numPr>
                      <w:ilvl w:val="0"/>
                      <w:numId w:val="0"/>
                    </w:numPr>
                    <w:tabs>
                      <w:tab w:val="left" w:pos="0"/>
                    </w:tabs>
                    <w:adjustRightInd w:val="0"/>
                    <w:snapToGrid w:val="0"/>
                    <w:spacing w:line="240" w:lineRule="auto"/>
                    <w:rPr>
                      <w:rFonts w:hint="default" w:hAnsi="宋体" w:eastAsia="宋体"/>
                      <w:b w:val="0"/>
                      <w:bCs/>
                      <w:color w:val="auto"/>
                      <w:kern w:val="0"/>
                      <w:sz w:val="21"/>
                      <w:szCs w:val="21"/>
                      <w:vertAlign w:val="baseline"/>
                      <w:lang w:val="en-US" w:eastAsia="zh-CN"/>
                    </w:rPr>
                  </w:pPr>
                  <w:r>
                    <w:rPr>
                      <w:rFonts w:hint="eastAsia" w:hAnsi="宋体"/>
                      <w:b w:val="0"/>
                      <w:bCs/>
                      <w:color w:val="auto"/>
                      <w:kern w:val="0"/>
                      <w:sz w:val="21"/>
                      <w:szCs w:val="21"/>
                      <w:vertAlign w:val="baseline"/>
                      <w:lang w:val="en-US" w:eastAsia="zh-CN"/>
                    </w:rPr>
                    <w:t>0.000725</w:t>
                  </w:r>
                </w:p>
              </w:tc>
            </w:tr>
          </w:tbl>
          <w:p>
            <w:pPr>
              <w:autoSpaceDE w:val="0"/>
              <w:autoSpaceDN w:val="0"/>
              <w:adjustRightInd w:val="0"/>
              <w:snapToGrid w:val="0"/>
              <w:spacing w:before="0" w:beforeLines="0" w:line="240" w:lineRule="auto"/>
              <w:ind w:firstLine="0" w:firstLineChars="0"/>
              <w:jc w:val="left"/>
              <w:rPr>
                <w:rFonts w:hint="eastAsia" w:hAnsi="宋体" w:eastAsia="宋体"/>
                <w:kern w:val="0"/>
                <w:sz w:val="21"/>
                <w:szCs w:val="21"/>
                <w:lang w:eastAsia="zh-CN"/>
              </w:rPr>
            </w:pPr>
            <w:r>
              <w:rPr>
                <w:rFonts w:hint="eastAsia" w:hAnsi="宋体"/>
                <w:kern w:val="0"/>
                <w:sz w:val="21"/>
                <w:szCs w:val="21"/>
                <w:lang w:eastAsia="zh-CN"/>
              </w:rPr>
              <w:t>注：本项目大气污染物排放量包括项目各有组织排放源和无组织排放源在正常排放条件下的预测排放量之和。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textAlignment w:val="auto"/>
              <w:rPr>
                <w:rFonts w:hint="eastAsia"/>
                <w:sz w:val="24"/>
              </w:rPr>
            </w:pPr>
            <w:r>
              <w:rPr>
                <w:rFonts w:hint="eastAsia"/>
                <w:sz w:val="24"/>
              </w:rPr>
              <w:t>（</w:t>
            </w:r>
            <w:r>
              <w:rPr>
                <w:rFonts w:hint="eastAsia"/>
                <w:sz w:val="24"/>
                <w:lang w:val="en-US" w:eastAsia="zh-CN"/>
              </w:rPr>
              <w:t>3</w:t>
            </w:r>
            <w:r>
              <w:rPr>
                <w:rFonts w:hint="eastAsia"/>
                <w:sz w:val="24"/>
              </w:rPr>
              <w:t>）大气环境防护距离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根据HJ2.2-2018 导则要求，采用推荐模式中的大气环境防护距离模式计算无组织排放源的大气环境防护距离，根据环境保护部环境工程评估中心环境质量模拟重点实验室发布的大气环境防护距离计算模式软件计算。计算参数和结果见表7-</w:t>
            </w:r>
            <w:r>
              <w:rPr>
                <w:rFonts w:hint="eastAsia"/>
                <w:sz w:val="24"/>
                <w:lang w:val="en-US" w:eastAsia="zh-CN"/>
              </w:rPr>
              <w:t>8</w:t>
            </w:r>
            <w:r>
              <w:rPr>
                <w:rFonts w:hint="eastAsia"/>
                <w:sz w:val="24"/>
              </w:rPr>
              <w:t>。</w:t>
            </w:r>
          </w:p>
          <w:p>
            <w:pPr>
              <w:spacing w:line="400" w:lineRule="exact"/>
              <w:jc w:val="center"/>
              <w:rPr>
                <w:rFonts w:hint="eastAsia"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表7-8 大气环境防护距离计算结果</w:t>
            </w:r>
          </w:p>
          <w:tbl>
            <w:tblPr>
              <w:tblStyle w:val="75"/>
              <w:tblW w:w="8313"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1985"/>
              <w:gridCol w:w="1736"/>
              <w:gridCol w:w="175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jc w:val="center"/>
                    <w:rPr>
                      <w:b/>
                      <w:bCs/>
                      <w:szCs w:val="21"/>
                    </w:rPr>
                  </w:pPr>
                  <w:r>
                    <w:rPr>
                      <w:b/>
                      <w:bCs/>
                      <w:szCs w:val="21"/>
                    </w:rPr>
                    <w:t>产生位置</w:t>
                  </w:r>
                </w:p>
              </w:tc>
              <w:tc>
                <w:tcPr>
                  <w:tcW w:w="1701" w:type="dxa"/>
                  <w:noWrap w:val="0"/>
                  <w:vAlign w:val="center"/>
                </w:tcPr>
                <w:p>
                  <w:pPr>
                    <w:jc w:val="center"/>
                    <w:rPr>
                      <w:b/>
                      <w:bCs/>
                      <w:szCs w:val="21"/>
                    </w:rPr>
                  </w:pPr>
                  <w:r>
                    <w:rPr>
                      <w:b/>
                      <w:bCs/>
                      <w:szCs w:val="21"/>
                    </w:rPr>
                    <w:t>污染物名称</w:t>
                  </w:r>
                </w:p>
              </w:tc>
              <w:tc>
                <w:tcPr>
                  <w:tcW w:w="1985" w:type="dxa"/>
                  <w:noWrap w:val="0"/>
                  <w:vAlign w:val="center"/>
                </w:tcPr>
                <w:p>
                  <w:pPr>
                    <w:jc w:val="center"/>
                    <w:rPr>
                      <w:b/>
                      <w:bCs/>
                      <w:szCs w:val="21"/>
                    </w:rPr>
                  </w:pPr>
                  <w:r>
                    <w:rPr>
                      <w:b/>
                      <w:bCs/>
                      <w:szCs w:val="21"/>
                    </w:rPr>
                    <w:t>排放速率（kg/h）</w:t>
                  </w:r>
                </w:p>
              </w:tc>
              <w:tc>
                <w:tcPr>
                  <w:tcW w:w="1736" w:type="dxa"/>
                  <w:noWrap w:val="0"/>
                  <w:vAlign w:val="center"/>
                </w:tcPr>
                <w:p>
                  <w:pPr>
                    <w:jc w:val="center"/>
                    <w:rPr>
                      <w:rFonts w:hint="eastAsia"/>
                      <w:b/>
                      <w:bCs/>
                      <w:szCs w:val="21"/>
                    </w:rPr>
                  </w:pPr>
                  <w:r>
                    <w:rPr>
                      <w:b/>
                      <w:bCs/>
                      <w:szCs w:val="21"/>
                    </w:rPr>
                    <w:t>评价标准</w:t>
                  </w:r>
                </w:p>
                <w:p>
                  <w:pPr>
                    <w:jc w:val="center"/>
                    <w:rPr>
                      <w:b/>
                      <w:bCs/>
                      <w:szCs w:val="21"/>
                    </w:rPr>
                  </w:pPr>
                  <w:r>
                    <w:rPr>
                      <w:b/>
                      <w:bCs/>
                      <w:szCs w:val="21"/>
                    </w:rPr>
                    <w:t>（mg/m</w:t>
                  </w:r>
                  <w:r>
                    <w:rPr>
                      <w:b/>
                      <w:bCs/>
                      <w:szCs w:val="21"/>
                      <w:vertAlign w:val="superscript"/>
                    </w:rPr>
                    <w:t>3</w:t>
                  </w:r>
                  <w:r>
                    <w:rPr>
                      <w:b/>
                      <w:bCs/>
                      <w:szCs w:val="21"/>
                    </w:rPr>
                    <w:t>）</w:t>
                  </w:r>
                </w:p>
              </w:tc>
              <w:tc>
                <w:tcPr>
                  <w:tcW w:w="1757" w:type="dxa"/>
                  <w:noWrap w:val="0"/>
                  <w:vAlign w:val="center"/>
                </w:tcPr>
                <w:p>
                  <w:pPr>
                    <w:jc w:val="center"/>
                    <w:rPr>
                      <w:b/>
                      <w:bCs/>
                      <w:szCs w:val="21"/>
                    </w:rPr>
                  </w:pPr>
                  <w:r>
                    <w:rPr>
                      <w:b/>
                      <w:bCs/>
                      <w:szCs w:val="21"/>
                    </w:rPr>
                    <w:t>最大超标距离（m）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center"/>
                </w:tcPr>
                <w:p>
                  <w:pPr>
                    <w:jc w:val="center"/>
                    <w:rPr>
                      <w:rFonts w:hint="eastAsia"/>
                      <w:szCs w:val="21"/>
                    </w:rPr>
                  </w:pPr>
                  <w:r>
                    <w:rPr>
                      <w:rFonts w:hint="eastAsia"/>
                      <w:szCs w:val="21"/>
                      <w:lang w:eastAsia="zh-CN"/>
                    </w:rPr>
                    <w:t>生产</w:t>
                  </w:r>
                  <w:r>
                    <w:rPr>
                      <w:rFonts w:hint="eastAsia"/>
                      <w:szCs w:val="21"/>
                    </w:rPr>
                    <w:t>车间</w:t>
                  </w:r>
                </w:p>
              </w:tc>
              <w:tc>
                <w:tcPr>
                  <w:tcW w:w="1701" w:type="dxa"/>
                  <w:noWrap w:val="0"/>
                  <w:vAlign w:val="center"/>
                </w:tcPr>
                <w:p>
                  <w:pPr>
                    <w:jc w:val="center"/>
                    <w:rPr>
                      <w:rFonts w:hint="eastAsia" w:eastAsia="宋体"/>
                      <w:kern w:val="0"/>
                      <w:szCs w:val="21"/>
                      <w:lang w:eastAsia="zh-CN"/>
                    </w:rPr>
                  </w:pPr>
                  <w:r>
                    <w:rPr>
                      <w:rFonts w:hint="eastAsia"/>
                      <w:kern w:val="0"/>
                      <w:szCs w:val="21"/>
                      <w:lang w:eastAsia="zh-CN"/>
                    </w:rPr>
                    <w:t>颗粒物</w:t>
                  </w:r>
                </w:p>
              </w:tc>
              <w:tc>
                <w:tcPr>
                  <w:tcW w:w="1985" w:type="dxa"/>
                  <w:noWrap w:val="0"/>
                  <w:vAlign w:val="center"/>
                </w:tcPr>
                <w:p>
                  <w:pPr>
                    <w:pStyle w:val="127"/>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0.0024</w:t>
                  </w:r>
                </w:p>
              </w:tc>
              <w:tc>
                <w:tcPr>
                  <w:tcW w:w="1736" w:type="dxa"/>
                  <w:noWrap w:val="0"/>
                  <w:vAlign w:val="center"/>
                </w:tcPr>
                <w:p>
                  <w:pPr>
                    <w:jc w:val="center"/>
                    <w:rPr>
                      <w:rFonts w:hint="eastAsia" w:eastAsia="宋体"/>
                      <w:szCs w:val="21"/>
                      <w:lang w:val="en-US" w:eastAsia="zh-CN"/>
                    </w:rPr>
                  </w:pPr>
                  <w:r>
                    <w:rPr>
                      <w:rFonts w:hint="eastAsia"/>
                      <w:szCs w:val="21"/>
                      <w:lang w:val="en-US" w:eastAsia="zh-CN"/>
                    </w:rPr>
                    <w:t>0.9</w:t>
                  </w:r>
                </w:p>
              </w:tc>
              <w:tc>
                <w:tcPr>
                  <w:tcW w:w="1757" w:type="dxa"/>
                  <w:noWrap w:val="0"/>
                  <w:vAlign w:val="center"/>
                </w:tcPr>
                <w:p>
                  <w:pPr>
                    <w:jc w:val="center"/>
                    <w:rPr>
                      <w:szCs w:val="21"/>
                    </w:rPr>
                  </w:pPr>
                  <w:r>
                    <w:rPr>
                      <w:szCs w:val="21"/>
                    </w:rPr>
                    <w:t>无超标点</w:t>
                  </w:r>
                </w:p>
              </w:tc>
            </w:tr>
          </w:tbl>
          <w:p>
            <w:pPr>
              <w:adjustRightInd w:val="0"/>
              <w:snapToGrid w:val="0"/>
              <w:spacing w:line="360" w:lineRule="auto"/>
              <w:ind w:firstLine="480" w:firstLineChars="200"/>
              <w:rPr>
                <w:sz w:val="24"/>
              </w:rPr>
            </w:pPr>
            <w:r>
              <w:rPr>
                <w:rFonts w:hAnsi="宋体"/>
                <w:sz w:val="24"/>
              </w:rPr>
              <w:t>从</w:t>
            </w:r>
            <w:r>
              <w:rPr>
                <w:rFonts w:hint="eastAsia" w:hAnsi="宋体"/>
                <w:sz w:val="24"/>
              </w:rPr>
              <w:t>上表的</w:t>
            </w:r>
            <w:r>
              <w:rPr>
                <w:rFonts w:hAnsi="宋体"/>
                <w:sz w:val="24"/>
              </w:rPr>
              <w:t>计算结果</w:t>
            </w:r>
            <w:r>
              <w:rPr>
                <w:rFonts w:hint="eastAsia" w:hAnsi="宋体"/>
                <w:sz w:val="24"/>
              </w:rPr>
              <w:t>可知</w:t>
            </w:r>
            <w:r>
              <w:rPr>
                <w:rFonts w:hAnsi="宋体"/>
                <w:sz w:val="24"/>
              </w:rPr>
              <w:t>，本</w:t>
            </w:r>
            <w:r>
              <w:rPr>
                <w:sz w:val="24"/>
              </w:rPr>
              <w:t>项目无超标点，可确定本项目不需设置大气环境防护距离。</w:t>
            </w:r>
          </w:p>
          <w:p>
            <w:pPr>
              <w:adjustRightInd w:val="0"/>
              <w:snapToGrid w:val="0"/>
              <w:spacing w:line="360" w:lineRule="auto"/>
              <w:ind w:firstLine="480" w:firstLineChars="200"/>
              <w:rPr>
                <w:b/>
                <w:sz w:val="24"/>
              </w:rPr>
            </w:pPr>
            <w:r>
              <w:rPr>
                <w:rFonts w:hint="eastAsia"/>
                <w:sz w:val="24"/>
              </w:rPr>
              <w:t>（</w:t>
            </w:r>
            <w:r>
              <w:rPr>
                <w:rFonts w:hint="eastAsia"/>
                <w:sz w:val="24"/>
                <w:lang w:val="en-US" w:eastAsia="zh-CN"/>
              </w:rPr>
              <w:t>4</w:t>
            </w:r>
            <w:r>
              <w:rPr>
                <w:rFonts w:hint="eastAsia"/>
                <w:sz w:val="24"/>
              </w:rPr>
              <w:t>）卫生防护距离</w:t>
            </w:r>
          </w:p>
          <w:p>
            <w:pPr>
              <w:pStyle w:val="149"/>
              <w:spacing w:before="0" w:line="360" w:lineRule="auto"/>
              <w:ind w:firstLine="480"/>
              <w:rPr>
                <w:rFonts w:ascii="Times New Roman" w:hAnsi="Times New Roman"/>
              </w:rPr>
            </w:pPr>
            <w:r>
              <w:rPr>
                <w:rFonts w:ascii="Times New Roman" w:hAnsi="Times New Roman"/>
              </w:rPr>
              <w:t>根据《制定地方大气污染物排放标准的技术方法》</w:t>
            </w:r>
            <w:r>
              <w:rPr>
                <w:rFonts w:hint="eastAsia" w:ascii="Times New Roman" w:hAnsi="Times New Roman"/>
              </w:rPr>
              <w:t>（</w:t>
            </w:r>
            <w:r>
              <w:rPr>
                <w:rFonts w:ascii="Times New Roman" w:hAnsi="Times New Roman"/>
              </w:rPr>
              <w:t>GB/T</w:t>
            </w:r>
            <w:r>
              <w:rPr>
                <w:rFonts w:hint="eastAsia" w:ascii="Times New Roman" w:hAnsi="Times New Roman"/>
              </w:rPr>
              <w:t>3840</w:t>
            </w:r>
            <w:r>
              <w:rPr>
                <w:rFonts w:ascii="Times New Roman" w:hAnsi="Times New Roman"/>
              </w:rPr>
              <w:t>-</w:t>
            </w:r>
            <w:r>
              <w:rPr>
                <w:rFonts w:hint="eastAsia" w:ascii="Times New Roman" w:hAnsi="Times New Roman"/>
              </w:rPr>
              <w:t>19</w:t>
            </w:r>
            <w:r>
              <w:rPr>
                <w:rFonts w:ascii="Times New Roman" w:hAnsi="Times New Roman"/>
              </w:rPr>
              <w:t>91</w:t>
            </w:r>
            <w:r>
              <w:rPr>
                <w:rFonts w:hint="eastAsia" w:ascii="Times New Roman" w:hAnsi="Times New Roman"/>
              </w:rPr>
              <w:t>）</w:t>
            </w:r>
            <w:r>
              <w:rPr>
                <w:rFonts w:ascii="Times New Roman" w:hAnsi="Times New Roman"/>
              </w:rPr>
              <w:t>的有关规定，确定无组织排放源的卫生防护距离，可由下式计算：</w:t>
            </w:r>
          </w:p>
          <w:p>
            <w:pPr>
              <w:snapToGrid w:val="0"/>
              <w:spacing w:line="360" w:lineRule="auto"/>
              <w:jc w:val="center"/>
              <w:rPr>
                <w:sz w:val="24"/>
              </w:rPr>
            </w:pPr>
            <w:r>
              <w:rPr>
                <w:position w:val="-30"/>
                <w:sz w:val="24"/>
              </w:rPr>
              <w:object>
                <v:shape id="_x0000_i1025" o:spt="75" type="#_x0000_t75" style="height:28.5pt;width:117.7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6" r:id="rId13">
                  <o:LockedField>false</o:LockedField>
                </o:OLEObject>
              </w:object>
            </w:r>
          </w:p>
          <w:p>
            <w:pPr>
              <w:pStyle w:val="149"/>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Times New Roman" w:hAnsi="Times New Roman"/>
              </w:rPr>
            </w:pPr>
            <w:r>
              <w:rPr>
                <w:rFonts w:ascii="Times New Roman" w:hAnsi="Times New Roman"/>
              </w:rPr>
              <w:t>式中：</w:t>
            </w:r>
            <w:r>
              <w:rPr>
                <w:rFonts w:ascii="Times New Roman" w:hAnsi="Times New Roman"/>
                <w:i/>
              </w:rPr>
              <w:t>Q</w:t>
            </w:r>
            <w:r>
              <w:rPr>
                <w:rFonts w:ascii="Times New Roman" w:hAnsi="Times New Roman"/>
                <w:i/>
                <w:vertAlign w:val="subscript"/>
              </w:rPr>
              <w:t>c</w:t>
            </w:r>
            <w:r>
              <w:rPr>
                <w:rFonts w:ascii="Times New Roman" w:hAnsi="Times New Roman"/>
              </w:rPr>
              <w:t>──污染物的无组织排放量，kg/h；</w:t>
            </w:r>
          </w:p>
          <w:p>
            <w:pPr>
              <w:pStyle w:val="149"/>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Times New Roman" w:hAnsi="Times New Roman"/>
              </w:rPr>
            </w:pPr>
            <w:r>
              <w:rPr>
                <w:rFonts w:ascii="Times New Roman" w:hAnsi="Times New Roman"/>
              </w:rPr>
              <w:t xml:space="preserve">      C</w:t>
            </w:r>
            <w:r>
              <w:rPr>
                <w:rFonts w:ascii="Times New Roman" w:hAnsi="Times New Roman"/>
                <w:vertAlign w:val="subscript"/>
              </w:rPr>
              <w:t>m</w:t>
            </w:r>
            <w:r>
              <w:rPr>
                <w:rFonts w:ascii="Times New Roman" w:hAnsi="Times New Roman"/>
              </w:rPr>
              <w:t>──污染物的标准浓度限值，mg/m</w:t>
            </w:r>
            <w:r>
              <w:rPr>
                <w:rFonts w:ascii="Times New Roman" w:hAnsi="Times New Roman"/>
                <w:vertAlign w:val="superscript"/>
              </w:rPr>
              <w:t>3</w:t>
            </w:r>
            <w:r>
              <w:rPr>
                <w:rFonts w:ascii="Times New Roman" w:hAnsi="Times New Roman"/>
              </w:rPr>
              <w:t>；</w:t>
            </w:r>
          </w:p>
          <w:p>
            <w:pPr>
              <w:pStyle w:val="149"/>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Times New Roman" w:hAnsi="Times New Roman"/>
              </w:rPr>
            </w:pPr>
            <w:r>
              <w:rPr>
                <w:rFonts w:ascii="Times New Roman" w:hAnsi="Times New Roman"/>
              </w:rPr>
              <w:t xml:space="preserve">      </w:t>
            </w:r>
            <w:r>
              <w:rPr>
                <w:rFonts w:ascii="Times New Roman" w:hAnsi="Times New Roman"/>
                <w:i/>
              </w:rPr>
              <w:t>L</w:t>
            </w:r>
            <w:r>
              <w:rPr>
                <w:rFonts w:ascii="Times New Roman" w:hAnsi="Times New Roman"/>
              </w:rPr>
              <w:t>──卫生防护距离，m；</w:t>
            </w:r>
          </w:p>
          <w:p>
            <w:pPr>
              <w:pStyle w:val="149"/>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Times New Roman" w:hAnsi="Times New Roman"/>
              </w:rPr>
            </w:pPr>
            <w:r>
              <w:rPr>
                <w:rFonts w:ascii="Times New Roman" w:hAnsi="Times New Roman"/>
              </w:rPr>
              <w:t xml:space="preserve">      </w:t>
            </w:r>
            <w:r>
              <w:rPr>
                <w:rFonts w:ascii="Times New Roman" w:hAnsi="Times New Roman"/>
                <w:i/>
              </w:rPr>
              <w:t>r</w:t>
            </w:r>
            <w:r>
              <w:rPr>
                <w:rFonts w:ascii="Times New Roman" w:hAnsi="Times New Roman"/>
              </w:rPr>
              <w:t>──生产单元的等效半径，m；</w:t>
            </w:r>
          </w:p>
          <w:p>
            <w:pPr>
              <w:pStyle w:val="149"/>
              <w:keepNext w:val="0"/>
              <w:keepLines w:val="0"/>
              <w:pageBreakBefore w:val="0"/>
              <w:widowControl w:val="0"/>
              <w:kinsoku/>
              <w:wordWrap/>
              <w:overflowPunct/>
              <w:topLinePunct w:val="0"/>
              <w:autoSpaceDE/>
              <w:autoSpaceDN/>
              <w:bidi w:val="0"/>
              <w:adjustRightInd w:val="0"/>
              <w:snapToGrid w:val="0"/>
              <w:spacing w:before="0" w:line="360" w:lineRule="auto"/>
              <w:ind w:firstLine="480"/>
              <w:textAlignment w:val="auto"/>
              <w:rPr>
                <w:rFonts w:ascii="Times New Roman" w:hAnsi="Times New Roman"/>
              </w:rPr>
            </w:pPr>
            <w:r>
              <w:rPr>
                <w:rFonts w:ascii="Times New Roman" w:hAnsi="Times New Roman"/>
              </w:rPr>
              <w:t xml:space="preserve">      </w:t>
            </w:r>
            <w:r>
              <w:rPr>
                <w:rFonts w:ascii="Times New Roman" w:hAnsi="Times New Roman"/>
                <w:i/>
              </w:rPr>
              <w:t>A</w:t>
            </w:r>
            <w:r>
              <w:rPr>
                <w:rFonts w:ascii="Times New Roman" w:hAnsi="Times New Roman"/>
              </w:rPr>
              <w:t>、</w:t>
            </w:r>
            <w:r>
              <w:rPr>
                <w:rFonts w:ascii="Times New Roman" w:hAnsi="Times New Roman"/>
                <w:i/>
              </w:rPr>
              <w:t>B</w:t>
            </w:r>
            <w:r>
              <w:rPr>
                <w:rFonts w:ascii="Times New Roman" w:hAnsi="Times New Roman"/>
              </w:rPr>
              <w:t>、</w:t>
            </w:r>
            <w:r>
              <w:rPr>
                <w:rFonts w:ascii="Times New Roman" w:hAnsi="Times New Roman"/>
                <w:i/>
              </w:rPr>
              <w:t>C</w:t>
            </w:r>
            <w:r>
              <w:rPr>
                <w:rFonts w:ascii="Times New Roman" w:hAnsi="Times New Roman"/>
              </w:rPr>
              <w:t>、</w:t>
            </w:r>
            <w:r>
              <w:rPr>
                <w:rFonts w:ascii="Times New Roman" w:hAnsi="Times New Roman"/>
                <w:i/>
              </w:rPr>
              <w:t>D</w:t>
            </w:r>
            <w:r>
              <w:rPr>
                <w:rFonts w:ascii="Times New Roman" w:hAnsi="Times New Roman"/>
              </w:rPr>
              <w:t>──计算系数，从GB/T</w:t>
            </w:r>
            <w:r>
              <w:rPr>
                <w:rFonts w:hint="eastAsia" w:ascii="Times New Roman" w:hAnsi="Times New Roman"/>
              </w:rPr>
              <w:t>3840</w:t>
            </w:r>
            <w:r>
              <w:rPr>
                <w:rFonts w:ascii="Times New Roman" w:hAnsi="Times New Roman"/>
              </w:rPr>
              <w:t>-</w:t>
            </w:r>
            <w:r>
              <w:rPr>
                <w:rFonts w:hint="eastAsia" w:ascii="Times New Roman" w:hAnsi="Times New Roman"/>
              </w:rPr>
              <w:t>19</w:t>
            </w:r>
            <w:r>
              <w:rPr>
                <w:rFonts w:ascii="Times New Roman" w:hAnsi="Times New Roman"/>
              </w:rPr>
              <w:t>91中查取。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 w:val="24"/>
                <w:lang w:val="en-US" w:eastAsia="zh-CN"/>
              </w:rPr>
            </w:pPr>
            <w:r>
              <w:rPr>
                <w:sz w:val="24"/>
              </w:rPr>
              <w:t>依据本项目废气污染物的排放源强，以及对应的环境标准和当地气象资料，按（GB/T</w:t>
            </w:r>
            <w:r>
              <w:rPr>
                <w:rFonts w:hint="eastAsia"/>
                <w:sz w:val="24"/>
                <w:lang w:val="en-US"/>
              </w:rPr>
              <w:t>3840</w:t>
            </w:r>
            <w:r>
              <w:rPr>
                <w:sz w:val="24"/>
              </w:rPr>
              <w:t>-</w:t>
            </w:r>
            <w:r>
              <w:rPr>
                <w:rFonts w:hint="eastAsia"/>
                <w:sz w:val="24"/>
                <w:lang w:val="en-US"/>
              </w:rPr>
              <w:t>19</w:t>
            </w:r>
            <w:r>
              <w:rPr>
                <w:sz w:val="24"/>
              </w:rPr>
              <w:t>91）中规定的卫生防护距离划分原则，本项目大气污染物无组织排放卫生防护距离见表7-</w:t>
            </w:r>
            <w:r>
              <w:rPr>
                <w:rFonts w:hint="eastAsia"/>
                <w:sz w:val="24"/>
                <w:lang w:val="en-US" w:eastAsia="zh-CN"/>
              </w:rPr>
              <w:t>9。</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eastAsia"/>
                <w:b/>
                <w:bCs/>
                <w:sz w:val="24"/>
                <w:szCs w:val="22"/>
                <w:lang w:val="en-US" w:eastAsia="zh-CN"/>
              </w:rPr>
            </w:pPr>
            <w:r>
              <w:rPr>
                <w:rFonts w:hint="eastAsia"/>
                <w:b/>
                <w:bCs/>
                <w:sz w:val="24"/>
                <w:szCs w:val="22"/>
                <w:lang w:val="en-US" w:eastAsia="zh-CN"/>
              </w:rPr>
              <w:t>表7-9 无组织排放卫生防护距离情况</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779"/>
              <w:gridCol w:w="4534"/>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b/>
                      <w:bCs/>
                      <w:szCs w:val="21"/>
                    </w:rPr>
                  </w:pPr>
                  <w:r>
                    <w:rPr>
                      <w:b/>
                      <w:bCs/>
                      <w:szCs w:val="21"/>
                    </w:rPr>
                    <w:t>类型</w:t>
                  </w:r>
                </w:p>
              </w:tc>
              <w:tc>
                <w:tcPr>
                  <w:tcW w:w="4534" w:type="dxa"/>
                  <w:vAlign w:val="center"/>
                </w:tcPr>
                <w:p>
                  <w:pPr>
                    <w:snapToGrid w:val="0"/>
                    <w:jc w:val="center"/>
                    <w:rPr>
                      <w:b/>
                      <w:bCs/>
                      <w:szCs w:val="21"/>
                    </w:rPr>
                  </w:pPr>
                  <w:r>
                    <w:rPr>
                      <w:b/>
                      <w:bCs/>
                      <w:szCs w:val="21"/>
                    </w:rPr>
                    <w:t>生产车间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80" w:hRule="exact"/>
                <w:jc w:val="center"/>
              </w:trPr>
              <w:tc>
                <w:tcPr>
                  <w:tcW w:w="3779" w:type="dxa"/>
                  <w:vMerge w:val="restart"/>
                  <w:tcMar>
                    <w:top w:w="13" w:type="dxa"/>
                    <w:left w:w="13" w:type="dxa"/>
                    <w:bottom w:w="0" w:type="dxa"/>
                    <w:right w:w="13" w:type="dxa"/>
                  </w:tcMar>
                  <w:vAlign w:val="center"/>
                </w:tcPr>
                <w:p>
                  <w:pPr>
                    <w:snapToGrid w:val="0"/>
                    <w:jc w:val="center"/>
                    <w:rPr>
                      <w:szCs w:val="21"/>
                    </w:rPr>
                  </w:pPr>
                  <w:r>
                    <w:rPr>
                      <w:szCs w:val="21"/>
                    </w:rPr>
                    <w:t>污染物</w:t>
                  </w:r>
                </w:p>
              </w:tc>
              <w:tc>
                <w:tcPr>
                  <w:tcW w:w="4534" w:type="dxa"/>
                  <w:vAlign w:val="center"/>
                </w:tcPr>
                <w:p>
                  <w:pPr>
                    <w:snapToGrid w:val="0"/>
                    <w:jc w:val="center"/>
                    <w:rPr>
                      <w:szCs w:val="21"/>
                    </w:rPr>
                  </w:pPr>
                  <w:r>
                    <w:rPr>
                      <w:rFonts w:hint="eastAsia"/>
                      <w:szCs w:val="21"/>
                    </w:rPr>
                    <w:t>一楼车间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vMerge w:val="continue"/>
                  <w:tcMar>
                    <w:top w:w="13" w:type="dxa"/>
                    <w:left w:w="13" w:type="dxa"/>
                    <w:bottom w:w="0" w:type="dxa"/>
                    <w:right w:w="13" w:type="dxa"/>
                  </w:tcMar>
                  <w:vAlign w:val="center"/>
                </w:tcPr>
                <w:p>
                  <w:pPr>
                    <w:snapToGrid w:val="0"/>
                    <w:jc w:val="center"/>
                    <w:rPr>
                      <w:szCs w:val="21"/>
                    </w:rPr>
                  </w:pPr>
                </w:p>
              </w:tc>
              <w:tc>
                <w:tcPr>
                  <w:tcW w:w="4534" w:type="dxa"/>
                  <w:vAlign w:val="center"/>
                </w:tcPr>
                <w:p>
                  <w:pPr>
                    <w:snapToGrid w:val="0"/>
                    <w:jc w:val="center"/>
                    <w:rPr>
                      <w:szCs w:val="21"/>
                      <w:lang w:val="en-US"/>
                    </w:rPr>
                  </w:pPr>
                  <w:r>
                    <w:rPr>
                      <w:rFonts w:hint="eastAsia"/>
                      <w:szCs w:val="21"/>
                      <w:lang w:val="en-US"/>
                    </w:rPr>
                    <w:t>颗粒物</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szCs w:val="21"/>
                    </w:rPr>
                  </w:pPr>
                  <w:r>
                    <w:rPr>
                      <w:szCs w:val="21"/>
                    </w:rPr>
                    <w:t>排放速率（</w:t>
                  </w:r>
                  <w:r>
                    <w:rPr>
                      <w:rFonts w:hint="eastAsia"/>
                      <w:szCs w:val="21"/>
                    </w:rPr>
                    <w:t>k</w:t>
                  </w:r>
                  <w:r>
                    <w:rPr>
                      <w:szCs w:val="21"/>
                    </w:rPr>
                    <w:t>g/h）</w:t>
                  </w:r>
                </w:p>
              </w:tc>
              <w:tc>
                <w:tcPr>
                  <w:tcW w:w="4534" w:type="dxa"/>
                  <w:vAlign w:val="center"/>
                </w:tcPr>
                <w:p>
                  <w:pPr>
                    <w:jc w:val="center"/>
                    <w:rPr>
                      <w:rFonts w:hint="eastAsia" w:eastAsia="宋体"/>
                      <w:lang w:val="en-US" w:eastAsia="zh-CN"/>
                    </w:rPr>
                  </w:pPr>
                  <w:r>
                    <w:rPr>
                      <w:rFonts w:hint="eastAsia"/>
                      <w:lang w:val="en-US" w:eastAsia="zh-CN"/>
                    </w:rPr>
                    <w:t>0.0024</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szCs w:val="21"/>
                    </w:rPr>
                  </w:pPr>
                  <w:r>
                    <w:rPr>
                      <w:szCs w:val="21"/>
                    </w:rPr>
                    <w:t>源面积（m</w:t>
                  </w:r>
                  <w:r>
                    <w:rPr>
                      <w:szCs w:val="21"/>
                      <w:vertAlign w:val="superscript"/>
                    </w:rPr>
                    <w:t>2</w:t>
                  </w:r>
                  <w:r>
                    <w:rPr>
                      <w:szCs w:val="21"/>
                    </w:rPr>
                    <w:t>）</w:t>
                  </w:r>
                </w:p>
              </w:tc>
              <w:tc>
                <w:tcPr>
                  <w:tcW w:w="4534" w:type="dxa"/>
                  <w:vAlign w:val="center"/>
                </w:tcPr>
                <w:p>
                  <w:pPr>
                    <w:pStyle w:val="169"/>
                    <w:widowControl w:val="0"/>
                    <w:spacing w:before="0" w:after="0"/>
                    <w:rPr>
                      <w:color w:val="auto"/>
                      <w:sz w:val="21"/>
                      <w:szCs w:val="21"/>
                      <w:lang w:val="en-US"/>
                    </w:rPr>
                  </w:pPr>
                  <w:r>
                    <w:rPr>
                      <w:rFonts w:hint="eastAsia"/>
                      <w:color w:val="auto"/>
                      <w:sz w:val="21"/>
                      <w:szCs w:val="21"/>
                      <w:lang w:val="en-US"/>
                    </w:rPr>
                    <w:t>460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szCs w:val="21"/>
                    </w:rPr>
                  </w:pPr>
                  <w:r>
                    <w:rPr>
                      <w:szCs w:val="21"/>
                    </w:rPr>
                    <w:t>环境标准（mg/m</w:t>
                  </w:r>
                  <w:r>
                    <w:rPr>
                      <w:szCs w:val="21"/>
                      <w:vertAlign w:val="superscript"/>
                    </w:rPr>
                    <w:t>3</w:t>
                  </w:r>
                  <w:r>
                    <w:rPr>
                      <w:szCs w:val="21"/>
                    </w:rPr>
                    <w:t>）</w:t>
                  </w:r>
                </w:p>
              </w:tc>
              <w:tc>
                <w:tcPr>
                  <w:tcW w:w="4534" w:type="dxa"/>
                  <w:vAlign w:val="center"/>
                </w:tcPr>
                <w:p>
                  <w:pPr>
                    <w:snapToGrid w:val="0"/>
                    <w:jc w:val="center"/>
                    <w:rPr>
                      <w:rFonts w:hint="eastAsia" w:eastAsia="宋体"/>
                      <w:szCs w:val="21"/>
                      <w:lang w:val="en-US" w:eastAsia="zh-CN"/>
                    </w:rPr>
                  </w:pPr>
                  <w:r>
                    <w:rPr>
                      <w:rFonts w:hint="eastAsia"/>
                      <w:szCs w:val="21"/>
                      <w:lang w:val="en-US"/>
                    </w:rPr>
                    <w:t>0.</w:t>
                  </w:r>
                  <w:r>
                    <w:rPr>
                      <w:rFonts w:hint="eastAsia"/>
                      <w:szCs w:val="21"/>
                      <w:lang w:val="en-US" w:eastAsia="zh-CN"/>
                    </w:rPr>
                    <w:t>9</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szCs w:val="21"/>
                    </w:rPr>
                  </w:pPr>
                  <w:r>
                    <w:rPr>
                      <w:szCs w:val="21"/>
                    </w:rPr>
                    <w:t>卫生防护距离计算值（m）</w:t>
                  </w:r>
                </w:p>
              </w:tc>
              <w:tc>
                <w:tcPr>
                  <w:tcW w:w="4534" w:type="dxa"/>
                  <w:vAlign w:val="center"/>
                </w:tcPr>
                <w:p>
                  <w:pPr>
                    <w:snapToGrid w:val="0"/>
                    <w:jc w:val="center"/>
                    <w:rPr>
                      <w:szCs w:val="21"/>
                      <w:lang w:val="en-US"/>
                    </w:rPr>
                  </w:pPr>
                  <w:r>
                    <w:rPr>
                      <w:rFonts w:hint="eastAsia"/>
                      <w:szCs w:val="21"/>
                      <w:lang w:val="en-US"/>
                    </w:rPr>
                    <w:t>0.35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340" w:hRule="exact"/>
                <w:jc w:val="center"/>
              </w:trPr>
              <w:tc>
                <w:tcPr>
                  <w:tcW w:w="3779" w:type="dxa"/>
                  <w:tcMar>
                    <w:top w:w="13" w:type="dxa"/>
                    <w:left w:w="13" w:type="dxa"/>
                    <w:bottom w:w="0" w:type="dxa"/>
                    <w:right w:w="13" w:type="dxa"/>
                  </w:tcMar>
                  <w:vAlign w:val="center"/>
                </w:tcPr>
                <w:p>
                  <w:pPr>
                    <w:snapToGrid w:val="0"/>
                    <w:jc w:val="center"/>
                    <w:rPr>
                      <w:szCs w:val="21"/>
                    </w:rPr>
                  </w:pPr>
                  <w:r>
                    <w:rPr>
                      <w:szCs w:val="21"/>
                    </w:rPr>
                    <w:t>卫生防护距离（m）</w:t>
                  </w:r>
                </w:p>
              </w:tc>
              <w:tc>
                <w:tcPr>
                  <w:tcW w:w="4534" w:type="dxa"/>
                  <w:vAlign w:val="center"/>
                </w:tcPr>
                <w:p>
                  <w:pPr>
                    <w:snapToGrid w:val="0"/>
                    <w:jc w:val="center"/>
                    <w:rPr>
                      <w:szCs w:val="21"/>
                    </w:rPr>
                  </w:pPr>
                  <w:r>
                    <w:rPr>
                      <w:rFonts w:hint="eastAsia"/>
                      <w:szCs w:val="21"/>
                      <w:lang w:val="en-US"/>
                    </w:rPr>
                    <w:t>50</w:t>
                  </w:r>
                </w:p>
              </w:tc>
            </w:tr>
          </w:tbl>
          <w:p>
            <w:pPr>
              <w:spacing w:line="360" w:lineRule="auto"/>
              <w:ind w:firstLine="480" w:firstLineChars="200"/>
              <w:rPr>
                <w:sz w:val="24"/>
              </w:rPr>
            </w:pPr>
            <w:r>
              <w:rPr>
                <w:rFonts w:hint="eastAsia" w:ascii="宋体" w:hAnsi="宋体" w:cs="宋体"/>
                <w:sz w:val="24"/>
              </w:rPr>
              <w:t>根据计算结果</w:t>
            </w:r>
            <w:r>
              <w:rPr>
                <w:rFonts w:hint="eastAsia"/>
                <w:sz w:val="24"/>
              </w:rPr>
              <w:t>确定</w:t>
            </w:r>
            <w:r>
              <w:rPr>
                <w:rFonts w:hint="eastAsia"/>
                <w:sz w:val="24"/>
                <w:lang w:eastAsia="zh-CN"/>
              </w:rPr>
              <w:t>本项目</w:t>
            </w:r>
            <w:r>
              <w:rPr>
                <w:rFonts w:hint="eastAsia"/>
                <w:sz w:val="24"/>
              </w:rPr>
              <w:t>卫生防护距离为50 m</w:t>
            </w:r>
            <w:r>
              <w:rPr>
                <w:sz w:val="24"/>
              </w:rPr>
              <w:t>。</w:t>
            </w:r>
            <w:r>
              <w:rPr>
                <w:rFonts w:hint="eastAsia"/>
                <w:sz w:val="24"/>
              </w:rPr>
              <w:t>根据现场踏勘，距离本项目一层生产车间50m范围内无居民、学校、医院等敏感目标，距项目厂界</w:t>
            </w:r>
            <w:r>
              <w:rPr>
                <w:sz w:val="24"/>
              </w:rPr>
              <w:t>最近敏</w:t>
            </w:r>
            <w:r>
              <w:rPr>
                <w:rFonts w:hint="eastAsia" w:ascii="宋体" w:hAnsi="宋体" w:cs="宋体"/>
                <w:sz w:val="24"/>
              </w:rPr>
              <w:t>感点为距西北厂界</w:t>
            </w:r>
            <w:r>
              <w:rPr>
                <w:rFonts w:hint="eastAsia"/>
                <w:sz w:val="24"/>
                <w:lang w:val="en-US"/>
              </w:rPr>
              <w:t>56</w:t>
            </w:r>
            <w:r>
              <w:rPr>
                <w:sz w:val="24"/>
              </w:rPr>
              <w:t>m</w:t>
            </w:r>
            <w:r>
              <w:rPr>
                <w:rFonts w:hint="eastAsia" w:ascii="宋体" w:hAnsi="宋体" w:cs="宋体"/>
                <w:sz w:val="24"/>
              </w:rPr>
              <w:t>的四条岭，符合卫生防护距离要求，</w:t>
            </w:r>
            <w:r>
              <w:rPr>
                <w:rFonts w:hint="eastAsia"/>
                <w:sz w:val="24"/>
                <w:lang w:val="en-US"/>
              </w:rPr>
              <w:t>详</w:t>
            </w:r>
            <w:r>
              <w:rPr>
                <w:rFonts w:hint="eastAsia" w:ascii="宋体" w:hAnsi="宋体" w:cs="宋体"/>
                <w:sz w:val="24"/>
                <w:lang w:val="en-US"/>
              </w:rPr>
              <w:t>见</w:t>
            </w:r>
            <w:r>
              <w:rPr>
                <w:rFonts w:hint="eastAsia" w:ascii="宋体" w:hAnsi="宋体" w:cs="宋体"/>
                <w:b/>
                <w:bCs/>
                <w:sz w:val="24"/>
                <w:u w:val="single"/>
                <w:lang w:val="en-US"/>
              </w:rPr>
              <w:t>附图4</w:t>
            </w:r>
            <w:r>
              <w:rPr>
                <w:rFonts w:hint="eastAsia" w:ascii="宋体" w:hAnsi="宋体" w:cs="宋体"/>
                <w:sz w:val="24"/>
              </w:rPr>
              <w:t>。</w:t>
            </w:r>
            <w:r>
              <w:rPr>
                <w:sz w:val="24"/>
              </w:rPr>
              <w:t>本环评建议当地规划部门在本项目卫生防护距离内禁止新建住宅、学校、医院等敏感建筑。</w:t>
            </w:r>
          </w:p>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center"/>
              <w:textAlignment w:val="auto"/>
              <w:rPr>
                <w:rFonts w:hint="eastAsia"/>
                <w:b/>
                <w:bCs/>
                <w:sz w:val="24"/>
                <w:szCs w:val="22"/>
                <w:lang w:val="en-US" w:eastAsia="zh-CN"/>
              </w:rPr>
            </w:pPr>
            <w:r>
              <w:rPr>
                <w:rFonts w:hint="eastAsia"/>
                <w:b/>
                <w:bCs/>
                <w:sz w:val="24"/>
                <w:szCs w:val="22"/>
                <w:lang w:val="en-US" w:eastAsia="zh-CN"/>
              </w:rPr>
              <w:t>表7-10  建设项目大气环境影响评价自查表</w:t>
            </w:r>
          </w:p>
          <w:tbl>
            <w:tblPr>
              <w:tblStyle w:val="75"/>
              <w:tblW w:w="8195"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1057"/>
              <w:gridCol w:w="1137"/>
              <w:gridCol w:w="99"/>
              <w:gridCol w:w="82"/>
              <w:gridCol w:w="108"/>
              <w:gridCol w:w="534"/>
              <w:gridCol w:w="97"/>
              <w:gridCol w:w="169"/>
              <w:gridCol w:w="1008"/>
              <w:gridCol w:w="245"/>
              <w:gridCol w:w="180"/>
              <w:gridCol w:w="145"/>
              <w:gridCol w:w="143"/>
              <w:gridCol w:w="931"/>
              <w:gridCol w:w="271"/>
              <w:gridCol w:w="307"/>
              <w:gridCol w:w="92"/>
              <w:gridCol w:w="73"/>
              <w:gridCol w:w="403"/>
              <w:gridCol w:w="384"/>
              <w:gridCol w:w="38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095" w:type="dxa"/>
                  <w:gridSpan w:val="2"/>
                  <w:tcBorders>
                    <w:tl2br w:val="nil"/>
                    <w:tr2bl w:val="nil"/>
                  </w:tcBorders>
                  <w:noWrap w:val="0"/>
                  <w:vAlign w:val="center"/>
                </w:tcPr>
                <w:p>
                  <w:pPr>
                    <w:adjustRightInd w:val="0"/>
                    <w:snapToGrid w:val="0"/>
                    <w:spacing w:line="240" w:lineRule="exact"/>
                    <w:jc w:val="center"/>
                    <w:rPr>
                      <w:sz w:val="20"/>
                      <w:szCs w:val="20"/>
                    </w:rPr>
                  </w:pPr>
                  <w:r>
                    <w:rPr>
                      <w:sz w:val="20"/>
                      <w:szCs w:val="20"/>
                    </w:rPr>
                    <w:t>工作内容</w:t>
                  </w:r>
                </w:p>
              </w:tc>
              <w:tc>
                <w:tcPr>
                  <w:tcW w:w="6100" w:type="dxa"/>
                  <w:gridSpan w:val="20"/>
                  <w:tcBorders>
                    <w:tl2br w:val="nil"/>
                    <w:tr2bl w:val="nil"/>
                  </w:tcBorders>
                  <w:noWrap w:val="0"/>
                  <w:vAlign w:val="center"/>
                </w:tcPr>
                <w:p>
                  <w:pPr>
                    <w:adjustRightInd w:val="0"/>
                    <w:snapToGrid w:val="0"/>
                    <w:spacing w:line="240" w:lineRule="exact"/>
                    <w:jc w:val="center"/>
                    <w:rPr>
                      <w:sz w:val="20"/>
                      <w:szCs w:val="20"/>
                    </w:rPr>
                  </w:pPr>
                  <w:r>
                    <w:rPr>
                      <w:sz w:val="20"/>
                      <w:szCs w:val="20"/>
                    </w:rPr>
                    <w:t>自查项目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35" w:type="dxa"/>
                  <w:vMerge w:val="restart"/>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评价等级与范围</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评价等级</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一级□</w:t>
                  </w:r>
                </w:p>
              </w:tc>
              <w:tc>
                <w:tcPr>
                  <w:tcW w:w="2741"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二级</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c>
                <w:tcPr>
                  <w:tcW w:w="1439"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三级</w:t>
                  </w:r>
                  <w:r>
                    <w:rPr>
                      <w:sz w:val="20"/>
                      <w:szCs w:val="20"/>
                    </w:rPr>
                    <w:sym w:font="Wingdings 2" w:char="0052"/>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评价范围</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边长=50km□</w:t>
                  </w:r>
                </w:p>
              </w:tc>
              <w:tc>
                <w:tcPr>
                  <w:tcW w:w="2741"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边长5~50km□</w:t>
                  </w:r>
                </w:p>
              </w:tc>
              <w:tc>
                <w:tcPr>
                  <w:tcW w:w="1439"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边长=5km</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restart"/>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评价</w:t>
                  </w:r>
                </w:p>
                <w:p>
                  <w:pPr>
                    <w:adjustRightInd w:val="0"/>
                    <w:snapToGrid w:val="0"/>
                    <w:spacing w:line="240" w:lineRule="exact"/>
                    <w:ind w:left="-80" w:leftChars="-38" w:right="-63" w:rightChars="-30"/>
                    <w:jc w:val="center"/>
                    <w:rPr>
                      <w:sz w:val="20"/>
                      <w:szCs w:val="20"/>
                    </w:rPr>
                  </w:pPr>
                  <w:r>
                    <w:rPr>
                      <w:sz w:val="20"/>
                      <w:szCs w:val="20"/>
                    </w:rPr>
                    <w:t>因子</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SO2+NOX</w:t>
                  </w:r>
                </w:p>
                <w:p>
                  <w:pPr>
                    <w:adjustRightInd w:val="0"/>
                    <w:snapToGrid w:val="0"/>
                    <w:spacing w:line="240" w:lineRule="exact"/>
                    <w:jc w:val="center"/>
                    <w:rPr>
                      <w:sz w:val="20"/>
                      <w:szCs w:val="20"/>
                    </w:rPr>
                  </w:pPr>
                  <w:r>
                    <w:rPr>
                      <w:sz w:val="20"/>
                      <w:szCs w:val="20"/>
                    </w:rPr>
                    <w:t>排放量</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≥2000t/a□</w:t>
                  </w:r>
                </w:p>
              </w:tc>
              <w:tc>
                <w:tcPr>
                  <w:tcW w:w="2741"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500~5000t/a□</w:t>
                  </w:r>
                </w:p>
              </w:tc>
              <w:tc>
                <w:tcPr>
                  <w:tcW w:w="1439"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＜500 t/a□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35" w:type="dxa"/>
                  <w:vMerge w:val="continue"/>
                  <w:tcBorders>
                    <w:tl2br w:val="nil"/>
                    <w:tr2bl w:val="nil"/>
                  </w:tcBorders>
                  <w:noWrap w:val="0"/>
                  <w:vAlign w:val="center"/>
                </w:tcPr>
                <w:p>
                  <w:pPr>
                    <w:adjustRightInd w:val="0"/>
                    <w:snapToGrid w:val="0"/>
                    <w:spacing w:line="240" w:lineRule="exact"/>
                    <w:ind w:left="-80" w:leftChars="-38" w:right="-63" w:rightChars="-30"/>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评价因子</w:t>
                  </w:r>
                </w:p>
              </w:tc>
              <w:tc>
                <w:tcPr>
                  <w:tcW w:w="3313" w:type="dxa"/>
                  <w:gridSpan w:val="12"/>
                  <w:tcBorders>
                    <w:tl2br w:val="nil"/>
                    <w:tr2bl w:val="nil"/>
                  </w:tcBorders>
                  <w:noWrap w:val="0"/>
                  <w:vAlign w:val="center"/>
                </w:tcPr>
                <w:p>
                  <w:pPr>
                    <w:adjustRightInd w:val="0"/>
                    <w:snapToGrid w:val="0"/>
                    <w:spacing w:line="240" w:lineRule="exact"/>
                    <w:jc w:val="center"/>
                    <w:rPr>
                      <w:sz w:val="20"/>
                      <w:szCs w:val="20"/>
                    </w:rPr>
                  </w:pPr>
                  <w:r>
                    <w:rPr>
                      <w:sz w:val="20"/>
                      <w:szCs w:val="20"/>
                    </w:rPr>
                    <w:t>基本污染物</w:t>
                  </w:r>
                </w:p>
                <w:p>
                  <w:pPr>
                    <w:adjustRightInd w:val="0"/>
                    <w:snapToGrid w:val="0"/>
                    <w:spacing w:line="240" w:lineRule="exact"/>
                    <w:jc w:val="center"/>
                    <w:rPr>
                      <w:sz w:val="20"/>
                      <w:szCs w:val="20"/>
                    </w:rPr>
                  </w:pPr>
                  <w:r>
                    <w:rPr>
                      <w:sz w:val="20"/>
                      <w:szCs w:val="20"/>
                    </w:rPr>
                    <w:t>(SO</w:t>
                  </w:r>
                  <w:r>
                    <w:rPr>
                      <w:sz w:val="20"/>
                      <w:szCs w:val="20"/>
                      <w:vertAlign w:val="subscript"/>
                    </w:rPr>
                    <w:t>2</w:t>
                  </w:r>
                  <w:r>
                    <w:rPr>
                      <w:sz w:val="20"/>
                      <w:szCs w:val="20"/>
                    </w:rPr>
                    <w:t>、NOx、PM</w:t>
                  </w:r>
                  <w:r>
                    <w:rPr>
                      <w:sz w:val="20"/>
                      <w:szCs w:val="20"/>
                      <w:vertAlign w:val="subscript"/>
                    </w:rPr>
                    <w:t>10</w:t>
                  </w:r>
                  <w:r>
                    <w:rPr>
                      <w:sz w:val="20"/>
                      <w:szCs w:val="20"/>
                    </w:rPr>
                    <w:t>、PM</w:t>
                  </w:r>
                  <w:r>
                    <w:rPr>
                      <w:sz w:val="20"/>
                      <w:szCs w:val="20"/>
                      <w:vertAlign w:val="subscript"/>
                    </w:rPr>
                    <w:t>2.5</w:t>
                  </w:r>
                  <w:r>
                    <w:rPr>
                      <w:sz w:val="20"/>
                      <w:szCs w:val="20"/>
                    </w:rPr>
                    <w:t>、O</w:t>
                  </w:r>
                  <w:r>
                    <w:rPr>
                      <w:sz w:val="20"/>
                      <w:szCs w:val="20"/>
                      <w:vertAlign w:val="subscript"/>
                    </w:rPr>
                    <w:t>3</w:t>
                  </w:r>
                  <w:r>
                    <w:rPr>
                      <w:sz w:val="20"/>
                      <w:szCs w:val="20"/>
                    </w:rPr>
                    <w:t>、CO)</w:t>
                  </w:r>
                </w:p>
                <w:p>
                  <w:pPr>
                    <w:adjustRightInd w:val="0"/>
                    <w:snapToGrid w:val="0"/>
                    <w:spacing w:line="240" w:lineRule="exact"/>
                    <w:jc w:val="center"/>
                    <w:rPr>
                      <w:sz w:val="20"/>
                      <w:szCs w:val="20"/>
                    </w:rPr>
                  </w:pPr>
                  <w:r>
                    <w:rPr>
                      <w:sz w:val="20"/>
                      <w:szCs w:val="20"/>
                    </w:rPr>
                    <w:t>其他污染物(/)</w:t>
                  </w:r>
                </w:p>
              </w:tc>
              <w:tc>
                <w:tcPr>
                  <w:tcW w:w="2787"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包括二次PM2.5□</w:t>
                  </w:r>
                </w:p>
                <w:p>
                  <w:pPr>
                    <w:adjustRightInd w:val="0"/>
                    <w:snapToGrid w:val="0"/>
                    <w:spacing w:line="240" w:lineRule="exact"/>
                    <w:jc w:val="center"/>
                    <w:rPr>
                      <w:sz w:val="20"/>
                      <w:szCs w:val="20"/>
                    </w:rPr>
                  </w:pPr>
                  <w:r>
                    <w:rPr>
                      <w:sz w:val="20"/>
                      <w:szCs w:val="20"/>
                    </w:rPr>
                    <w:t>不包括二次PM2.5</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评价</w:t>
                  </w:r>
                </w:p>
                <w:p>
                  <w:pPr>
                    <w:adjustRightInd w:val="0"/>
                    <w:snapToGrid w:val="0"/>
                    <w:spacing w:line="240" w:lineRule="exact"/>
                    <w:ind w:left="-80" w:leftChars="-38" w:right="-63" w:rightChars="-30"/>
                    <w:jc w:val="center"/>
                    <w:rPr>
                      <w:sz w:val="20"/>
                      <w:szCs w:val="20"/>
                    </w:rPr>
                  </w:pPr>
                  <w:r>
                    <w:rPr>
                      <w:sz w:val="20"/>
                      <w:szCs w:val="20"/>
                    </w:rPr>
                    <w:t>标准</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评价标准</w:t>
                  </w:r>
                </w:p>
              </w:tc>
              <w:tc>
                <w:tcPr>
                  <w:tcW w:w="1151" w:type="dxa"/>
                  <w:gridSpan w:val="4"/>
                  <w:tcBorders>
                    <w:tl2br w:val="nil"/>
                    <w:tr2bl w:val="nil"/>
                  </w:tcBorders>
                  <w:noWrap w:val="0"/>
                  <w:vAlign w:val="center"/>
                </w:tcPr>
                <w:p>
                  <w:pPr>
                    <w:adjustRightInd w:val="0"/>
                    <w:snapToGrid w:val="0"/>
                    <w:spacing w:line="240" w:lineRule="exact"/>
                    <w:jc w:val="center"/>
                    <w:rPr>
                      <w:sz w:val="20"/>
                      <w:szCs w:val="20"/>
                    </w:rPr>
                  </w:pPr>
                  <w:r>
                    <w:rPr>
                      <w:sz w:val="20"/>
                      <w:szCs w:val="20"/>
                    </w:rPr>
                    <w:t>国家标准</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c>
                <w:tcPr>
                  <w:tcW w:w="2162"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地方标准□</w:t>
                  </w:r>
                </w:p>
              </w:tc>
              <w:tc>
                <w:tcPr>
                  <w:tcW w:w="1136" w:type="dxa"/>
                  <w:gridSpan w:val="2"/>
                  <w:tcBorders>
                    <w:tl2br w:val="nil"/>
                    <w:tr2bl w:val="nil"/>
                  </w:tcBorders>
                  <w:noWrap w:val="0"/>
                  <w:vAlign w:val="center"/>
                </w:tcPr>
                <w:p>
                  <w:pPr>
                    <w:adjustRightInd w:val="0"/>
                    <w:snapToGrid w:val="0"/>
                    <w:spacing w:line="240" w:lineRule="exact"/>
                    <w:jc w:val="center"/>
                    <w:rPr>
                      <w:sz w:val="20"/>
                      <w:szCs w:val="20"/>
                    </w:rPr>
                  </w:pPr>
                  <w:r>
                    <w:rPr>
                      <w:sz w:val="20"/>
                      <w:szCs w:val="20"/>
                    </w:rPr>
                    <w:t>附录D□</w:t>
                  </w:r>
                </w:p>
              </w:tc>
              <w:tc>
                <w:tcPr>
                  <w:tcW w:w="1651" w:type="dxa"/>
                  <w:gridSpan w:val="6"/>
                  <w:tcBorders>
                    <w:tl2br w:val="nil"/>
                    <w:tr2bl w:val="nil"/>
                  </w:tcBorders>
                  <w:noWrap w:val="0"/>
                  <w:vAlign w:val="center"/>
                </w:tcPr>
                <w:p>
                  <w:pPr>
                    <w:adjustRightInd w:val="0"/>
                    <w:snapToGrid w:val="0"/>
                    <w:spacing w:line="240" w:lineRule="exact"/>
                    <w:jc w:val="center"/>
                    <w:rPr>
                      <w:sz w:val="20"/>
                      <w:szCs w:val="20"/>
                    </w:rPr>
                  </w:pPr>
                  <w:r>
                    <w:rPr>
                      <w:sz w:val="20"/>
                      <w:szCs w:val="20"/>
                    </w:rPr>
                    <w:t>其他标准□</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restart"/>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现状</w:t>
                  </w:r>
                </w:p>
                <w:p>
                  <w:pPr>
                    <w:adjustRightInd w:val="0"/>
                    <w:snapToGrid w:val="0"/>
                    <w:spacing w:line="240" w:lineRule="exact"/>
                    <w:ind w:left="-80" w:leftChars="-38" w:right="-63" w:rightChars="-30"/>
                    <w:jc w:val="center"/>
                    <w:rPr>
                      <w:sz w:val="20"/>
                      <w:szCs w:val="20"/>
                    </w:rPr>
                  </w:pPr>
                  <w:r>
                    <w:rPr>
                      <w:sz w:val="20"/>
                      <w:szCs w:val="20"/>
                    </w:rPr>
                    <w:t>评价</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环境功能区</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一类区□</w:t>
                  </w:r>
                </w:p>
              </w:tc>
              <w:tc>
                <w:tcPr>
                  <w:tcW w:w="2529"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二类区</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c>
                <w:tcPr>
                  <w:tcW w:w="1651" w:type="dxa"/>
                  <w:gridSpan w:val="6"/>
                  <w:tcBorders>
                    <w:tl2br w:val="nil"/>
                    <w:tr2bl w:val="nil"/>
                  </w:tcBorders>
                  <w:noWrap w:val="0"/>
                  <w:vAlign w:val="center"/>
                </w:tcPr>
                <w:p>
                  <w:pPr>
                    <w:adjustRightInd w:val="0"/>
                    <w:snapToGrid w:val="0"/>
                    <w:spacing w:line="240" w:lineRule="exact"/>
                    <w:jc w:val="left"/>
                    <w:rPr>
                      <w:sz w:val="20"/>
                      <w:szCs w:val="20"/>
                    </w:rPr>
                  </w:pPr>
                  <w:r>
                    <w:rPr>
                      <w:sz w:val="20"/>
                      <w:szCs w:val="20"/>
                    </w:rPr>
                    <w:t>一类区和二类区□</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5" w:type="dxa"/>
                  <w:vMerge w:val="continue"/>
                  <w:tcBorders>
                    <w:tl2br w:val="nil"/>
                    <w:tr2bl w:val="nil"/>
                  </w:tcBorders>
                  <w:noWrap w:val="0"/>
                  <w:vAlign w:val="center"/>
                </w:tcPr>
                <w:p>
                  <w:pPr>
                    <w:adjustRightInd w:val="0"/>
                    <w:snapToGrid w:val="0"/>
                    <w:spacing w:line="240" w:lineRule="exact"/>
                    <w:ind w:left="-80" w:leftChars="-38" w:right="-63" w:rightChars="-30"/>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评价基准年</w:t>
                  </w:r>
                </w:p>
              </w:tc>
              <w:tc>
                <w:tcPr>
                  <w:tcW w:w="6100" w:type="dxa"/>
                  <w:gridSpan w:val="20"/>
                  <w:tcBorders>
                    <w:tl2br w:val="nil"/>
                    <w:tr2bl w:val="nil"/>
                  </w:tcBorders>
                  <w:noWrap w:val="0"/>
                  <w:vAlign w:val="center"/>
                </w:tcPr>
                <w:p>
                  <w:pPr>
                    <w:adjustRightInd w:val="0"/>
                    <w:snapToGrid w:val="0"/>
                    <w:spacing w:line="240" w:lineRule="exact"/>
                    <w:jc w:val="center"/>
                    <w:rPr>
                      <w:sz w:val="20"/>
                      <w:szCs w:val="20"/>
                    </w:rPr>
                  </w:pPr>
                  <w:r>
                    <w:rPr>
                      <w:sz w:val="20"/>
                      <w:szCs w:val="20"/>
                    </w:rPr>
                    <w:t>(201</w:t>
                  </w:r>
                  <w:r>
                    <w:rPr>
                      <w:rFonts w:hint="eastAsia"/>
                      <w:sz w:val="20"/>
                      <w:szCs w:val="20"/>
                      <w:lang w:val="en-US" w:eastAsia="zh-CN"/>
                    </w:rPr>
                    <w:t>8</w:t>
                  </w:r>
                  <w:r>
                    <w:rPr>
                      <w:sz w:val="20"/>
                      <w:szCs w:val="20"/>
                    </w:rPr>
                    <w:t>)年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5" w:type="dxa"/>
                  <w:vMerge w:val="continue"/>
                  <w:tcBorders>
                    <w:tl2br w:val="nil"/>
                    <w:tr2bl w:val="nil"/>
                  </w:tcBorders>
                  <w:noWrap w:val="0"/>
                  <w:vAlign w:val="center"/>
                </w:tcPr>
                <w:p>
                  <w:pPr>
                    <w:adjustRightInd w:val="0"/>
                    <w:snapToGrid w:val="0"/>
                    <w:spacing w:line="240" w:lineRule="exact"/>
                    <w:ind w:left="-80" w:leftChars="-38" w:right="-63" w:rightChars="-30"/>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环境空气质量现状调查数据来源</w:t>
                  </w:r>
                </w:p>
              </w:tc>
              <w:tc>
                <w:tcPr>
                  <w:tcW w:w="1645"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长期例行监测数据□</w:t>
                  </w:r>
                </w:p>
              </w:tc>
              <w:tc>
                <w:tcPr>
                  <w:tcW w:w="3015" w:type="dxa"/>
                  <w:gridSpan w:val="10"/>
                  <w:tcBorders>
                    <w:tl2br w:val="nil"/>
                    <w:tr2bl w:val="nil"/>
                  </w:tcBorders>
                  <w:noWrap w:val="0"/>
                  <w:vAlign w:val="center"/>
                </w:tcPr>
                <w:p>
                  <w:pPr>
                    <w:adjustRightInd w:val="0"/>
                    <w:snapToGrid w:val="0"/>
                    <w:spacing w:line="240" w:lineRule="exact"/>
                    <w:jc w:val="center"/>
                    <w:rPr>
                      <w:sz w:val="20"/>
                      <w:szCs w:val="20"/>
                    </w:rPr>
                  </w:pPr>
                  <w:r>
                    <w:rPr>
                      <w:sz w:val="20"/>
                      <w:szCs w:val="20"/>
                    </w:rPr>
                    <w:t>主管部门发布的数据</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c>
                <w:tcPr>
                  <w:tcW w:w="1440"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现状补充监测□</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5" w:type="dxa"/>
                  <w:vMerge w:val="continue"/>
                  <w:tcBorders>
                    <w:tl2br w:val="nil"/>
                    <w:tr2bl w:val="nil"/>
                  </w:tcBorders>
                  <w:noWrap w:val="0"/>
                  <w:vAlign w:val="center"/>
                </w:tcPr>
                <w:p>
                  <w:pPr>
                    <w:adjustRightInd w:val="0"/>
                    <w:snapToGrid w:val="0"/>
                    <w:spacing w:line="240" w:lineRule="exact"/>
                    <w:ind w:left="-80" w:leftChars="-38" w:right="-63" w:rightChars="-30"/>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现状评价</w:t>
                  </w:r>
                </w:p>
              </w:tc>
              <w:tc>
                <w:tcPr>
                  <w:tcW w:w="3020" w:type="dxa"/>
                  <w:gridSpan w:val="10"/>
                  <w:tcBorders>
                    <w:tl2br w:val="nil"/>
                    <w:tr2bl w:val="nil"/>
                  </w:tcBorders>
                  <w:noWrap w:val="0"/>
                  <w:vAlign w:val="center"/>
                </w:tcPr>
                <w:p>
                  <w:pPr>
                    <w:adjustRightInd w:val="0"/>
                    <w:snapToGrid w:val="0"/>
                    <w:spacing w:line="240" w:lineRule="exact"/>
                    <w:jc w:val="center"/>
                    <w:rPr>
                      <w:sz w:val="20"/>
                      <w:szCs w:val="20"/>
                    </w:rPr>
                  </w:pPr>
                  <w:r>
                    <w:rPr>
                      <w:sz w:val="20"/>
                      <w:szCs w:val="20"/>
                    </w:rPr>
                    <w:t>达标区</w:t>
                  </w:r>
                  <w:r>
                    <w:rPr>
                      <w:sz w:val="20"/>
                      <w:szCs w:val="20"/>
                    </w:rPr>
                    <w:sym w:font="Wingdings 2" w:char="00A3"/>
                  </w:r>
                </w:p>
              </w:tc>
              <w:tc>
                <w:tcPr>
                  <w:tcW w:w="3080" w:type="dxa"/>
                  <w:gridSpan w:val="10"/>
                  <w:tcBorders>
                    <w:tl2br w:val="nil"/>
                    <w:tr2bl w:val="nil"/>
                  </w:tcBorders>
                  <w:noWrap w:val="0"/>
                  <w:vAlign w:val="center"/>
                </w:tcPr>
                <w:p>
                  <w:pPr>
                    <w:adjustRightInd w:val="0"/>
                    <w:snapToGrid w:val="0"/>
                    <w:spacing w:line="240" w:lineRule="exact"/>
                    <w:jc w:val="center"/>
                    <w:rPr>
                      <w:sz w:val="20"/>
                      <w:szCs w:val="20"/>
                    </w:rPr>
                  </w:pPr>
                  <w:r>
                    <w:rPr>
                      <w:sz w:val="20"/>
                      <w:szCs w:val="20"/>
                    </w:rPr>
                    <w:t>不达标区</w:t>
                  </w:r>
                  <w:r>
                    <w:rPr>
                      <w:sz w:val="20"/>
                      <w:szCs w:val="20"/>
                    </w:rPr>
                    <w:fldChar w:fldCharType="begin"/>
                  </w:r>
                  <w:r>
                    <w:rPr>
                      <w:sz w:val="20"/>
                      <w:szCs w:val="20"/>
                    </w:rPr>
                    <w:instrText xml:space="preserve"> eq \o\ac(</w:instrText>
                  </w:r>
                  <w:r>
                    <w:rPr>
                      <w:position w:val="-4"/>
                      <w:sz w:val="30"/>
                      <w:szCs w:val="20"/>
                    </w:rPr>
                    <w:instrText xml:space="preserve">□</w:instrText>
                  </w:r>
                  <w:r>
                    <w:rPr>
                      <w:rFonts w:hint="eastAsia"/>
                      <w:position w:val="-4"/>
                      <w:sz w:val="30"/>
                      <w:szCs w:val="20"/>
                      <w:lang w:eastAsia="zh-CN"/>
                    </w:rPr>
                    <w:instrText xml:space="preserve">,</w:instrText>
                  </w:r>
                  <w:r>
                    <w:rPr>
                      <w:rFonts w:hint="eastAsia"/>
                      <w:position w:val="0"/>
                      <w:sz w:val="20"/>
                      <w:szCs w:val="20"/>
                      <w:lang w:eastAsia="zh-CN"/>
                    </w:rPr>
                    <w:instrText xml:space="preserve">√</w:instrText>
                  </w:r>
                  <w:r>
                    <w:rPr>
                      <w:position w:val="0"/>
                      <w:sz w:val="20"/>
                      <w:szCs w:val="20"/>
                    </w:rPr>
                    <w:instrText xml:space="preserve">)</w:instrText>
                  </w:r>
                  <w:r>
                    <w:rPr>
                      <w:sz w:val="20"/>
                      <w:szCs w:val="20"/>
                    </w:rPr>
                    <w:fldChar w:fldCharType="end"/>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5"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污染源</w:t>
                  </w:r>
                </w:p>
                <w:p>
                  <w:pPr>
                    <w:adjustRightInd w:val="0"/>
                    <w:snapToGrid w:val="0"/>
                    <w:spacing w:line="240" w:lineRule="exact"/>
                    <w:ind w:left="-80" w:leftChars="-38" w:right="-63" w:rightChars="-30"/>
                    <w:jc w:val="center"/>
                    <w:rPr>
                      <w:sz w:val="20"/>
                      <w:szCs w:val="20"/>
                    </w:rPr>
                  </w:pPr>
                  <w:r>
                    <w:rPr>
                      <w:sz w:val="20"/>
                      <w:szCs w:val="20"/>
                    </w:rPr>
                    <w:t>调查</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调查内容</w:t>
                  </w:r>
                </w:p>
              </w:tc>
              <w:tc>
                <w:tcPr>
                  <w:tcW w:w="1735" w:type="dxa"/>
                  <w:gridSpan w:val="6"/>
                  <w:tcBorders>
                    <w:tl2br w:val="nil"/>
                    <w:tr2bl w:val="nil"/>
                  </w:tcBorders>
                  <w:noWrap w:val="0"/>
                  <w:vAlign w:val="center"/>
                </w:tcPr>
                <w:p>
                  <w:pPr>
                    <w:adjustRightInd w:val="0"/>
                    <w:snapToGrid w:val="0"/>
                    <w:spacing w:line="240" w:lineRule="exact"/>
                    <w:jc w:val="center"/>
                    <w:rPr>
                      <w:sz w:val="20"/>
                      <w:szCs w:val="20"/>
                    </w:rPr>
                  </w:pPr>
                  <w:r>
                    <w:rPr>
                      <w:sz w:val="20"/>
                      <w:szCs w:val="20"/>
                    </w:rPr>
                    <w:t>本项目正常排放源</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p>
                  <w:pPr>
                    <w:adjustRightInd w:val="0"/>
                    <w:snapToGrid w:val="0"/>
                    <w:spacing w:line="240" w:lineRule="exact"/>
                    <w:jc w:val="center"/>
                    <w:rPr>
                      <w:sz w:val="20"/>
                      <w:szCs w:val="20"/>
                    </w:rPr>
                  </w:pPr>
                  <w:r>
                    <w:rPr>
                      <w:sz w:val="20"/>
                      <w:szCs w:val="20"/>
                    </w:rPr>
                    <w:t>本项目非正常排放源□</w:t>
                  </w:r>
                </w:p>
                <w:p>
                  <w:pPr>
                    <w:adjustRightInd w:val="0"/>
                    <w:snapToGrid w:val="0"/>
                    <w:spacing w:line="240" w:lineRule="exact"/>
                    <w:jc w:val="center"/>
                    <w:rPr>
                      <w:sz w:val="20"/>
                      <w:szCs w:val="20"/>
                    </w:rPr>
                  </w:pPr>
                  <w:r>
                    <w:rPr>
                      <w:sz w:val="20"/>
                      <w:szCs w:val="20"/>
                    </w:rPr>
                    <w:t>现有污染源□</w:t>
                  </w:r>
                </w:p>
              </w:tc>
              <w:tc>
                <w:tcPr>
                  <w:tcW w:w="1285" w:type="dxa"/>
                  <w:gridSpan w:val="4"/>
                  <w:tcBorders>
                    <w:tl2br w:val="nil"/>
                    <w:tr2bl w:val="nil"/>
                  </w:tcBorders>
                  <w:noWrap w:val="0"/>
                  <w:vAlign w:val="center"/>
                </w:tcPr>
                <w:p>
                  <w:pPr>
                    <w:adjustRightInd w:val="0"/>
                    <w:snapToGrid w:val="0"/>
                    <w:spacing w:line="240" w:lineRule="exact"/>
                    <w:jc w:val="center"/>
                    <w:rPr>
                      <w:sz w:val="20"/>
                      <w:szCs w:val="20"/>
                    </w:rPr>
                  </w:pPr>
                  <w:r>
                    <w:rPr>
                      <w:sz w:val="20"/>
                      <w:szCs w:val="20"/>
                    </w:rPr>
                    <w:t>拟替代的污染源□</w:t>
                  </w:r>
                </w:p>
              </w:tc>
              <w:tc>
                <w:tcPr>
                  <w:tcW w:w="2230"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其他在建、拟建项目污染源□</w:t>
                  </w:r>
                </w:p>
              </w:tc>
              <w:tc>
                <w:tcPr>
                  <w:tcW w:w="850" w:type="dxa"/>
                  <w:gridSpan w:val="2"/>
                  <w:tcBorders>
                    <w:tl2br w:val="nil"/>
                    <w:tr2bl w:val="nil"/>
                  </w:tcBorders>
                  <w:noWrap w:val="0"/>
                  <w:vAlign w:val="center"/>
                </w:tcPr>
                <w:p>
                  <w:pPr>
                    <w:adjustRightInd w:val="0"/>
                    <w:snapToGrid w:val="0"/>
                    <w:spacing w:line="240" w:lineRule="exact"/>
                    <w:jc w:val="center"/>
                    <w:rPr>
                      <w:sz w:val="20"/>
                      <w:szCs w:val="20"/>
                    </w:rPr>
                  </w:pPr>
                  <w:r>
                    <w:rPr>
                      <w:sz w:val="20"/>
                      <w:szCs w:val="20"/>
                    </w:rPr>
                    <w:t>区域污染源□</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5" w:type="dxa"/>
                  <w:vMerge w:val="restart"/>
                  <w:tcBorders>
                    <w:tl2br w:val="nil"/>
                    <w:tr2bl w:val="nil"/>
                  </w:tcBorders>
                  <w:noWrap w:val="0"/>
                  <w:vAlign w:val="center"/>
                </w:tcPr>
                <w:p>
                  <w:pPr>
                    <w:adjustRightInd w:val="0"/>
                    <w:snapToGrid w:val="0"/>
                    <w:spacing w:line="240" w:lineRule="exact"/>
                    <w:jc w:val="center"/>
                    <w:rPr>
                      <w:sz w:val="20"/>
                      <w:szCs w:val="20"/>
                    </w:rPr>
                  </w:pPr>
                  <w:r>
                    <w:rPr>
                      <w:sz w:val="20"/>
                      <w:szCs w:val="20"/>
                    </w:rPr>
                    <w:t>大气环境影响预测与评价</w:t>
                  </w:r>
                </w:p>
                <w:p>
                  <w:pPr>
                    <w:adjustRightInd w:val="0"/>
                    <w:snapToGrid w:val="0"/>
                    <w:spacing w:line="240" w:lineRule="exact"/>
                    <w:jc w:val="center"/>
                    <w:rPr>
                      <w:sz w:val="20"/>
                      <w:szCs w:val="20"/>
                    </w:rPr>
                  </w:pPr>
                  <w:r>
                    <w:rPr>
                      <w:sz w:val="20"/>
                      <w:szCs w:val="20"/>
                    </w:rPr>
                    <w:t>(不涉及)</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预测模型</w:t>
                  </w:r>
                </w:p>
              </w:tc>
              <w:tc>
                <w:tcPr>
                  <w:tcW w:w="885" w:type="dxa"/>
                  <w:tcBorders>
                    <w:tl2br w:val="nil"/>
                    <w:tr2bl w:val="nil"/>
                  </w:tcBorders>
                  <w:noWrap w:val="0"/>
                  <w:vAlign w:val="center"/>
                </w:tcPr>
                <w:p>
                  <w:pPr>
                    <w:adjustRightInd w:val="0"/>
                    <w:snapToGrid w:val="0"/>
                    <w:spacing w:line="240" w:lineRule="exact"/>
                    <w:jc w:val="center"/>
                    <w:rPr>
                      <w:sz w:val="20"/>
                      <w:szCs w:val="20"/>
                    </w:rPr>
                  </w:pPr>
                  <w:r>
                    <w:rPr>
                      <w:sz w:val="20"/>
                      <w:szCs w:val="20"/>
                    </w:rPr>
                    <w:t>AERMOD□</w:t>
                  </w:r>
                </w:p>
              </w:tc>
              <w:tc>
                <w:tcPr>
                  <w:tcW w:w="850"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ADMS</w:t>
                  </w:r>
                  <w:r>
                    <w:rPr>
                      <w:sz w:val="20"/>
                      <w:szCs w:val="20"/>
                    </w:rPr>
                    <w:sym w:font="Wingdings 2" w:char="0052"/>
                  </w:r>
                </w:p>
              </w:tc>
              <w:tc>
                <w:tcPr>
                  <w:tcW w:w="1104" w:type="dxa"/>
                  <w:gridSpan w:val="3"/>
                  <w:tcBorders>
                    <w:tl2br w:val="nil"/>
                    <w:tr2bl w:val="nil"/>
                  </w:tcBorders>
                  <w:noWrap w:val="0"/>
                  <w:vAlign w:val="center"/>
                </w:tcPr>
                <w:p>
                  <w:pPr>
                    <w:adjustRightInd w:val="0"/>
                    <w:snapToGrid w:val="0"/>
                    <w:spacing w:line="240" w:lineRule="exact"/>
                    <w:jc w:val="center"/>
                    <w:rPr>
                      <w:sz w:val="20"/>
                      <w:szCs w:val="20"/>
                    </w:rPr>
                  </w:pPr>
                  <w:r>
                    <w:rPr>
                      <w:sz w:val="20"/>
                      <w:szCs w:val="20"/>
                    </w:rPr>
                    <w:t>AUSTAL2000□</w:t>
                  </w:r>
                </w:p>
              </w:tc>
              <w:tc>
                <w:tcPr>
                  <w:tcW w:w="1423" w:type="dxa"/>
                  <w:gridSpan w:val="4"/>
                  <w:tcBorders>
                    <w:tl2br w:val="nil"/>
                    <w:tr2bl w:val="nil"/>
                  </w:tcBorders>
                  <w:noWrap w:val="0"/>
                  <w:vAlign w:val="center"/>
                </w:tcPr>
                <w:p>
                  <w:pPr>
                    <w:adjustRightInd w:val="0"/>
                    <w:snapToGrid w:val="0"/>
                    <w:spacing w:line="240" w:lineRule="exact"/>
                    <w:jc w:val="center"/>
                    <w:rPr>
                      <w:sz w:val="20"/>
                      <w:szCs w:val="20"/>
                    </w:rPr>
                  </w:pPr>
                  <w:r>
                    <w:rPr>
                      <w:sz w:val="20"/>
                      <w:szCs w:val="20"/>
                    </w:rPr>
                    <w:t>EDMS/AEDT□</w:t>
                  </w:r>
                </w:p>
              </w:tc>
              <w:tc>
                <w:tcPr>
                  <w:tcW w:w="988"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CALPUFF□</w:t>
                  </w:r>
                </w:p>
              </w:tc>
              <w:tc>
                <w:tcPr>
                  <w:tcW w:w="535" w:type="dxa"/>
                  <w:tcBorders>
                    <w:tl2br w:val="nil"/>
                    <w:tr2bl w:val="nil"/>
                  </w:tcBorders>
                  <w:noWrap w:val="0"/>
                  <w:vAlign w:val="center"/>
                </w:tcPr>
                <w:p>
                  <w:pPr>
                    <w:adjustRightInd w:val="0"/>
                    <w:snapToGrid w:val="0"/>
                    <w:spacing w:line="240" w:lineRule="exact"/>
                    <w:ind w:left="-71" w:leftChars="-34" w:right="-71" w:rightChars="-34"/>
                    <w:jc w:val="center"/>
                    <w:rPr>
                      <w:sz w:val="20"/>
                      <w:szCs w:val="20"/>
                    </w:rPr>
                  </w:pPr>
                  <w:r>
                    <w:rPr>
                      <w:sz w:val="20"/>
                      <w:szCs w:val="20"/>
                    </w:rPr>
                    <w:t>网络模型□</w:t>
                  </w:r>
                </w:p>
              </w:tc>
              <w:tc>
                <w:tcPr>
                  <w:tcW w:w="315"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其他□</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预测范围</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边长≥50km□</w:t>
                  </w:r>
                </w:p>
              </w:tc>
              <w:tc>
                <w:tcPr>
                  <w:tcW w:w="2740" w:type="dxa"/>
                  <w:gridSpan w:val="8"/>
                  <w:tcBorders>
                    <w:tl2br w:val="nil"/>
                    <w:tr2bl w:val="nil"/>
                  </w:tcBorders>
                  <w:noWrap w:val="0"/>
                  <w:vAlign w:val="center"/>
                </w:tcPr>
                <w:p>
                  <w:pPr>
                    <w:adjustRightInd w:val="0"/>
                    <w:snapToGrid w:val="0"/>
                    <w:spacing w:line="240" w:lineRule="exact"/>
                    <w:jc w:val="center"/>
                    <w:rPr>
                      <w:sz w:val="20"/>
                      <w:szCs w:val="20"/>
                    </w:rPr>
                  </w:pPr>
                  <w:r>
                    <w:rPr>
                      <w:sz w:val="20"/>
                      <w:szCs w:val="20"/>
                    </w:rPr>
                    <w:t>边长5~50km□</w:t>
                  </w:r>
                </w:p>
              </w:tc>
              <w:tc>
                <w:tcPr>
                  <w:tcW w:w="1440" w:type="dxa"/>
                  <w:gridSpan w:val="5"/>
                  <w:tcBorders>
                    <w:tl2br w:val="nil"/>
                    <w:tr2bl w:val="nil"/>
                  </w:tcBorders>
                  <w:noWrap w:val="0"/>
                  <w:vAlign w:val="center"/>
                </w:tcPr>
                <w:p>
                  <w:pPr>
                    <w:adjustRightInd w:val="0"/>
                    <w:snapToGrid w:val="0"/>
                    <w:spacing w:line="240" w:lineRule="exact"/>
                    <w:jc w:val="center"/>
                    <w:rPr>
                      <w:sz w:val="20"/>
                      <w:szCs w:val="20"/>
                    </w:rPr>
                  </w:pPr>
                  <w:r>
                    <w:rPr>
                      <w:sz w:val="20"/>
                      <w:szCs w:val="20"/>
                    </w:rPr>
                    <w:t>边长＜5km□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预测因子</w:t>
                  </w:r>
                </w:p>
              </w:tc>
              <w:tc>
                <w:tcPr>
                  <w:tcW w:w="3020" w:type="dxa"/>
                  <w:gridSpan w:val="10"/>
                  <w:tcBorders>
                    <w:tl2br w:val="nil"/>
                    <w:tr2bl w:val="nil"/>
                  </w:tcBorders>
                  <w:noWrap w:val="0"/>
                  <w:vAlign w:val="center"/>
                </w:tcPr>
                <w:p>
                  <w:pPr>
                    <w:adjustRightInd w:val="0"/>
                    <w:snapToGrid w:val="0"/>
                    <w:spacing w:line="240" w:lineRule="exact"/>
                    <w:jc w:val="center"/>
                    <w:rPr>
                      <w:sz w:val="20"/>
                      <w:szCs w:val="20"/>
                    </w:rPr>
                  </w:pPr>
                  <w:r>
                    <w:rPr>
                      <w:sz w:val="20"/>
                      <w:szCs w:val="20"/>
                    </w:rPr>
                    <w:t>预测因子(        )</w:t>
                  </w:r>
                </w:p>
              </w:tc>
              <w:tc>
                <w:tcPr>
                  <w:tcW w:w="3080" w:type="dxa"/>
                  <w:gridSpan w:val="10"/>
                  <w:tcBorders>
                    <w:tl2br w:val="nil"/>
                    <w:tr2bl w:val="nil"/>
                  </w:tcBorders>
                  <w:noWrap w:val="0"/>
                  <w:vAlign w:val="center"/>
                </w:tcPr>
                <w:p>
                  <w:pPr>
                    <w:adjustRightInd w:val="0"/>
                    <w:snapToGrid w:val="0"/>
                    <w:spacing w:line="240" w:lineRule="exact"/>
                    <w:jc w:val="center"/>
                    <w:rPr>
                      <w:sz w:val="20"/>
                      <w:szCs w:val="20"/>
                    </w:rPr>
                  </w:pPr>
                  <w:r>
                    <w:rPr>
                      <w:sz w:val="20"/>
                      <w:szCs w:val="20"/>
                    </w:rPr>
                    <w:t>包括二次PM2.5□</w:t>
                  </w:r>
                </w:p>
                <w:p>
                  <w:pPr>
                    <w:adjustRightInd w:val="0"/>
                    <w:snapToGrid w:val="0"/>
                    <w:spacing w:line="240" w:lineRule="exact"/>
                    <w:jc w:val="center"/>
                    <w:rPr>
                      <w:sz w:val="20"/>
                      <w:szCs w:val="20"/>
                    </w:rPr>
                  </w:pPr>
                  <w:r>
                    <w:rPr>
                      <w:sz w:val="20"/>
                      <w:szCs w:val="20"/>
                    </w:rPr>
                    <w:t>不包括二次PM2.5□</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正常排放短期浓度贡献值</w:t>
                  </w:r>
                </w:p>
              </w:tc>
              <w:tc>
                <w:tcPr>
                  <w:tcW w:w="3020" w:type="dxa"/>
                  <w:gridSpan w:val="10"/>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最大占标率≤100%□</w:t>
                  </w:r>
                </w:p>
              </w:tc>
              <w:tc>
                <w:tcPr>
                  <w:tcW w:w="3080" w:type="dxa"/>
                  <w:gridSpan w:val="10"/>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vMerge w:val="restart"/>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正常排放年均浓度贡献值</w:t>
                  </w:r>
                </w:p>
              </w:tc>
              <w:tc>
                <w:tcPr>
                  <w:tcW w:w="885" w:type="dxa"/>
                  <w:tcBorders>
                    <w:tl2br w:val="nil"/>
                    <w:tr2bl w:val="nil"/>
                  </w:tcBorders>
                  <w:noWrap w:val="0"/>
                  <w:vAlign w:val="center"/>
                </w:tcPr>
                <w:p>
                  <w:pPr>
                    <w:adjustRightInd w:val="0"/>
                    <w:snapToGrid w:val="0"/>
                    <w:spacing w:line="240" w:lineRule="exact"/>
                    <w:jc w:val="center"/>
                    <w:rPr>
                      <w:sz w:val="20"/>
                      <w:szCs w:val="20"/>
                    </w:rPr>
                  </w:pPr>
                  <w:r>
                    <w:rPr>
                      <w:sz w:val="20"/>
                      <w:szCs w:val="20"/>
                    </w:rPr>
                    <w:t>一类区</w:t>
                  </w:r>
                </w:p>
              </w:tc>
              <w:tc>
                <w:tcPr>
                  <w:tcW w:w="2135" w:type="dxa"/>
                  <w:gridSpan w:val="9"/>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最大占标率≤10%□</w:t>
                  </w:r>
                </w:p>
              </w:tc>
              <w:tc>
                <w:tcPr>
                  <w:tcW w:w="3080" w:type="dxa"/>
                  <w:gridSpan w:val="10"/>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最大占标率＞10%□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vMerge w:val="continue"/>
                  <w:tcBorders>
                    <w:tl2br w:val="nil"/>
                    <w:tr2bl w:val="nil"/>
                  </w:tcBorders>
                  <w:noWrap w:val="0"/>
                  <w:vAlign w:val="center"/>
                </w:tcPr>
                <w:p>
                  <w:pPr>
                    <w:adjustRightInd w:val="0"/>
                    <w:snapToGrid w:val="0"/>
                    <w:spacing w:line="240" w:lineRule="exact"/>
                    <w:ind w:left="-80" w:leftChars="-38" w:right="-63" w:rightChars="-30"/>
                    <w:jc w:val="center"/>
                    <w:rPr>
                      <w:sz w:val="20"/>
                      <w:szCs w:val="20"/>
                    </w:rPr>
                  </w:pPr>
                </w:p>
              </w:tc>
              <w:tc>
                <w:tcPr>
                  <w:tcW w:w="885" w:type="dxa"/>
                  <w:tcBorders>
                    <w:tl2br w:val="nil"/>
                    <w:tr2bl w:val="nil"/>
                  </w:tcBorders>
                  <w:noWrap w:val="0"/>
                  <w:vAlign w:val="center"/>
                </w:tcPr>
                <w:p>
                  <w:pPr>
                    <w:adjustRightInd w:val="0"/>
                    <w:snapToGrid w:val="0"/>
                    <w:spacing w:line="240" w:lineRule="exact"/>
                    <w:jc w:val="center"/>
                    <w:rPr>
                      <w:sz w:val="20"/>
                      <w:szCs w:val="20"/>
                    </w:rPr>
                  </w:pPr>
                  <w:r>
                    <w:rPr>
                      <w:sz w:val="20"/>
                      <w:szCs w:val="20"/>
                    </w:rPr>
                    <w:t>二类区</w:t>
                  </w:r>
                </w:p>
              </w:tc>
              <w:tc>
                <w:tcPr>
                  <w:tcW w:w="2135" w:type="dxa"/>
                  <w:gridSpan w:val="9"/>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最大占标率≤30%□</w:t>
                  </w:r>
                </w:p>
              </w:tc>
              <w:tc>
                <w:tcPr>
                  <w:tcW w:w="3080" w:type="dxa"/>
                  <w:gridSpan w:val="10"/>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本项目</w:t>
                  </w:r>
                  <w:r>
                    <w:rPr>
                      <w:sz w:val="20"/>
                      <w:szCs w:val="20"/>
                    </w:rPr>
                    <w:t>最大占标率＞30%□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非正常排放1h浓度贡献值</w:t>
                  </w:r>
                </w:p>
              </w:tc>
              <w:tc>
                <w:tcPr>
                  <w:tcW w:w="1052" w:type="dxa"/>
                  <w:gridSpan w:val="3"/>
                  <w:tcBorders>
                    <w:tl2br w:val="nil"/>
                    <w:tr2bl w:val="nil"/>
                  </w:tcBorders>
                  <w:noWrap w:val="0"/>
                  <w:vAlign w:val="center"/>
                </w:tcPr>
                <w:p>
                  <w:pPr>
                    <w:adjustRightInd w:val="0"/>
                    <w:snapToGrid w:val="0"/>
                    <w:spacing w:line="240" w:lineRule="exact"/>
                    <w:jc w:val="center"/>
                    <w:rPr>
                      <w:sz w:val="20"/>
                      <w:szCs w:val="20"/>
                    </w:rPr>
                  </w:pPr>
                  <w:r>
                    <w:rPr>
                      <w:sz w:val="20"/>
                      <w:szCs w:val="20"/>
                    </w:rPr>
                    <w:t>非正常持续时长(    )h</w:t>
                  </w:r>
                </w:p>
              </w:tc>
              <w:tc>
                <w:tcPr>
                  <w:tcW w:w="3705" w:type="dxa"/>
                  <w:gridSpan w:val="13"/>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非正常</w:t>
                  </w:r>
                  <w:r>
                    <w:rPr>
                      <w:sz w:val="20"/>
                      <w:szCs w:val="20"/>
                    </w:rPr>
                    <w:t>最大占标率≤100%□</w:t>
                  </w:r>
                </w:p>
              </w:tc>
              <w:tc>
                <w:tcPr>
                  <w:tcW w:w="1343" w:type="dxa"/>
                  <w:gridSpan w:val="4"/>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非正常</w:t>
                  </w:r>
                  <w:r>
                    <w:rPr>
                      <w:sz w:val="20"/>
                      <w:szCs w:val="20"/>
                    </w:rPr>
                    <w:t>最大占标率＞100%□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保证率日平均浓度和年平均浓度叠加值</w:t>
                  </w:r>
                </w:p>
              </w:tc>
              <w:tc>
                <w:tcPr>
                  <w:tcW w:w="3167" w:type="dxa"/>
                  <w:gridSpan w:val="11"/>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叠加</w:t>
                  </w:r>
                  <w:r>
                    <w:rPr>
                      <w:sz w:val="20"/>
                      <w:szCs w:val="20"/>
                    </w:rPr>
                    <w:t>达标 □</w:t>
                  </w:r>
                </w:p>
              </w:tc>
              <w:tc>
                <w:tcPr>
                  <w:tcW w:w="2933" w:type="dxa"/>
                  <w:gridSpan w:val="9"/>
                  <w:tcBorders>
                    <w:tl2br w:val="nil"/>
                    <w:tr2bl w:val="nil"/>
                  </w:tcBorders>
                  <w:noWrap w:val="0"/>
                  <w:vAlign w:val="center"/>
                </w:tcPr>
                <w:p>
                  <w:pPr>
                    <w:adjustRightInd w:val="0"/>
                    <w:snapToGrid w:val="0"/>
                    <w:spacing w:line="240" w:lineRule="exact"/>
                    <w:jc w:val="center"/>
                    <w:rPr>
                      <w:sz w:val="20"/>
                      <w:szCs w:val="20"/>
                    </w:rPr>
                  </w:pPr>
                  <w:r>
                    <w:rPr>
                      <w:i/>
                      <w:sz w:val="20"/>
                      <w:szCs w:val="20"/>
                    </w:rPr>
                    <w:t>C</w:t>
                  </w:r>
                  <w:r>
                    <w:rPr>
                      <w:sz w:val="20"/>
                      <w:szCs w:val="20"/>
                      <w:vertAlign w:val="subscript"/>
                    </w:rPr>
                    <w:t>叠加</w:t>
                  </w:r>
                  <w:r>
                    <w:rPr>
                      <w:sz w:val="20"/>
                      <w:szCs w:val="20"/>
                    </w:rPr>
                    <w:t>不达标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区域环境质量的整体变化情况</w:t>
                  </w:r>
                </w:p>
              </w:tc>
              <w:tc>
                <w:tcPr>
                  <w:tcW w:w="3167" w:type="dxa"/>
                  <w:gridSpan w:val="11"/>
                  <w:tcBorders>
                    <w:tl2br w:val="nil"/>
                    <w:tr2bl w:val="nil"/>
                  </w:tcBorders>
                  <w:noWrap w:val="0"/>
                  <w:vAlign w:val="center"/>
                </w:tcPr>
                <w:p>
                  <w:pPr>
                    <w:adjustRightInd w:val="0"/>
                    <w:snapToGrid w:val="0"/>
                    <w:spacing w:line="240" w:lineRule="exact"/>
                    <w:jc w:val="center"/>
                    <w:rPr>
                      <w:sz w:val="20"/>
                      <w:szCs w:val="20"/>
                    </w:rPr>
                  </w:pPr>
                  <w:r>
                    <w:rPr>
                      <w:i/>
                      <w:sz w:val="20"/>
                      <w:szCs w:val="20"/>
                    </w:rPr>
                    <w:t xml:space="preserve">k </w:t>
                  </w:r>
                  <w:r>
                    <w:rPr>
                      <w:sz w:val="20"/>
                      <w:szCs w:val="20"/>
                    </w:rPr>
                    <w:t>≤-20% □</w:t>
                  </w:r>
                </w:p>
              </w:tc>
              <w:tc>
                <w:tcPr>
                  <w:tcW w:w="2933" w:type="dxa"/>
                  <w:gridSpan w:val="9"/>
                  <w:tcBorders>
                    <w:tl2br w:val="nil"/>
                    <w:tr2bl w:val="nil"/>
                  </w:tcBorders>
                  <w:noWrap w:val="0"/>
                  <w:vAlign w:val="center"/>
                </w:tcPr>
                <w:p>
                  <w:pPr>
                    <w:adjustRightInd w:val="0"/>
                    <w:snapToGrid w:val="0"/>
                    <w:spacing w:line="240" w:lineRule="exact"/>
                    <w:jc w:val="center"/>
                    <w:rPr>
                      <w:sz w:val="20"/>
                      <w:szCs w:val="20"/>
                    </w:rPr>
                  </w:pPr>
                  <w:r>
                    <w:rPr>
                      <w:i/>
                      <w:sz w:val="20"/>
                      <w:szCs w:val="20"/>
                    </w:rPr>
                    <w:t xml:space="preserve">k </w:t>
                  </w:r>
                  <w:r>
                    <w:rPr>
                      <w:sz w:val="20"/>
                      <w:szCs w:val="20"/>
                    </w:rPr>
                    <w:t>＞-20%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35" w:type="dxa"/>
                  <w:vMerge w:val="restart"/>
                  <w:tcBorders>
                    <w:tl2br w:val="nil"/>
                    <w:tr2bl w:val="nil"/>
                  </w:tcBorders>
                  <w:noWrap w:val="0"/>
                  <w:vAlign w:val="center"/>
                </w:tcPr>
                <w:p>
                  <w:pPr>
                    <w:adjustRightInd w:val="0"/>
                    <w:snapToGrid w:val="0"/>
                    <w:spacing w:line="240" w:lineRule="exact"/>
                    <w:jc w:val="center"/>
                    <w:rPr>
                      <w:sz w:val="20"/>
                      <w:szCs w:val="20"/>
                    </w:rPr>
                  </w:pPr>
                  <w:r>
                    <w:rPr>
                      <w:sz w:val="20"/>
                      <w:szCs w:val="20"/>
                    </w:rPr>
                    <w:t>环境监测计划</w:t>
                  </w: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污染源监测</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监测因子：(颗粒物)</w:t>
                  </w:r>
                </w:p>
              </w:tc>
              <w:tc>
                <w:tcPr>
                  <w:tcW w:w="2837" w:type="dxa"/>
                  <w:gridSpan w:val="9"/>
                  <w:tcBorders>
                    <w:tl2br w:val="nil"/>
                    <w:tr2bl w:val="nil"/>
                  </w:tcBorders>
                  <w:noWrap w:val="0"/>
                  <w:vAlign w:val="center"/>
                </w:tcPr>
                <w:p>
                  <w:pPr>
                    <w:adjustRightInd w:val="0"/>
                    <w:snapToGrid w:val="0"/>
                    <w:spacing w:line="240" w:lineRule="exact"/>
                    <w:jc w:val="center"/>
                    <w:rPr>
                      <w:sz w:val="20"/>
                      <w:szCs w:val="20"/>
                    </w:rPr>
                  </w:pPr>
                  <w:r>
                    <w:rPr>
                      <w:sz w:val="20"/>
                      <w:szCs w:val="20"/>
                    </w:rPr>
                    <w:t xml:space="preserve">有组织废气监测 </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p>
                  <w:pPr>
                    <w:adjustRightInd w:val="0"/>
                    <w:snapToGrid w:val="0"/>
                    <w:spacing w:line="240" w:lineRule="exact"/>
                    <w:jc w:val="center"/>
                    <w:rPr>
                      <w:sz w:val="20"/>
                      <w:szCs w:val="20"/>
                    </w:rPr>
                  </w:pPr>
                  <w:r>
                    <w:rPr>
                      <w:sz w:val="20"/>
                      <w:szCs w:val="20"/>
                    </w:rPr>
                    <w:t xml:space="preserve">无组织废气监测 </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p>
              </w:tc>
              <w:tc>
                <w:tcPr>
                  <w:tcW w:w="1343" w:type="dxa"/>
                  <w:gridSpan w:val="4"/>
                  <w:tcBorders>
                    <w:tl2br w:val="nil"/>
                    <w:tr2bl w:val="nil"/>
                  </w:tcBorders>
                  <w:noWrap w:val="0"/>
                  <w:vAlign w:val="center"/>
                </w:tcPr>
                <w:p>
                  <w:pPr>
                    <w:adjustRightInd w:val="0"/>
                    <w:snapToGrid w:val="0"/>
                    <w:spacing w:line="240" w:lineRule="exact"/>
                    <w:jc w:val="center"/>
                    <w:rPr>
                      <w:sz w:val="20"/>
                      <w:szCs w:val="20"/>
                    </w:rPr>
                  </w:pPr>
                  <w:r>
                    <w:rPr>
                      <w:sz w:val="20"/>
                      <w:szCs w:val="20"/>
                    </w:rP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环境质量监测</w:t>
                  </w:r>
                </w:p>
              </w:tc>
              <w:tc>
                <w:tcPr>
                  <w:tcW w:w="1920" w:type="dxa"/>
                  <w:gridSpan w:val="7"/>
                  <w:tcBorders>
                    <w:tl2br w:val="nil"/>
                    <w:tr2bl w:val="nil"/>
                  </w:tcBorders>
                  <w:noWrap w:val="0"/>
                  <w:vAlign w:val="center"/>
                </w:tcPr>
                <w:p>
                  <w:pPr>
                    <w:adjustRightInd w:val="0"/>
                    <w:snapToGrid w:val="0"/>
                    <w:spacing w:line="240" w:lineRule="exact"/>
                    <w:jc w:val="center"/>
                    <w:rPr>
                      <w:sz w:val="20"/>
                      <w:szCs w:val="20"/>
                    </w:rPr>
                  </w:pPr>
                  <w:r>
                    <w:rPr>
                      <w:sz w:val="20"/>
                      <w:szCs w:val="20"/>
                    </w:rPr>
                    <w:t>监测因子：(颗粒物)</w:t>
                  </w:r>
                </w:p>
              </w:tc>
              <w:tc>
                <w:tcPr>
                  <w:tcW w:w="2837" w:type="dxa"/>
                  <w:gridSpan w:val="9"/>
                  <w:tcBorders>
                    <w:tl2br w:val="nil"/>
                    <w:tr2bl w:val="nil"/>
                  </w:tcBorders>
                  <w:noWrap w:val="0"/>
                  <w:vAlign w:val="center"/>
                </w:tcPr>
                <w:p>
                  <w:pPr>
                    <w:adjustRightInd w:val="0"/>
                    <w:snapToGrid w:val="0"/>
                    <w:spacing w:line="240" w:lineRule="exact"/>
                    <w:jc w:val="center"/>
                    <w:rPr>
                      <w:sz w:val="20"/>
                      <w:szCs w:val="20"/>
                    </w:rPr>
                  </w:pPr>
                  <w:r>
                    <w:rPr>
                      <w:sz w:val="20"/>
                      <w:szCs w:val="20"/>
                    </w:rPr>
                    <w:t>监测点位数(</w:t>
                  </w:r>
                  <w:r>
                    <w:rPr>
                      <w:rFonts w:hint="eastAsia"/>
                      <w:sz w:val="20"/>
                      <w:szCs w:val="20"/>
                    </w:rPr>
                    <w:t>4</w:t>
                  </w:r>
                  <w:r>
                    <w:rPr>
                      <w:sz w:val="20"/>
                      <w:szCs w:val="20"/>
                    </w:rPr>
                    <w:t>)</w:t>
                  </w:r>
                </w:p>
              </w:tc>
              <w:tc>
                <w:tcPr>
                  <w:tcW w:w="1343" w:type="dxa"/>
                  <w:gridSpan w:val="4"/>
                  <w:tcBorders>
                    <w:tl2br w:val="nil"/>
                    <w:tr2bl w:val="nil"/>
                  </w:tcBorders>
                  <w:noWrap w:val="0"/>
                  <w:vAlign w:val="center"/>
                </w:tcPr>
                <w:p>
                  <w:pPr>
                    <w:adjustRightInd w:val="0"/>
                    <w:snapToGrid w:val="0"/>
                    <w:spacing w:line="240" w:lineRule="exact"/>
                    <w:jc w:val="center"/>
                    <w:rPr>
                      <w:sz w:val="20"/>
                      <w:szCs w:val="20"/>
                    </w:rPr>
                  </w:pPr>
                  <w:r>
                    <w:rPr>
                      <w:sz w:val="20"/>
                      <w:szCs w:val="20"/>
                    </w:rPr>
                    <w:t>无监测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35" w:type="dxa"/>
                  <w:vMerge w:val="restart"/>
                  <w:tcBorders>
                    <w:tl2br w:val="nil"/>
                    <w:tr2bl w:val="nil"/>
                  </w:tcBorders>
                  <w:noWrap w:val="0"/>
                  <w:vAlign w:val="center"/>
                </w:tcPr>
                <w:p>
                  <w:pPr>
                    <w:adjustRightInd w:val="0"/>
                    <w:snapToGrid w:val="0"/>
                    <w:spacing w:line="240" w:lineRule="exact"/>
                    <w:ind w:left="-80" w:leftChars="-38" w:right="-63" w:rightChars="-30"/>
                    <w:jc w:val="center"/>
                    <w:rPr>
                      <w:sz w:val="20"/>
                      <w:szCs w:val="20"/>
                    </w:rPr>
                  </w:pPr>
                  <w:r>
                    <w:rPr>
                      <w:sz w:val="20"/>
                      <w:szCs w:val="20"/>
                    </w:rPr>
                    <w:t>评价</w:t>
                  </w:r>
                </w:p>
                <w:p>
                  <w:pPr>
                    <w:adjustRightInd w:val="0"/>
                    <w:snapToGrid w:val="0"/>
                    <w:spacing w:line="240" w:lineRule="exact"/>
                    <w:ind w:left="-80" w:leftChars="-38" w:right="-63" w:rightChars="-30"/>
                    <w:jc w:val="center"/>
                    <w:rPr>
                      <w:sz w:val="20"/>
                      <w:szCs w:val="20"/>
                    </w:rPr>
                  </w:pPr>
                  <w:r>
                    <w:rPr>
                      <w:sz w:val="20"/>
                      <w:szCs w:val="20"/>
                    </w:rPr>
                    <w:t>结论</w:t>
                  </w: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环境影响</w:t>
                  </w:r>
                </w:p>
              </w:tc>
              <w:tc>
                <w:tcPr>
                  <w:tcW w:w="6100" w:type="dxa"/>
                  <w:gridSpan w:val="20"/>
                  <w:tcBorders>
                    <w:tl2br w:val="nil"/>
                    <w:tr2bl w:val="nil"/>
                  </w:tcBorders>
                  <w:noWrap w:val="0"/>
                  <w:vAlign w:val="center"/>
                </w:tcPr>
                <w:p>
                  <w:pPr>
                    <w:adjustRightInd w:val="0"/>
                    <w:snapToGrid w:val="0"/>
                    <w:spacing w:line="240" w:lineRule="exact"/>
                    <w:jc w:val="center"/>
                    <w:rPr>
                      <w:sz w:val="20"/>
                      <w:szCs w:val="20"/>
                    </w:rPr>
                  </w:pPr>
                  <w:r>
                    <w:rPr>
                      <w:sz w:val="20"/>
                      <w:szCs w:val="20"/>
                    </w:rPr>
                    <w:t xml:space="preserve">可以接受 </w:t>
                  </w:r>
                  <w:r>
                    <w:rPr>
                      <w:sz w:val="20"/>
                      <w:szCs w:val="20"/>
                    </w:rPr>
                    <w:fldChar w:fldCharType="begin"/>
                  </w:r>
                  <w:r>
                    <w:rPr>
                      <w:sz w:val="20"/>
                      <w:szCs w:val="20"/>
                    </w:rPr>
                    <w:instrText xml:space="preserve"> eq \o\ac(</w:instrText>
                  </w:r>
                  <w:r>
                    <w:rPr>
                      <w:position w:val="-4"/>
                      <w:sz w:val="30"/>
                      <w:szCs w:val="20"/>
                    </w:rPr>
                    <w:instrText xml:space="preserve">□</w:instrText>
                  </w:r>
                  <w:r>
                    <w:rPr>
                      <w:position w:val="0"/>
                      <w:sz w:val="20"/>
                      <w:szCs w:val="20"/>
                    </w:rPr>
                    <w:instrText xml:space="preserve">,√)</w:instrText>
                  </w:r>
                  <w:r>
                    <w:rPr>
                      <w:sz w:val="20"/>
                      <w:szCs w:val="20"/>
                    </w:rPr>
                    <w:fldChar w:fldCharType="end"/>
                  </w:r>
                  <w:r>
                    <w:rPr>
                      <w:sz w:val="20"/>
                      <w:szCs w:val="20"/>
                    </w:rPr>
                    <w:t xml:space="preserve">              不可以接受 □</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大气环境</w:t>
                  </w:r>
                </w:p>
                <w:p>
                  <w:pPr>
                    <w:adjustRightInd w:val="0"/>
                    <w:snapToGrid w:val="0"/>
                    <w:spacing w:line="240" w:lineRule="exact"/>
                    <w:jc w:val="center"/>
                    <w:rPr>
                      <w:sz w:val="20"/>
                      <w:szCs w:val="20"/>
                    </w:rPr>
                  </w:pPr>
                  <w:r>
                    <w:rPr>
                      <w:sz w:val="20"/>
                      <w:szCs w:val="20"/>
                    </w:rPr>
                    <w:t>防护距离</w:t>
                  </w:r>
                </w:p>
              </w:tc>
              <w:tc>
                <w:tcPr>
                  <w:tcW w:w="6100" w:type="dxa"/>
                  <w:gridSpan w:val="20"/>
                  <w:tcBorders>
                    <w:tl2br w:val="nil"/>
                    <w:tr2bl w:val="nil"/>
                  </w:tcBorders>
                  <w:noWrap w:val="0"/>
                  <w:vAlign w:val="center"/>
                </w:tcPr>
                <w:p>
                  <w:pPr>
                    <w:adjustRightInd w:val="0"/>
                    <w:snapToGrid w:val="0"/>
                    <w:spacing w:line="240" w:lineRule="exact"/>
                    <w:jc w:val="center"/>
                    <w:rPr>
                      <w:sz w:val="20"/>
                      <w:szCs w:val="20"/>
                    </w:rPr>
                  </w:pPr>
                  <w:r>
                    <w:rPr>
                      <w:sz w:val="20"/>
                      <w:szCs w:val="20"/>
                    </w:rPr>
                    <w:t>距( /)厂界最远( /)m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35" w:type="dxa"/>
                  <w:vMerge w:val="continue"/>
                  <w:tcBorders>
                    <w:tl2br w:val="nil"/>
                    <w:tr2bl w:val="nil"/>
                  </w:tcBorders>
                  <w:noWrap w:val="0"/>
                  <w:vAlign w:val="center"/>
                </w:tcPr>
                <w:p>
                  <w:pPr>
                    <w:adjustRightInd w:val="0"/>
                    <w:snapToGrid w:val="0"/>
                    <w:spacing w:line="240" w:lineRule="exact"/>
                    <w:jc w:val="center"/>
                    <w:rPr>
                      <w:sz w:val="20"/>
                      <w:szCs w:val="20"/>
                    </w:rPr>
                  </w:pPr>
                </w:p>
              </w:tc>
              <w:tc>
                <w:tcPr>
                  <w:tcW w:w="1560" w:type="dxa"/>
                  <w:tcBorders>
                    <w:tl2br w:val="nil"/>
                    <w:tr2bl w:val="nil"/>
                  </w:tcBorders>
                  <w:noWrap w:val="0"/>
                  <w:vAlign w:val="center"/>
                </w:tcPr>
                <w:p>
                  <w:pPr>
                    <w:adjustRightInd w:val="0"/>
                    <w:snapToGrid w:val="0"/>
                    <w:spacing w:line="240" w:lineRule="exact"/>
                    <w:jc w:val="center"/>
                    <w:rPr>
                      <w:sz w:val="20"/>
                      <w:szCs w:val="20"/>
                    </w:rPr>
                  </w:pPr>
                  <w:r>
                    <w:rPr>
                      <w:sz w:val="20"/>
                      <w:szCs w:val="20"/>
                    </w:rPr>
                    <w:t>污染源</w:t>
                  </w:r>
                </w:p>
                <w:p>
                  <w:pPr>
                    <w:adjustRightInd w:val="0"/>
                    <w:snapToGrid w:val="0"/>
                    <w:spacing w:line="240" w:lineRule="exact"/>
                    <w:jc w:val="center"/>
                    <w:rPr>
                      <w:sz w:val="20"/>
                      <w:szCs w:val="20"/>
                    </w:rPr>
                  </w:pPr>
                  <w:r>
                    <w:rPr>
                      <w:sz w:val="20"/>
                      <w:szCs w:val="20"/>
                    </w:rPr>
                    <w:t>年排放量</w:t>
                  </w:r>
                </w:p>
              </w:tc>
              <w:tc>
                <w:tcPr>
                  <w:tcW w:w="977" w:type="dxa"/>
                  <w:gridSpan w:val="2"/>
                  <w:tcBorders>
                    <w:tl2br w:val="nil"/>
                    <w:tr2bl w:val="nil"/>
                  </w:tcBorders>
                  <w:noWrap w:val="0"/>
                  <w:vAlign w:val="center"/>
                </w:tcPr>
                <w:p>
                  <w:pPr>
                    <w:adjustRightInd w:val="0"/>
                    <w:snapToGrid w:val="0"/>
                    <w:spacing w:line="240" w:lineRule="exact"/>
                    <w:jc w:val="center"/>
                    <w:rPr>
                      <w:sz w:val="20"/>
                      <w:szCs w:val="20"/>
                    </w:rPr>
                  </w:pPr>
                  <w:r>
                    <w:rPr>
                      <w:sz w:val="20"/>
                      <w:szCs w:val="20"/>
                    </w:rPr>
                    <w:t>SO2：/</w:t>
                  </w:r>
                </w:p>
              </w:tc>
              <w:tc>
                <w:tcPr>
                  <w:tcW w:w="1683" w:type="dxa"/>
                  <w:gridSpan w:val="6"/>
                  <w:tcBorders>
                    <w:tl2br w:val="nil"/>
                    <w:tr2bl w:val="nil"/>
                  </w:tcBorders>
                  <w:noWrap w:val="0"/>
                  <w:vAlign w:val="center"/>
                </w:tcPr>
                <w:p>
                  <w:pPr>
                    <w:adjustRightInd w:val="0"/>
                    <w:snapToGrid w:val="0"/>
                    <w:spacing w:line="240" w:lineRule="exact"/>
                    <w:jc w:val="center"/>
                    <w:rPr>
                      <w:sz w:val="20"/>
                      <w:szCs w:val="20"/>
                    </w:rPr>
                  </w:pPr>
                  <w:r>
                    <w:rPr>
                      <w:sz w:val="20"/>
                      <w:szCs w:val="20"/>
                    </w:rPr>
                    <w:t>NOX：/</w:t>
                  </w:r>
                </w:p>
              </w:tc>
              <w:tc>
                <w:tcPr>
                  <w:tcW w:w="2173" w:type="dxa"/>
                  <w:gridSpan w:val="9"/>
                  <w:tcBorders>
                    <w:tl2br w:val="nil"/>
                    <w:tr2bl w:val="nil"/>
                  </w:tcBorders>
                  <w:noWrap w:val="0"/>
                  <w:vAlign w:val="center"/>
                </w:tcPr>
                <w:p>
                  <w:pPr>
                    <w:adjustRightInd w:val="0"/>
                    <w:snapToGrid w:val="0"/>
                    <w:spacing w:line="240" w:lineRule="exact"/>
                    <w:jc w:val="center"/>
                    <w:rPr>
                      <w:sz w:val="20"/>
                      <w:szCs w:val="20"/>
                    </w:rPr>
                  </w:pPr>
                  <w:r>
                    <w:rPr>
                      <w:sz w:val="20"/>
                      <w:szCs w:val="20"/>
                    </w:rPr>
                    <w:t>颗粒物：</w:t>
                  </w:r>
                  <w:r>
                    <w:rPr>
                      <w:rFonts w:hint="eastAsia"/>
                      <w:sz w:val="20"/>
                      <w:szCs w:val="20"/>
                      <w:lang w:val="en-US" w:eastAsia="zh-CN"/>
                    </w:rPr>
                    <w:t>0.000725</w:t>
                  </w:r>
                  <w:r>
                    <w:rPr>
                      <w:sz w:val="20"/>
                      <w:szCs w:val="20"/>
                    </w:rPr>
                    <w:t>t/a</w:t>
                  </w:r>
                </w:p>
              </w:tc>
              <w:tc>
                <w:tcPr>
                  <w:tcW w:w="1267" w:type="dxa"/>
                  <w:gridSpan w:val="3"/>
                  <w:tcBorders>
                    <w:tl2br w:val="nil"/>
                    <w:tr2bl w:val="nil"/>
                  </w:tcBorders>
                  <w:noWrap w:val="0"/>
                  <w:vAlign w:val="center"/>
                </w:tcPr>
                <w:p>
                  <w:pPr>
                    <w:adjustRightInd w:val="0"/>
                    <w:snapToGrid w:val="0"/>
                    <w:spacing w:line="240" w:lineRule="exact"/>
                    <w:jc w:val="center"/>
                    <w:rPr>
                      <w:sz w:val="20"/>
                      <w:szCs w:val="20"/>
                    </w:rPr>
                  </w:pPr>
                  <w:r>
                    <w:rPr>
                      <w:sz w:val="20"/>
                      <w:szCs w:val="20"/>
                    </w:rPr>
                    <w:t>VOCS：/</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195" w:type="dxa"/>
                  <w:gridSpan w:val="22"/>
                  <w:tcBorders>
                    <w:tl2br w:val="nil"/>
                    <w:tr2bl w:val="nil"/>
                  </w:tcBorders>
                  <w:noWrap w:val="0"/>
                  <w:vAlign w:val="center"/>
                </w:tcPr>
                <w:p>
                  <w:pPr>
                    <w:adjustRightInd w:val="0"/>
                    <w:snapToGrid w:val="0"/>
                    <w:spacing w:line="240" w:lineRule="exact"/>
                    <w:jc w:val="left"/>
                    <w:rPr>
                      <w:sz w:val="20"/>
                      <w:szCs w:val="20"/>
                    </w:rPr>
                  </w:pPr>
                  <w:r>
                    <w:rPr>
                      <w:sz w:val="20"/>
                      <w:szCs w:val="20"/>
                    </w:rPr>
                    <w:t>注：“□” 为勾选项，填“√” ； “(    )”为内容填写项</w:t>
                  </w:r>
                </w:p>
              </w:tc>
            </w:tr>
          </w:tbl>
          <w:p>
            <w:pPr>
              <w:spacing w:line="360" w:lineRule="auto"/>
              <w:rPr>
                <w:rFonts w:hAnsi="宋体"/>
                <w:kern w:val="0"/>
                <w:sz w:val="24"/>
                <w:szCs w:val="24"/>
              </w:rPr>
            </w:pPr>
            <w:r>
              <w:rPr>
                <w:rFonts w:hint="eastAsia" w:hAnsi="宋体"/>
                <w:kern w:val="0"/>
                <w:sz w:val="24"/>
                <w:szCs w:val="24"/>
                <w:lang w:val="en-US" w:eastAsia="zh-CN"/>
              </w:rPr>
              <w:t>3、</w:t>
            </w:r>
            <w:r>
              <w:rPr>
                <w:rFonts w:hint="eastAsia" w:hAnsi="宋体"/>
                <w:kern w:val="0"/>
                <w:sz w:val="24"/>
                <w:szCs w:val="24"/>
              </w:rPr>
              <w:t>固废环境影响分析</w:t>
            </w:r>
          </w:p>
          <w:p>
            <w:pPr>
              <w:spacing w:line="360" w:lineRule="auto"/>
              <w:ind w:firstLine="480" w:firstLineChars="200"/>
              <w:rPr>
                <w:kern w:val="0"/>
                <w:sz w:val="24"/>
                <w:szCs w:val="24"/>
                <w:lang w:val="en-US"/>
              </w:rPr>
            </w:pPr>
            <w:r>
              <w:rPr>
                <w:rFonts w:hint="eastAsia"/>
                <w:kern w:val="0"/>
                <w:sz w:val="24"/>
                <w:szCs w:val="24"/>
              </w:rPr>
              <w:t>本项目生产过程产生废陶瓷</w:t>
            </w:r>
            <w:r>
              <w:rPr>
                <w:rFonts w:hint="eastAsia"/>
                <w:kern w:val="0"/>
                <w:sz w:val="24"/>
                <w:szCs w:val="24"/>
                <w:lang w:val="en-US"/>
              </w:rPr>
              <w:t>0.3t/a、陶瓷泥料</w:t>
            </w:r>
            <w:r>
              <w:rPr>
                <w:rFonts w:hint="eastAsia"/>
                <w:kern w:val="0"/>
                <w:sz w:val="24"/>
                <w:szCs w:val="24"/>
                <w:lang w:val="en-US" w:eastAsia="zh-CN"/>
              </w:rPr>
              <w:t>0.8</w:t>
            </w:r>
            <w:r>
              <w:rPr>
                <w:rFonts w:hint="eastAsia"/>
                <w:kern w:val="0"/>
                <w:sz w:val="24"/>
                <w:szCs w:val="24"/>
                <w:lang w:val="en-US"/>
              </w:rPr>
              <w:t>t/a、废次品0.2t/a、废瓷粉</w:t>
            </w:r>
            <w:r>
              <w:rPr>
                <w:rFonts w:hint="eastAsia"/>
                <w:color w:val="auto"/>
                <w:kern w:val="0"/>
                <w:sz w:val="24"/>
                <w:szCs w:val="24"/>
                <w:lang w:val="en-US"/>
              </w:rPr>
              <w:t>0.0</w:t>
            </w:r>
            <w:r>
              <w:rPr>
                <w:rFonts w:hint="eastAsia"/>
                <w:color w:val="auto"/>
                <w:kern w:val="0"/>
                <w:sz w:val="24"/>
                <w:szCs w:val="24"/>
                <w:lang w:val="en-US" w:eastAsia="zh-CN"/>
              </w:rPr>
              <w:t>043</w:t>
            </w:r>
            <w:r>
              <w:rPr>
                <w:rFonts w:hint="eastAsia"/>
                <w:color w:val="auto"/>
                <w:kern w:val="0"/>
                <w:sz w:val="24"/>
                <w:szCs w:val="24"/>
                <w:lang w:val="en-US"/>
              </w:rPr>
              <w:t>t/a</w:t>
            </w:r>
            <w:r>
              <w:rPr>
                <w:rFonts w:hint="eastAsia"/>
                <w:color w:val="auto"/>
                <w:kern w:val="0"/>
                <w:sz w:val="24"/>
                <w:szCs w:val="24"/>
              </w:rPr>
              <w:t xml:space="preserve"> ，</w:t>
            </w:r>
            <w:r>
              <w:rPr>
                <w:rFonts w:hint="eastAsia"/>
                <w:kern w:val="0"/>
                <w:sz w:val="24"/>
                <w:szCs w:val="24"/>
                <w:lang w:val="en-US"/>
              </w:rPr>
              <w:t>收集后外售给相关公司</w:t>
            </w:r>
            <w:r>
              <w:rPr>
                <w:rFonts w:hint="eastAsia"/>
                <w:kern w:val="0"/>
                <w:sz w:val="24"/>
                <w:szCs w:val="24"/>
              </w:rPr>
              <w:t>；职工生活垃圾按</w:t>
            </w:r>
            <w:r>
              <w:rPr>
                <w:kern w:val="0"/>
                <w:sz w:val="24"/>
                <w:szCs w:val="24"/>
                <w:lang w:val="en-US"/>
              </w:rPr>
              <w:t>0.5kg/</w:t>
            </w:r>
            <w:r>
              <w:rPr>
                <w:rFonts w:hAnsi="宋体"/>
                <w:kern w:val="0"/>
                <w:sz w:val="24"/>
                <w:szCs w:val="24"/>
                <w:lang w:val="en-US"/>
              </w:rPr>
              <w:t>人</w:t>
            </w:r>
            <w:r>
              <w:rPr>
                <w:kern w:val="0"/>
                <w:sz w:val="24"/>
                <w:szCs w:val="24"/>
                <w:lang w:val="en-US"/>
              </w:rPr>
              <w:t>·d</w:t>
            </w:r>
            <w:r>
              <w:rPr>
                <w:rFonts w:hint="eastAsia"/>
                <w:kern w:val="0"/>
                <w:sz w:val="24"/>
                <w:szCs w:val="24"/>
              </w:rPr>
              <w:t>计，约</w:t>
            </w:r>
            <w:r>
              <w:rPr>
                <w:rFonts w:hint="eastAsia"/>
                <w:kern w:val="0"/>
                <w:sz w:val="24"/>
                <w:szCs w:val="24"/>
                <w:lang w:val="en-US"/>
              </w:rPr>
              <w:t>0.9</w:t>
            </w:r>
            <w:r>
              <w:rPr>
                <w:rFonts w:hint="eastAsia"/>
                <w:kern w:val="0"/>
                <w:sz w:val="24"/>
                <w:szCs w:val="24"/>
              </w:rPr>
              <w:t>t/a（按公司生产300d 计），收集后由环卫部门统一清运。</w:t>
            </w:r>
          </w:p>
          <w:p>
            <w:pPr>
              <w:pStyle w:val="1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sz w:val="24"/>
                <w:szCs w:val="24"/>
              </w:rPr>
            </w:pPr>
            <w:r>
              <w:rPr>
                <w:rFonts w:hAnsi="宋体"/>
                <w:sz w:val="24"/>
                <w:szCs w:val="24"/>
              </w:rPr>
              <w:t>表</w:t>
            </w:r>
            <w:r>
              <w:rPr>
                <w:sz w:val="24"/>
                <w:szCs w:val="24"/>
              </w:rPr>
              <w:t>7-</w:t>
            </w:r>
            <w:r>
              <w:rPr>
                <w:rFonts w:hint="eastAsia"/>
                <w:sz w:val="24"/>
                <w:szCs w:val="24"/>
                <w:lang w:val="en-US" w:eastAsia="zh-CN"/>
              </w:rPr>
              <w:t>11</w:t>
            </w:r>
            <w:r>
              <w:rPr>
                <w:sz w:val="24"/>
                <w:szCs w:val="24"/>
              </w:rPr>
              <w:t xml:space="preserve"> </w:t>
            </w:r>
            <w:r>
              <w:rPr>
                <w:rFonts w:hint="eastAsia"/>
                <w:sz w:val="24"/>
                <w:szCs w:val="24"/>
                <w:lang w:val="en-US"/>
              </w:rPr>
              <w:t xml:space="preserve"> </w:t>
            </w:r>
            <w:r>
              <w:rPr>
                <w:rFonts w:hint="eastAsia"/>
                <w:sz w:val="24"/>
                <w:szCs w:val="24"/>
              </w:rPr>
              <w:t>本</w:t>
            </w:r>
            <w:r>
              <w:rPr>
                <w:rFonts w:hint="eastAsia" w:hAnsi="宋体"/>
                <w:sz w:val="24"/>
                <w:szCs w:val="24"/>
              </w:rPr>
              <w:t>项目固体废物利用处置方式评价表</w:t>
            </w:r>
          </w:p>
          <w:tbl>
            <w:tblPr>
              <w:tblStyle w:val="75"/>
              <w:tblW w:w="8362"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287"/>
              <w:gridCol w:w="1138"/>
              <w:gridCol w:w="1140"/>
              <w:gridCol w:w="1141"/>
              <w:gridCol w:w="856"/>
              <w:gridCol w:w="2229"/>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dxa"/>
                  <w:vAlign w:val="center"/>
                </w:tcPr>
                <w:p>
                  <w:pPr>
                    <w:jc w:val="center"/>
                    <w:rPr>
                      <w:szCs w:val="21"/>
                    </w:rPr>
                  </w:pPr>
                  <w:r>
                    <w:rPr>
                      <w:rFonts w:hint="eastAsia" w:hAnsi="宋体"/>
                      <w:szCs w:val="21"/>
                    </w:rPr>
                    <w:t>序号</w:t>
                  </w:r>
                </w:p>
              </w:tc>
              <w:tc>
                <w:tcPr>
                  <w:tcW w:w="1287" w:type="dxa"/>
                  <w:vAlign w:val="center"/>
                </w:tcPr>
                <w:p>
                  <w:pPr>
                    <w:jc w:val="center"/>
                    <w:rPr>
                      <w:szCs w:val="21"/>
                    </w:rPr>
                  </w:pPr>
                  <w:r>
                    <w:rPr>
                      <w:rFonts w:hint="eastAsia" w:hAnsi="宋体"/>
                      <w:szCs w:val="21"/>
                    </w:rPr>
                    <w:t>固废名称</w:t>
                  </w:r>
                </w:p>
              </w:tc>
              <w:tc>
                <w:tcPr>
                  <w:tcW w:w="1138" w:type="dxa"/>
                  <w:vAlign w:val="center"/>
                </w:tcPr>
                <w:p>
                  <w:pPr>
                    <w:jc w:val="center"/>
                    <w:rPr>
                      <w:szCs w:val="21"/>
                    </w:rPr>
                  </w:pPr>
                  <w:r>
                    <w:rPr>
                      <w:rFonts w:hint="eastAsia" w:hAnsi="宋体"/>
                      <w:szCs w:val="21"/>
                    </w:rPr>
                    <w:t>产生工序</w:t>
                  </w:r>
                </w:p>
              </w:tc>
              <w:tc>
                <w:tcPr>
                  <w:tcW w:w="1140" w:type="dxa"/>
                  <w:vAlign w:val="center"/>
                </w:tcPr>
                <w:p>
                  <w:pPr>
                    <w:jc w:val="center"/>
                    <w:rPr>
                      <w:szCs w:val="21"/>
                    </w:rPr>
                  </w:pPr>
                  <w:r>
                    <w:rPr>
                      <w:rFonts w:hint="eastAsia" w:hAnsi="宋体"/>
                      <w:szCs w:val="21"/>
                    </w:rPr>
                    <w:t>属性</w:t>
                  </w:r>
                </w:p>
              </w:tc>
              <w:tc>
                <w:tcPr>
                  <w:tcW w:w="1141" w:type="dxa"/>
                  <w:vAlign w:val="center"/>
                </w:tcPr>
                <w:p>
                  <w:pPr>
                    <w:jc w:val="center"/>
                    <w:rPr>
                      <w:rFonts w:hAnsi="宋体"/>
                      <w:szCs w:val="21"/>
                    </w:rPr>
                  </w:pPr>
                  <w:r>
                    <w:rPr>
                      <w:rFonts w:hint="eastAsia" w:hAnsi="宋体"/>
                      <w:szCs w:val="21"/>
                    </w:rPr>
                    <w:t>废物代码</w:t>
                  </w:r>
                </w:p>
              </w:tc>
              <w:tc>
                <w:tcPr>
                  <w:tcW w:w="856" w:type="dxa"/>
                  <w:vAlign w:val="center"/>
                </w:tcPr>
                <w:p>
                  <w:pPr>
                    <w:jc w:val="center"/>
                    <w:rPr>
                      <w:rFonts w:hAnsi="宋体"/>
                      <w:szCs w:val="21"/>
                    </w:rPr>
                  </w:pPr>
                  <w:r>
                    <w:rPr>
                      <w:rFonts w:hint="eastAsia" w:hAnsi="宋体"/>
                      <w:szCs w:val="21"/>
                    </w:rPr>
                    <w:t>产生量（</w:t>
                  </w:r>
                  <w:r>
                    <w:rPr>
                      <w:rFonts w:hAnsi="宋体"/>
                      <w:szCs w:val="21"/>
                    </w:rPr>
                    <w:t>t/a</w:t>
                  </w:r>
                  <w:r>
                    <w:rPr>
                      <w:rFonts w:hint="eastAsia" w:hAnsi="宋体"/>
                      <w:szCs w:val="21"/>
                    </w:rPr>
                    <w:t>）</w:t>
                  </w:r>
                </w:p>
              </w:tc>
              <w:tc>
                <w:tcPr>
                  <w:tcW w:w="2229" w:type="dxa"/>
                  <w:vAlign w:val="center"/>
                </w:tcPr>
                <w:p>
                  <w:pPr>
                    <w:jc w:val="center"/>
                    <w:rPr>
                      <w:rFonts w:hAnsi="宋体"/>
                      <w:szCs w:val="21"/>
                    </w:rPr>
                  </w:pPr>
                  <w:r>
                    <w:rPr>
                      <w:rFonts w:hint="eastAsia" w:hAnsi="宋体"/>
                      <w:szCs w:val="21"/>
                    </w:rPr>
                    <w:t>处置方式</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dxa"/>
                  <w:tcBorders>
                    <w:bottom w:val="single" w:color="auto" w:sz="4" w:space="0"/>
                  </w:tcBorders>
                  <w:vAlign w:val="center"/>
                </w:tcPr>
                <w:p>
                  <w:pPr>
                    <w:jc w:val="center"/>
                    <w:rPr>
                      <w:szCs w:val="21"/>
                    </w:rPr>
                  </w:pPr>
                  <w:r>
                    <w:rPr>
                      <w:rFonts w:hint="eastAsia"/>
                      <w:iCs/>
                      <w:kern w:val="0"/>
                      <w:szCs w:val="21"/>
                      <w:lang w:val="en-US"/>
                    </w:rPr>
                    <w:t>1</w:t>
                  </w:r>
                </w:p>
              </w:tc>
              <w:tc>
                <w:tcPr>
                  <w:tcW w:w="1287" w:type="dxa"/>
                  <w:tcBorders>
                    <w:bottom w:val="single" w:color="auto" w:sz="4" w:space="0"/>
                  </w:tcBorders>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废陶瓷</w:t>
                  </w:r>
                </w:p>
              </w:tc>
              <w:tc>
                <w:tcPr>
                  <w:tcW w:w="1138" w:type="dxa"/>
                  <w:tcBorders>
                    <w:bottom w:val="single" w:color="auto" w:sz="4" w:space="0"/>
                  </w:tcBorders>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打孔</w:t>
                  </w:r>
                </w:p>
              </w:tc>
              <w:tc>
                <w:tcPr>
                  <w:tcW w:w="1140" w:type="dxa"/>
                  <w:tcBorders>
                    <w:bottom w:val="single" w:color="auto" w:sz="4" w:space="0"/>
                  </w:tcBorders>
                  <w:vAlign w:val="center"/>
                </w:tcPr>
                <w:p>
                  <w:pPr>
                    <w:jc w:val="center"/>
                    <w:rPr>
                      <w:szCs w:val="21"/>
                    </w:rPr>
                  </w:pPr>
                  <w:r>
                    <w:rPr>
                      <w:rFonts w:hint="eastAsia"/>
                      <w:szCs w:val="21"/>
                    </w:rPr>
                    <w:t>一般固废</w:t>
                  </w:r>
                </w:p>
              </w:tc>
              <w:tc>
                <w:tcPr>
                  <w:tcW w:w="1141" w:type="dxa"/>
                  <w:tcBorders>
                    <w:bottom w:val="single" w:color="auto" w:sz="4" w:space="0"/>
                  </w:tcBorders>
                  <w:vAlign w:val="center"/>
                </w:tcPr>
                <w:p>
                  <w:pPr>
                    <w:jc w:val="center"/>
                    <w:rPr>
                      <w:szCs w:val="21"/>
                    </w:rPr>
                  </w:pPr>
                  <w:r>
                    <w:rPr>
                      <w:rFonts w:hint="eastAsia"/>
                      <w:szCs w:val="21"/>
                    </w:rPr>
                    <w:t>/</w:t>
                  </w:r>
                </w:p>
              </w:tc>
              <w:tc>
                <w:tcPr>
                  <w:tcW w:w="856" w:type="dxa"/>
                  <w:tcBorders>
                    <w:bottom w:val="single" w:color="auto" w:sz="4" w:space="0"/>
                  </w:tcBorders>
                  <w:vAlign w:val="center"/>
                </w:tcPr>
                <w:p>
                  <w:pPr>
                    <w:pStyle w:val="127"/>
                    <w:spacing w:line="240" w:lineRule="auto"/>
                    <w:rPr>
                      <w:rFonts w:ascii="Times New Roman" w:hAnsi="Times New Roman" w:cs="Times New Roman"/>
                    </w:rPr>
                  </w:pPr>
                  <w:r>
                    <w:rPr>
                      <w:rFonts w:hint="eastAsia" w:ascii="Times New Roman" w:hAnsi="Times New Roman" w:cs="Times New Roman"/>
                    </w:rPr>
                    <w:t>0.3</w:t>
                  </w:r>
                </w:p>
              </w:tc>
              <w:tc>
                <w:tcPr>
                  <w:tcW w:w="2229" w:type="dxa"/>
                  <w:vMerge w:val="restart"/>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收集后统一外售</w:t>
                  </w:r>
                </w:p>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71" w:type="dxa"/>
                  <w:vAlign w:val="center"/>
                </w:tcPr>
                <w:p>
                  <w:pPr>
                    <w:jc w:val="center"/>
                    <w:rPr>
                      <w:iCs/>
                      <w:kern w:val="0"/>
                      <w:szCs w:val="21"/>
                      <w:lang w:val="en-US"/>
                    </w:rPr>
                  </w:pPr>
                  <w:r>
                    <w:rPr>
                      <w:rFonts w:hint="eastAsia"/>
                      <w:iCs/>
                      <w:kern w:val="0"/>
                      <w:szCs w:val="21"/>
                      <w:lang w:val="en-US"/>
                    </w:rPr>
                    <w:t>2</w:t>
                  </w:r>
                </w:p>
              </w:tc>
              <w:tc>
                <w:tcPr>
                  <w:tcW w:w="1287"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陶瓷泥料</w:t>
                  </w:r>
                </w:p>
              </w:tc>
              <w:tc>
                <w:tcPr>
                  <w:tcW w:w="1138"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水磨</w:t>
                  </w:r>
                </w:p>
              </w:tc>
              <w:tc>
                <w:tcPr>
                  <w:tcW w:w="1140" w:type="dxa"/>
                  <w:vAlign w:val="center"/>
                </w:tcPr>
                <w:p>
                  <w:pPr>
                    <w:jc w:val="center"/>
                    <w:rPr>
                      <w:szCs w:val="21"/>
                    </w:rPr>
                  </w:pPr>
                  <w:r>
                    <w:rPr>
                      <w:rFonts w:hint="eastAsia"/>
                      <w:szCs w:val="21"/>
                    </w:rPr>
                    <w:t>一般固废</w:t>
                  </w:r>
                </w:p>
              </w:tc>
              <w:tc>
                <w:tcPr>
                  <w:tcW w:w="1141" w:type="dxa"/>
                  <w:vAlign w:val="center"/>
                </w:tcPr>
                <w:p>
                  <w:pPr>
                    <w:jc w:val="center"/>
                    <w:rPr>
                      <w:szCs w:val="21"/>
                    </w:rPr>
                  </w:pPr>
                  <w:r>
                    <w:rPr>
                      <w:rFonts w:hint="eastAsia"/>
                      <w:szCs w:val="21"/>
                    </w:rPr>
                    <w:t>/</w:t>
                  </w:r>
                </w:p>
              </w:tc>
              <w:tc>
                <w:tcPr>
                  <w:tcW w:w="856" w:type="dxa"/>
                  <w:vAlign w:val="center"/>
                </w:tcPr>
                <w:p>
                  <w:pPr>
                    <w:pStyle w:val="127"/>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0.8</w:t>
                  </w:r>
                </w:p>
              </w:tc>
              <w:tc>
                <w:tcPr>
                  <w:tcW w:w="2229"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dxa"/>
                  <w:vAlign w:val="center"/>
                </w:tcPr>
                <w:p>
                  <w:pPr>
                    <w:jc w:val="center"/>
                    <w:rPr>
                      <w:iCs/>
                      <w:kern w:val="0"/>
                      <w:szCs w:val="21"/>
                      <w:lang w:val="en-US"/>
                    </w:rPr>
                  </w:pPr>
                  <w:r>
                    <w:rPr>
                      <w:rFonts w:hint="eastAsia"/>
                      <w:iCs/>
                      <w:kern w:val="0"/>
                      <w:szCs w:val="21"/>
                      <w:lang w:val="en-US"/>
                    </w:rPr>
                    <w:t>3</w:t>
                  </w:r>
                </w:p>
              </w:tc>
              <w:tc>
                <w:tcPr>
                  <w:tcW w:w="1287"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废次品</w:t>
                  </w:r>
                </w:p>
              </w:tc>
              <w:tc>
                <w:tcPr>
                  <w:tcW w:w="1138"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检验</w:t>
                  </w:r>
                </w:p>
              </w:tc>
              <w:tc>
                <w:tcPr>
                  <w:tcW w:w="1140" w:type="dxa"/>
                  <w:vAlign w:val="center"/>
                </w:tcPr>
                <w:p>
                  <w:pPr>
                    <w:jc w:val="center"/>
                    <w:rPr>
                      <w:b/>
                      <w:bCs/>
                      <w:szCs w:val="21"/>
                    </w:rPr>
                  </w:pPr>
                  <w:r>
                    <w:rPr>
                      <w:rFonts w:hint="eastAsia"/>
                      <w:szCs w:val="21"/>
                    </w:rPr>
                    <w:t>一般固废</w:t>
                  </w:r>
                </w:p>
              </w:tc>
              <w:tc>
                <w:tcPr>
                  <w:tcW w:w="1141" w:type="dxa"/>
                  <w:vAlign w:val="center"/>
                </w:tcPr>
                <w:p>
                  <w:pPr>
                    <w:jc w:val="center"/>
                    <w:rPr>
                      <w:szCs w:val="21"/>
                      <w:lang w:val="en-US"/>
                    </w:rPr>
                  </w:pPr>
                  <w:r>
                    <w:rPr>
                      <w:rFonts w:hint="eastAsia"/>
                      <w:szCs w:val="21"/>
                      <w:lang w:val="en-US"/>
                    </w:rPr>
                    <w:t>/</w:t>
                  </w:r>
                </w:p>
              </w:tc>
              <w:tc>
                <w:tcPr>
                  <w:tcW w:w="856" w:type="dxa"/>
                  <w:vAlign w:val="center"/>
                </w:tcPr>
                <w:p>
                  <w:pPr>
                    <w:pStyle w:val="127"/>
                    <w:spacing w:line="240" w:lineRule="auto"/>
                    <w:rPr>
                      <w:rFonts w:ascii="Times New Roman" w:hAnsi="Times New Roman" w:cs="Times New Roman"/>
                    </w:rPr>
                  </w:pPr>
                  <w:r>
                    <w:rPr>
                      <w:rFonts w:hint="eastAsia" w:ascii="Times New Roman" w:hAnsi="Times New Roman" w:cs="Times New Roman"/>
                    </w:rPr>
                    <w:t>0.2</w:t>
                  </w:r>
                </w:p>
              </w:tc>
              <w:tc>
                <w:tcPr>
                  <w:tcW w:w="2229"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dxa"/>
                  <w:vAlign w:val="center"/>
                </w:tcPr>
                <w:p>
                  <w:pPr>
                    <w:jc w:val="center"/>
                    <w:rPr>
                      <w:iCs/>
                      <w:kern w:val="0"/>
                      <w:szCs w:val="21"/>
                      <w:lang w:val="en-US"/>
                    </w:rPr>
                  </w:pPr>
                  <w:r>
                    <w:rPr>
                      <w:rFonts w:hint="eastAsia"/>
                      <w:iCs/>
                      <w:kern w:val="0"/>
                      <w:szCs w:val="21"/>
                      <w:lang w:val="en-US"/>
                    </w:rPr>
                    <w:t>4</w:t>
                  </w:r>
                </w:p>
              </w:tc>
              <w:tc>
                <w:tcPr>
                  <w:tcW w:w="1287"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废瓷粉</w:t>
                  </w:r>
                </w:p>
              </w:tc>
              <w:tc>
                <w:tcPr>
                  <w:tcW w:w="1138"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除尘</w:t>
                  </w:r>
                </w:p>
              </w:tc>
              <w:tc>
                <w:tcPr>
                  <w:tcW w:w="1140" w:type="dxa"/>
                  <w:vAlign w:val="center"/>
                </w:tcPr>
                <w:p>
                  <w:pPr>
                    <w:jc w:val="center"/>
                    <w:rPr>
                      <w:b/>
                      <w:bCs/>
                      <w:szCs w:val="21"/>
                    </w:rPr>
                  </w:pPr>
                  <w:r>
                    <w:rPr>
                      <w:rFonts w:hint="eastAsia"/>
                      <w:szCs w:val="21"/>
                    </w:rPr>
                    <w:t>一般固废</w:t>
                  </w:r>
                </w:p>
              </w:tc>
              <w:tc>
                <w:tcPr>
                  <w:tcW w:w="1141" w:type="dxa"/>
                  <w:vAlign w:val="center"/>
                </w:tcPr>
                <w:p>
                  <w:pPr>
                    <w:jc w:val="center"/>
                    <w:rPr>
                      <w:szCs w:val="21"/>
                      <w:lang w:val="en-US"/>
                    </w:rPr>
                  </w:pPr>
                  <w:r>
                    <w:rPr>
                      <w:rFonts w:hint="eastAsia"/>
                      <w:szCs w:val="21"/>
                      <w:lang w:val="en-US"/>
                    </w:rPr>
                    <w:t>/</w:t>
                  </w:r>
                </w:p>
              </w:tc>
              <w:tc>
                <w:tcPr>
                  <w:tcW w:w="856" w:type="dxa"/>
                  <w:vAlign w:val="center"/>
                </w:tcPr>
                <w:p>
                  <w:pPr>
                    <w:pStyle w:val="127"/>
                    <w:spacing w:line="240" w:lineRule="auto"/>
                    <w:rPr>
                      <w:rFonts w:hint="default" w:ascii="Times New Roman" w:hAnsi="Times New Roman" w:eastAsia="宋体" w:cs="Times New Roman"/>
                      <w:lang w:val="en-US" w:eastAsia="zh-CN"/>
                    </w:rPr>
                  </w:pPr>
                  <w:r>
                    <w:rPr>
                      <w:rFonts w:hint="eastAsia" w:ascii="Times New Roman" w:hAnsi="Times New Roman" w:cs="Times New Roman"/>
                    </w:rPr>
                    <w:t>0.</w:t>
                  </w:r>
                  <w:r>
                    <w:rPr>
                      <w:rFonts w:hint="eastAsia" w:ascii="Times New Roman" w:hAnsi="Times New Roman" w:cs="Times New Roman"/>
                      <w:lang w:val="en-US" w:eastAsia="zh-CN"/>
                    </w:rPr>
                    <w:t>0043</w:t>
                  </w:r>
                </w:p>
              </w:tc>
              <w:tc>
                <w:tcPr>
                  <w:tcW w:w="2229" w:type="dxa"/>
                  <w:vMerge w:val="continue"/>
                  <w:vAlign w:val="center"/>
                </w:tcPr>
                <w:p>
                  <w:pPr>
                    <w:pStyle w:val="127"/>
                    <w:spacing w:line="240" w:lineRule="auto"/>
                    <w:rPr>
                      <w:rFonts w:ascii="Times New Roman" w:hAnsi="Times New Roman" w:cs="Times New Roman"/>
                      <w:lang w:val="fi-FI"/>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71" w:type="dxa"/>
                  <w:vAlign w:val="center"/>
                </w:tcPr>
                <w:p>
                  <w:pPr>
                    <w:jc w:val="center"/>
                    <w:rPr>
                      <w:iCs/>
                      <w:kern w:val="0"/>
                      <w:szCs w:val="21"/>
                      <w:lang w:val="en-US"/>
                    </w:rPr>
                  </w:pPr>
                  <w:r>
                    <w:rPr>
                      <w:rFonts w:hint="eastAsia"/>
                      <w:iCs/>
                      <w:kern w:val="0"/>
                      <w:szCs w:val="21"/>
                      <w:lang w:val="en-US"/>
                    </w:rPr>
                    <w:t>5</w:t>
                  </w:r>
                </w:p>
              </w:tc>
              <w:tc>
                <w:tcPr>
                  <w:tcW w:w="1287"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生活垃圾</w:t>
                  </w:r>
                </w:p>
              </w:tc>
              <w:tc>
                <w:tcPr>
                  <w:tcW w:w="1138" w:type="dxa"/>
                  <w:vAlign w:val="center"/>
                </w:tcPr>
                <w:p>
                  <w:pPr>
                    <w:pStyle w:val="127"/>
                    <w:spacing w:line="240" w:lineRule="auto"/>
                    <w:rPr>
                      <w:rFonts w:ascii="Times New Roman" w:hAnsi="Times New Roman" w:cs="Times New Roman"/>
                      <w:lang w:val="fi-FI"/>
                    </w:rPr>
                  </w:pPr>
                  <w:r>
                    <w:rPr>
                      <w:rFonts w:hint="eastAsia" w:ascii="Times New Roman" w:hAnsi="Times New Roman" w:cs="Times New Roman"/>
                      <w:lang w:val="fi-FI"/>
                    </w:rPr>
                    <w:t>员工生活</w:t>
                  </w:r>
                </w:p>
              </w:tc>
              <w:tc>
                <w:tcPr>
                  <w:tcW w:w="1140" w:type="dxa"/>
                  <w:vAlign w:val="center"/>
                </w:tcPr>
                <w:p>
                  <w:pPr>
                    <w:jc w:val="center"/>
                    <w:rPr>
                      <w:b/>
                      <w:bCs/>
                      <w:szCs w:val="21"/>
                    </w:rPr>
                  </w:pPr>
                  <w:r>
                    <w:rPr>
                      <w:rFonts w:hint="eastAsia"/>
                      <w:szCs w:val="21"/>
                    </w:rPr>
                    <w:t>一般固废</w:t>
                  </w:r>
                </w:p>
              </w:tc>
              <w:tc>
                <w:tcPr>
                  <w:tcW w:w="1141" w:type="dxa"/>
                  <w:vAlign w:val="center"/>
                </w:tcPr>
                <w:p>
                  <w:pPr>
                    <w:jc w:val="center"/>
                    <w:rPr>
                      <w:szCs w:val="21"/>
                      <w:lang w:val="en-US"/>
                    </w:rPr>
                  </w:pPr>
                  <w:r>
                    <w:rPr>
                      <w:rFonts w:hint="eastAsia"/>
                      <w:szCs w:val="21"/>
                      <w:lang w:val="en-US"/>
                    </w:rPr>
                    <w:t>/</w:t>
                  </w:r>
                </w:p>
              </w:tc>
              <w:tc>
                <w:tcPr>
                  <w:tcW w:w="856" w:type="dxa"/>
                  <w:vAlign w:val="center"/>
                </w:tcPr>
                <w:p>
                  <w:pPr>
                    <w:pStyle w:val="127"/>
                    <w:spacing w:line="240" w:lineRule="auto"/>
                    <w:rPr>
                      <w:rFonts w:ascii="Times New Roman" w:hAnsi="Times New Roman" w:cs="Times New Roman"/>
                    </w:rPr>
                  </w:pPr>
                  <w:r>
                    <w:rPr>
                      <w:rFonts w:hint="eastAsia" w:ascii="Times New Roman" w:hAnsi="Times New Roman" w:cs="Times New Roman"/>
                    </w:rPr>
                    <w:t>0.9</w:t>
                  </w:r>
                </w:p>
              </w:tc>
              <w:tc>
                <w:tcPr>
                  <w:tcW w:w="2229" w:type="dxa"/>
                  <w:vAlign w:val="center"/>
                </w:tcPr>
                <w:p>
                  <w:pPr>
                    <w:pStyle w:val="127"/>
                    <w:spacing w:line="240" w:lineRule="auto"/>
                    <w:rPr>
                      <w:rFonts w:ascii="Times New Roman" w:hAnsi="Times New Roman" w:cs="Times New Roman"/>
                    </w:rPr>
                  </w:pPr>
                  <w:r>
                    <w:rPr>
                      <w:rFonts w:hint="eastAsia" w:ascii="Times New Roman" w:hAnsi="Times New Roman" w:cs="Times New Roman"/>
                      <w:lang w:val="fi-FI"/>
                    </w:rPr>
                    <w:t>收集后由环卫部门统一清运</w:t>
                  </w:r>
                </w:p>
              </w:tc>
            </w:tr>
          </w:tbl>
          <w:p>
            <w:pPr>
              <w:snapToGrid w:val="0"/>
              <w:spacing w:line="360" w:lineRule="auto"/>
              <w:ind w:firstLine="480" w:firstLineChars="200"/>
              <w:rPr>
                <w:sz w:val="24"/>
              </w:rPr>
            </w:pPr>
            <w:r>
              <w:rPr>
                <w:sz w:val="24"/>
              </w:rPr>
              <w:t>本项目产生的一般工业固体废物</w:t>
            </w:r>
            <w:r>
              <w:rPr>
                <w:rFonts w:hint="eastAsia"/>
                <w:sz w:val="24"/>
              </w:rPr>
              <w:t>与</w:t>
            </w:r>
            <w:r>
              <w:rPr>
                <w:sz w:val="24"/>
              </w:rPr>
              <w:t>生活垃圾均应分类收集和贮存。项目建成后，</w:t>
            </w:r>
            <w:r>
              <w:rPr>
                <w:rFonts w:hint="eastAsia"/>
                <w:sz w:val="24"/>
                <w:lang w:eastAsia="zh-CN"/>
              </w:rPr>
              <w:t>废陶瓷、陶瓷泥料、废次品、废瓷粉</w:t>
            </w:r>
            <w:r>
              <w:rPr>
                <w:sz w:val="24"/>
              </w:rPr>
              <w:t>为一般工业废物，堆放在一般工业固体废物暂存场所进行暂存；生活垃圾暂存在生活垃圾堆放点暂存。</w:t>
            </w:r>
          </w:p>
          <w:p>
            <w:pPr>
              <w:snapToGrid w:val="0"/>
              <w:spacing w:line="360" w:lineRule="auto"/>
              <w:ind w:firstLine="480" w:firstLineChars="200"/>
              <w:rPr>
                <w:sz w:val="24"/>
              </w:rPr>
            </w:pPr>
            <w:r>
              <w:rPr>
                <w:sz w:val="24"/>
              </w:rPr>
              <w:t>(2)包装、运输过程中散落、泄露的环境影响</w:t>
            </w:r>
          </w:p>
          <w:p>
            <w:pPr>
              <w:snapToGrid w:val="0"/>
              <w:spacing w:line="360" w:lineRule="auto"/>
              <w:ind w:firstLine="480" w:firstLineChars="200"/>
              <w:rPr>
                <w:sz w:val="24"/>
              </w:rPr>
            </w:pPr>
            <w:r>
              <w:rPr>
                <w:sz w:val="24"/>
              </w:rPr>
              <w:t>本项目一般固体废物和生活垃圾收集、运输过程将对环境造成一定的影响。</w:t>
            </w:r>
          </w:p>
          <w:p>
            <w:pPr>
              <w:snapToGrid w:val="0"/>
              <w:spacing w:line="360" w:lineRule="auto"/>
              <w:ind w:firstLine="480" w:firstLineChars="200"/>
              <w:rPr>
                <w:sz w:val="24"/>
              </w:rPr>
            </w:pPr>
            <w:r>
              <w:rPr>
                <w:rFonts w:hint="eastAsia" w:ascii="宋体" w:hAnsi="宋体" w:cs="宋体"/>
                <w:sz w:val="24"/>
              </w:rPr>
              <w:t>①</w:t>
            </w:r>
            <w:r>
              <w:rPr>
                <w:sz w:val="24"/>
              </w:rPr>
              <w:t>噪声影响</w:t>
            </w:r>
          </w:p>
          <w:p>
            <w:pPr>
              <w:snapToGrid w:val="0"/>
              <w:spacing w:line="360" w:lineRule="auto"/>
              <w:ind w:firstLine="480" w:firstLineChars="200"/>
              <w:rPr>
                <w:sz w:val="24"/>
              </w:rPr>
            </w:pPr>
            <w:r>
              <w:rPr>
                <w:sz w:val="24"/>
              </w:rPr>
              <w:t>废物在运输过程中，运输车辆将对环境造成一定的噪声影响，一方面本项目一般工业固体废物是不定期地进行运输，不会对环境造成持续频发的噪声污染；另一方面本项目生活垃圾运输过程中垃圾运输车辆产生的噪声较小，对环境造成的影响也很小。</w:t>
            </w:r>
          </w:p>
          <w:p>
            <w:pPr>
              <w:snapToGrid w:val="0"/>
              <w:spacing w:line="360" w:lineRule="auto"/>
              <w:ind w:firstLine="480" w:firstLineChars="200"/>
              <w:rPr>
                <w:sz w:val="24"/>
              </w:rPr>
            </w:pPr>
            <w:r>
              <w:rPr>
                <w:rFonts w:hint="eastAsia" w:ascii="宋体" w:hAnsi="宋体" w:cs="宋体"/>
                <w:sz w:val="24"/>
              </w:rPr>
              <w:t>②</w:t>
            </w:r>
            <w:r>
              <w:rPr>
                <w:sz w:val="24"/>
              </w:rPr>
              <w:t>气味影响</w:t>
            </w:r>
          </w:p>
          <w:p>
            <w:pPr>
              <w:snapToGrid w:val="0"/>
              <w:spacing w:line="360" w:lineRule="auto"/>
              <w:ind w:firstLine="480" w:firstLineChars="200"/>
              <w:rPr>
                <w:sz w:val="24"/>
              </w:rPr>
            </w:pPr>
            <w:r>
              <w:rPr>
                <w:sz w:val="24"/>
              </w:rPr>
              <w:t>生活垃圾在运输的过程中，可能对环境造成一定的气味影响，因此，</w:t>
            </w:r>
            <w:r>
              <w:rPr>
                <w:rFonts w:hint="eastAsia"/>
                <w:sz w:val="24"/>
              </w:rPr>
              <w:t>生活垃圾</w:t>
            </w:r>
            <w:r>
              <w:rPr>
                <w:sz w:val="24"/>
              </w:rPr>
              <w:t>在运输过程中需采用密封式运输车辆，车辆内设置渗滤液收集装置，在采取上述措施后，运输过程中基本可以控制运输车辆的气味泄露问题。</w:t>
            </w:r>
          </w:p>
          <w:p>
            <w:pPr>
              <w:snapToGrid w:val="0"/>
              <w:spacing w:line="360" w:lineRule="auto"/>
              <w:ind w:firstLine="480" w:firstLineChars="200"/>
              <w:rPr>
                <w:sz w:val="24"/>
              </w:rPr>
            </w:pPr>
            <w:r>
              <w:rPr>
                <w:sz w:val="24"/>
              </w:rPr>
              <w:t>(3)堆放、贮存场所的环境影响</w:t>
            </w:r>
          </w:p>
          <w:p>
            <w:pPr>
              <w:snapToGrid w:val="0"/>
              <w:spacing w:line="360" w:lineRule="auto"/>
              <w:ind w:firstLine="480" w:firstLineChars="200"/>
              <w:rPr>
                <w:sz w:val="24"/>
              </w:rPr>
            </w:pPr>
            <w:r>
              <w:rPr>
                <w:rFonts w:hint="eastAsia" w:ascii="宋体" w:hAnsi="宋体" w:cs="宋体"/>
                <w:sz w:val="24"/>
              </w:rPr>
              <w:t>①</w:t>
            </w:r>
            <w:r>
              <w:rPr>
                <w:sz w:val="24"/>
              </w:rPr>
              <w:t>一般工业固废应按照《一般工业固体废物贮存、处置场污染控制标准》及其修改单要求进行设计和建设。</w:t>
            </w:r>
          </w:p>
          <w:p>
            <w:pPr>
              <w:snapToGrid w:val="0"/>
              <w:spacing w:line="360" w:lineRule="auto"/>
              <w:ind w:firstLine="480" w:firstLineChars="200"/>
              <w:rPr>
                <w:sz w:val="24"/>
              </w:rPr>
            </w:pPr>
            <w:r>
              <w:rPr>
                <w:rFonts w:hint="eastAsia" w:ascii="宋体" w:hAnsi="宋体" w:cs="宋体"/>
                <w:sz w:val="24"/>
              </w:rPr>
              <w:t>②</w:t>
            </w:r>
            <w:r>
              <w:rPr>
                <w:sz w:val="24"/>
              </w:rPr>
              <w:t>做好防渗、防风、防雨，防止废液泄露使污染范围扩大；固体废物应按照规范要求及时对其进行处理处置，减少堆放、贮存过程中的异味产生，降低贮存场所本身对环境的影响。</w:t>
            </w:r>
          </w:p>
          <w:p>
            <w:pPr>
              <w:snapToGrid w:val="0"/>
              <w:spacing w:line="360" w:lineRule="auto"/>
              <w:ind w:firstLine="480" w:firstLineChars="200"/>
              <w:rPr>
                <w:sz w:val="24"/>
              </w:rPr>
            </w:pPr>
            <w:r>
              <w:rPr>
                <w:sz w:val="24"/>
              </w:rPr>
              <w:t>采取以上措施后</w:t>
            </w:r>
            <w:r>
              <w:rPr>
                <w:rFonts w:hint="eastAsia"/>
                <w:sz w:val="24"/>
              </w:rPr>
              <w:t>固废</w:t>
            </w:r>
            <w:r>
              <w:rPr>
                <w:sz w:val="24"/>
              </w:rPr>
              <w:t>堆放、贮存对周围环境造成的影响较小。</w:t>
            </w:r>
          </w:p>
          <w:p>
            <w:pPr>
              <w:snapToGrid w:val="0"/>
              <w:spacing w:line="360" w:lineRule="auto"/>
              <w:ind w:firstLine="480" w:firstLineChars="200"/>
              <w:rPr>
                <w:sz w:val="24"/>
              </w:rPr>
            </w:pPr>
            <w:r>
              <w:rPr>
                <w:sz w:val="24"/>
              </w:rPr>
              <w:t>(4)固废综合利用、处理处置的环境影响</w:t>
            </w:r>
          </w:p>
          <w:p>
            <w:pPr>
              <w:snapToGrid w:val="0"/>
              <w:spacing w:line="360" w:lineRule="auto"/>
              <w:ind w:firstLine="480" w:firstLineChars="200"/>
              <w:rPr>
                <w:sz w:val="24"/>
              </w:rPr>
            </w:pPr>
            <w:r>
              <w:rPr>
                <w:sz w:val="24"/>
              </w:rPr>
              <w:t>本项目产生</w:t>
            </w:r>
            <w:r>
              <w:rPr>
                <w:rFonts w:hint="eastAsia"/>
                <w:sz w:val="24"/>
              </w:rPr>
              <w:t>的</w:t>
            </w:r>
            <w:r>
              <w:rPr>
                <w:sz w:val="24"/>
              </w:rPr>
              <w:t>一般固废均收集后出售给相关单位综合利用；生活垃圾委托当地环卫所统一收集处理。</w:t>
            </w:r>
          </w:p>
          <w:p>
            <w:pPr>
              <w:snapToGrid w:val="0"/>
              <w:spacing w:line="360" w:lineRule="auto"/>
              <w:ind w:firstLine="480" w:firstLineChars="200"/>
              <w:rPr>
                <w:sz w:val="24"/>
              </w:rPr>
            </w:pPr>
            <w:r>
              <w:rPr>
                <w:sz w:val="24"/>
              </w:rPr>
              <w:t>建设项目强化废物产生、收集、贮存各环节的管理，杜绝固废在厂区内散失、渗漏。做好固体废物在厂区内的收集和储存相关防护工作，收集后进行有效处置。建设完善的规章制度，以降低固体废物散落对周围环境的影响。</w:t>
            </w:r>
          </w:p>
          <w:p>
            <w:pPr>
              <w:spacing w:line="360" w:lineRule="auto"/>
              <w:ind w:firstLine="480" w:firstLineChars="200"/>
              <w:rPr>
                <w:sz w:val="24"/>
              </w:rPr>
            </w:pPr>
            <w:r>
              <w:rPr>
                <w:sz w:val="24"/>
              </w:rPr>
              <w:t>因此，本项目产生的固体废物基本实现了资源化、无害化、减量化处理，不会产生二次污染，对周围环境影响较小。</w:t>
            </w:r>
          </w:p>
          <w:p>
            <w:pPr>
              <w:spacing w:line="360" w:lineRule="auto"/>
              <w:rPr>
                <w:kern w:val="0"/>
                <w:sz w:val="24"/>
              </w:rPr>
            </w:pPr>
            <w:r>
              <w:rPr>
                <w:rFonts w:hint="eastAsia"/>
                <w:kern w:val="0"/>
                <w:sz w:val="24"/>
                <w:lang w:val="en-US" w:eastAsia="zh-CN"/>
              </w:rPr>
              <w:t>4、</w:t>
            </w:r>
            <w:r>
              <w:rPr>
                <w:rFonts w:hint="eastAsia"/>
                <w:kern w:val="0"/>
                <w:sz w:val="24"/>
              </w:rPr>
              <w:t>声环境影响分析</w:t>
            </w:r>
          </w:p>
          <w:p>
            <w:pPr>
              <w:spacing w:line="360" w:lineRule="auto"/>
              <w:ind w:firstLine="480" w:firstLineChars="200"/>
              <w:rPr>
                <w:sz w:val="24"/>
              </w:rPr>
            </w:pPr>
            <w:r>
              <w:rPr>
                <w:sz w:val="24"/>
              </w:rPr>
              <w:t>本项目噪声设备主要为</w:t>
            </w:r>
            <w:r>
              <w:rPr>
                <w:rFonts w:hint="eastAsia"/>
                <w:sz w:val="24"/>
              </w:rPr>
              <w:t>加工中心、磨床、铣床</w:t>
            </w:r>
            <w:r>
              <w:rPr>
                <w:sz w:val="24"/>
              </w:rPr>
              <w:t>等，</w:t>
            </w:r>
            <w:r>
              <w:rPr>
                <w:kern w:val="0"/>
                <w:sz w:val="24"/>
              </w:rPr>
              <w:t>噪声值在7</w:t>
            </w:r>
            <w:r>
              <w:rPr>
                <w:rFonts w:hint="eastAsia"/>
                <w:kern w:val="0"/>
                <w:sz w:val="24"/>
                <w:lang w:val="en-US"/>
              </w:rPr>
              <w:t>0</w:t>
            </w:r>
            <w:r>
              <w:rPr>
                <w:kern w:val="0"/>
                <w:sz w:val="24"/>
              </w:rPr>
              <w:t>~</w:t>
            </w:r>
            <w:r>
              <w:rPr>
                <w:rFonts w:hint="eastAsia"/>
                <w:kern w:val="0"/>
                <w:sz w:val="24"/>
                <w:lang w:val="en-US"/>
              </w:rPr>
              <w:t>90</w:t>
            </w:r>
            <w:r>
              <w:rPr>
                <w:kern w:val="0"/>
                <w:sz w:val="24"/>
              </w:rPr>
              <w:t>dB（A）之间，项目</w:t>
            </w:r>
            <w:r>
              <w:rPr>
                <w:rFonts w:hint="eastAsia"/>
                <w:kern w:val="0"/>
                <w:sz w:val="24"/>
              </w:rPr>
              <w:t>实行</w:t>
            </w:r>
            <w:r>
              <w:rPr>
                <w:rFonts w:hint="eastAsia"/>
                <w:kern w:val="0"/>
                <w:sz w:val="24"/>
                <w:lang w:val="en-US"/>
              </w:rPr>
              <w:t>8小时</w:t>
            </w:r>
            <w:r>
              <w:rPr>
                <w:kern w:val="0"/>
                <w:sz w:val="24"/>
              </w:rPr>
              <w:t>工作生产制度，夜间</w:t>
            </w:r>
            <w:r>
              <w:rPr>
                <w:rFonts w:hint="eastAsia"/>
                <w:kern w:val="0"/>
                <w:sz w:val="24"/>
              </w:rPr>
              <w:t>不</w:t>
            </w:r>
            <w:r>
              <w:rPr>
                <w:kern w:val="0"/>
                <w:sz w:val="24"/>
              </w:rPr>
              <w:t>进行生产。</w:t>
            </w:r>
            <w:r>
              <w:rPr>
                <w:sz w:val="24"/>
              </w:rPr>
              <w:t>本次评价拟采用《环境影响评价技术导则声环境》（HJ2.4-2009）推荐的噪声传播衰减方法进行预测，预测模式如下。</w:t>
            </w:r>
          </w:p>
          <w:p>
            <w:pPr>
              <w:spacing w:line="360" w:lineRule="auto"/>
              <w:ind w:firstLine="480" w:firstLineChars="200"/>
              <w:rPr>
                <w:sz w:val="24"/>
              </w:rPr>
            </w:pPr>
            <w:r>
              <w:rPr>
                <w:sz w:val="24"/>
              </w:rPr>
              <w:t>A、室外声源在预测点的声压级</w:t>
            </w:r>
          </w:p>
          <w:p>
            <w:pPr>
              <w:spacing w:line="360" w:lineRule="auto"/>
              <w:jc w:val="center"/>
            </w:pPr>
            <w:r>
              <w:rPr>
                <w:sz w:val="24"/>
              </w:rPr>
              <w:t>L</w:t>
            </w:r>
            <w:r>
              <w:rPr>
                <w:sz w:val="24"/>
                <w:vertAlign w:val="subscript"/>
              </w:rPr>
              <w:t>pi</w:t>
            </w:r>
            <w:r>
              <w:rPr>
                <w:sz w:val="24"/>
              </w:rPr>
              <w:t>=L</w:t>
            </w:r>
            <w:r>
              <w:rPr>
                <w:sz w:val="24"/>
                <w:vertAlign w:val="subscript"/>
              </w:rPr>
              <w:t>Oi</w:t>
            </w:r>
            <w:r>
              <w:rPr>
                <w:sz w:val="24"/>
              </w:rPr>
              <w:t>—20Lg（r</w:t>
            </w:r>
            <w:r>
              <w:rPr>
                <w:sz w:val="24"/>
                <w:vertAlign w:val="subscript"/>
              </w:rPr>
              <w:t>i</w:t>
            </w:r>
            <w:r>
              <w:rPr>
                <w:sz w:val="24"/>
              </w:rPr>
              <w:t>/r</w:t>
            </w:r>
            <w:r>
              <w:rPr>
                <w:sz w:val="24"/>
                <w:vertAlign w:val="subscript"/>
              </w:rPr>
              <w:t>oi</w:t>
            </w:r>
            <w:r>
              <w:rPr>
                <w:sz w:val="24"/>
              </w:rPr>
              <w:t>）—△LdB(A)</w:t>
            </w:r>
          </w:p>
          <w:p>
            <w:pPr>
              <w:spacing w:line="360" w:lineRule="auto"/>
              <w:ind w:firstLine="480" w:firstLineChars="200"/>
              <w:rPr>
                <w:sz w:val="24"/>
              </w:rPr>
            </w:pPr>
            <w:r>
              <w:rPr>
                <w:sz w:val="24"/>
              </w:rPr>
              <w:t>式中，L</w:t>
            </w:r>
            <w:r>
              <w:rPr>
                <w:sz w:val="24"/>
                <w:vertAlign w:val="subscript"/>
              </w:rPr>
              <w:t>Pi</w:t>
            </w:r>
            <w:r>
              <w:rPr>
                <w:sz w:val="24"/>
              </w:rPr>
              <w:t>——第i个噪声源噪声的距离的衰减值，dB(A)；</w:t>
            </w:r>
          </w:p>
          <w:p>
            <w:pPr>
              <w:spacing w:line="360" w:lineRule="auto"/>
              <w:ind w:firstLine="1200" w:firstLineChars="500"/>
              <w:rPr>
                <w:sz w:val="24"/>
              </w:rPr>
            </w:pPr>
            <w:r>
              <w:rPr>
                <w:sz w:val="24"/>
              </w:rPr>
              <w:t>L</w:t>
            </w:r>
            <w:r>
              <w:rPr>
                <w:sz w:val="24"/>
                <w:vertAlign w:val="subscript"/>
              </w:rPr>
              <w:t>0i</w:t>
            </w:r>
            <w:r>
              <w:rPr>
                <w:sz w:val="24"/>
              </w:rPr>
              <w:t>——第i个噪声源的A声级，dB(A)；</w:t>
            </w:r>
          </w:p>
          <w:p>
            <w:pPr>
              <w:spacing w:line="360" w:lineRule="auto"/>
              <w:ind w:firstLine="1200" w:firstLineChars="500"/>
              <w:rPr>
                <w:sz w:val="24"/>
              </w:rPr>
            </w:pPr>
            <w:r>
              <w:rPr>
                <w:sz w:val="24"/>
              </w:rPr>
              <w:t>r</w:t>
            </w:r>
            <w:r>
              <w:rPr>
                <w:sz w:val="24"/>
                <w:vertAlign w:val="subscript"/>
              </w:rPr>
              <w:t>i</w:t>
            </w:r>
            <w:r>
              <w:rPr>
                <w:sz w:val="24"/>
              </w:rPr>
              <w:t>——第i个噪声源噪声衰减距离，m；</w:t>
            </w:r>
          </w:p>
          <w:p>
            <w:pPr>
              <w:spacing w:line="360" w:lineRule="auto"/>
              <w:ind w:firstLine="1200" w:firstLineChars="500"/>
              <w:rPr>
                <w:sz w:val="24"/>
              </w:rPr>
            </w:pPr>
            <w:r>
              <w:rPr>
                <w:sz w:val="24"/>
              </w:rPr>
              <w:t>r</w:t>
            </w:r>
            <w:r>
              <w:rPr>
                <w:sz w:val="24"/>
                <w:vertAlign w:val="subscript"/>
              </w:rPr>
              <w:t>0i</w:t>
            </w:r>
            <w:r>
              <w:rPr>
                <w:sz w:val="24"/>
              </w:rPr>
              <w:t>——距离声源1m处，m；</w:t>
            </w:r>
          </w:p>
          <w:p>
            <w:pPr>
              <w:spacing w:line="360" w:lineRule="auto"/>
              <w:ind w:firstLine="1200" w:firstLineChars="500"/>
              <w:rPr>
                <w:sz w:val="24"/>
              </w:rPr>
            </w:pPr>
            <w:r>
              <w:rPr>
                <w:sz w:val="24"/>
              </w:rPr>
              <w:t>△L——其它环境因素引起的衰减值，dB(A)；</w:t>
            </w:r>
          </w:p>
          <w:p>
            <w:pPr>
              <w:spacing w:line="360" w:lineRule="auto"/>
              <w:ind w:firstLine="480" w:firstLineChars="200"/>
              <w:rPr>
                <w:bCs/>
                <w:sz w:val="24"/>
              </w:rPr>
            </w:pPr>
            <w:r>
              <w:rPr>
                <w:bCs/>
                <w:sz w:val="24"/>
              </w:rPr>
              <w:t>B、多源叠加公式：</w:t>
            </w:r>
          </w:p>
          <w:p>
            <w:pPr>
              <w:adjustRightInd w:val="0"/>
              <w:snapToGrid w:val="0"/>
              <w:jc w:val="center"/>
              <w:rPr>
                <w:bCs/>
                <w:sz w:val="28"/>
              </w:rPr>
            </w:pPr>
            <w:r>
              <w:rPr>
                <w:bCs/>
                <w:position w:val="-28"/>
                <w:sz w:val="28"/>
                <w:lang w:val="en-US"/>
              </w:rPr>
              <w:drawing>
                <wp:inline distT="0" distB="0" distL="114300" distR="114300">
                  <wp:extent cx="1219200" cy="431800"/>
                  <wp:effectExtent l="0" t="0" r="0" b="571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5"/>
                          <a:stretch>
                            <a:fillRect/>
                          </a:stretch>
                        </pic:blipFill>
                        <pic:spPr>
                          <a:xfrm>
                            <a:off x="0" y="0"/>
                            <a:ext cx="1219200" cy="431800"/>
                          </a:xfrm>
                          <a:prstGeom prst="rect">
                            <a:avLst/>
                          </a:prstGeom>
                          <a:noFill/>
                          <a:ln w="9525">
                            <a:noFill/>
                          </a:ln>
                        </pic:spPr>
                      </pic:pic>
                    </a:graphicData>
                  </a:graphic>
                </wp:inline>
              </w:drawing>
            </w:r>
          </w:p>
          <w:p>
            <w:pPr>
              <w:spacing w:line="360" w:lineRule="auto"/>
              <w:ind w:firstLine="480" w:firstLineChars="200"/>
              <w:rPr>
                <w:bCs/>
                <w:sz w:val="24"/>
              </w:rPr>
            </w:pPr>
            <w:r>
              <w:rPr>
                <w:bCs/>
                <w:sz w:val="24"/>
              </w:rPr>
              <w:t>上述式中：</w:t>
            </w:r>
            <w:r>
              <w:rPr>
                <w:bCs/>
                <w:i/>
                <w:sz w:val="24"/>
              </w:rPr>
              <w:t>L</w:t>
            </w:r>
            <w:r>
              <w:rPr>
                <w:bCs/>
                <w:i/>
                <w:sz w:val="24"/>
                <w:vertAlign w:val="subscript"/>
              </w:rPr>
              <w:t>(r)</w:t>
            </w:r>
            <w:r>
              <w:rPr>
                <w:bCs/>
                <w:sz w:val="24"/>
              </w:rPr>
              <w:t>——距离噪声源r处的等效A声级值，dB(A)；</w:t>
            </w:r>
          </w:p>
          <w:p>
            <w:pPr>
              <w:spacing w:line="360" w:lineRule="auto"/>
              <w:ind w:firstLine="1680" w:firstLineChars="700"/>
              <w:rPr>
                <w:bCs/>
                <w:sz w:val="24"/>
              </w:rPr>
            </w:pPr>
            <w:r>
              <w:rPr>
                <w:bCs/>
                <w:i/>
                <w:sz w:val="24"/>
              </w:rPr>
              <w:t>L</w:t>
            </w:r>
            <w:r>
              <w:rPr>
                <w:bCs/>
                <w:i/>
                <w:sz w:val="24"/>
                <w:vertAlign w:val="subscript"/>
              </w:rPr>
              <w:t>(r0)</w:t>
            </w:r>
            <w:r>
              <w:rPr>
                <w:bCs/>
                <w:sz w:val="24"/>
              </w:rPr>
              <w:t>——距离噪声源r</w:t>
            </w:r>
            <w:r>
              <w:rPr>
                <w:bCs/>
                <w:sz w:val="24"/>
                <w:vertAlign w:val="subscript"/>
              </w:rPr>
              <w:t>0</w:t>
            </w:r>
            <w:r>
              <w:rPr>
                <w:bCs/>
                <w:sz w:val="24"/>
              </w:rPr>
              <w:t>处的等效A声级值，dB(A)；</w:t>
            </w:r>
          </w:p>
          <w:p>
            <w:pPr>
              <w:tabs>
                <w:tab w:val="left" w:pos="0"/>
              </w:tabs>
              <w:spacing w:line="360" w:lineRule="auto"/>
              <w:ind w:firstLine="1680" w:firstLineChars="700"/>
              <w:rPr>
                <w:bCs/>
                <w:sz w:val="24"/>
              </w:rPr>
            </w:pPr>
            <w:r>
              <w:rPr>
                <w:bCs/>
                <w:i/>
                <w:sz w:val="24"/>
              </w:rPr>
              <w:t>r</w:t>
            </w:r>
            <w:r>
              <w:rPr>
                <w:bCs/>
                <w:sz w:val="24"/>
              </w:rPr>
              <w:t>——预测点距噪声源距离，（m）；</w:t>
            </w:r>
          </w:p>
          <w:p>
            <w:pPr>
              <w:tabs>
                <w:tab w:val="left" w:pos="0"/>
              </w:tabs>
              <w:spacing w:line="360" w:lineRule="auto"/>
              <w:ind w:firstLine="1680" w:firstLineChars="700"/>
              <w:rPr>
                <w:bCs/>
                <w:sz w:val="24"/>
              </w:rPr>
            </w:pPr>
            <w:r>
              <w:rPr>
                <w:bCs/>
                <w:i/>
                <w:sz w:val="24"/>
              </w:rPr>
              <w:t>r</w:t>
            </w:r>
            <w:r>
              <w:rPr>
                <w:bCs/>
                <w:i/>
                <w:sz w:val="24"/>
                <w:vertAlign w:val="subscript"/>
              </w:rPr>
              <w:t>0</w:t>
            </w:r>
            <w:r>
              <w:rPr>
                <w:bCs/>
                <w:sz w:val="24"/>
              </w:rPr>
              <w:t>——源强外1m处；</w:t>
            </w:r>
          </w:p>
          <w:p>
            <w:pPr>
              <w:tabs>
                <w:tab w:val="left" w:pos="0"/>
              </w:tabs>
              <w:spacing w:line="360" w:lineRule="auto"/>
              <w:ind w:firstLine="1680" w:firstLineChars="700"/>
              <w:rPr>
                <w:bCs/>
                <w:sz w:val="24"/>
              </w:rPr>
            </w:pPr>
            <w:r>
              <w:rPr>
                <w:bCs/>
                <w:i/>
                <w:sz w:val="24"/>
              </w:rPr>
              <w:t>L</w:t>
            </w:r>
            <w:r>
              <w:rPr>
                <w:bCs/>
                <w:sz w:val="24"/>
              </w:rPr>
              <w:t>——总等效A声级值，dB(A)；</w:t>
            </w:r>
          </w:p>
          <w:p>
            <w:pPr>
              <w:tabs>
                <w:tab w:val="left" w:pos="0"/>
              </w:tabs>
              <w:spacing w:line="360" w:lineRule="auto"/>
              <w:ind w:firstLine="1680" w:firstLineChars="700"/>
              <w:rPr>
                <w:bCs/>
                <w:sz w:val="24"/>
              </w:rPr>
            </w:pPr>
            <w:r>
              <w:rPr>
                <w:bCs/>
                <w:i/>
                <w:sz w:val="24"/>
              </w:rPr>
              <w:t>L</w:t>
            </w:r>
            <w:r>
              <w:rPr>
                <w:bCs/>
                <w:i/>
                <w:sz w:val="24"/>
                <w:vertAlign w:val="subscript"/>
              </w:rPr>
              <w:t>i</w:t>
            </w:r>
            <w:r>
              <w:rPr>
                <w:bCs/>
                <w:sz w:val="24"/>
              </w:rPr>
              <w:t>——第i个声源的等效A声压级值，dB(A)；</w:t>
            </w:r>
          </w:p>
          <w:p>
            <w:pPr>
              <w:tabs>
                <w:tab w:val="left" w:pos="0"/>
              </w:tabs>
              <w:spacing w:line="360" w:lineRule="auto"/>
              <w:ind w:firstLine="1680" w:firstLineChars="700"/>
              <w:rPr>
                <w:bCs/>
                <w:sz w:val="24"/>
              </w:rPr>
            </w:pPr>
            <w:r>
              <w:rPr>
                <w:bCs/>
                <w:i/>
                <w:sz w:val="24"/>
              </w:rPr>
              <w:t>n</w:t>
            </w:r>
            <w:r>
              <w:rPr>
                <w:bCs/>
                <w:sz w:val="24"/>
              </w:rPr>
              <w:t>——声源数量。</w:t>
            </w:r>
          </w:p>
          <w:p>
            <w:pPr>
              <w:pStyle w:val="1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表7-</w:t>
            </w:r>
            <w:r>
              <w:rPr>
                <w:rFonts w:hint="eastAsia" w:hAnsi="宋体"/>
                <w:color w:val="000000" w:themeColor="text1"/>
                <w:sz w:val="24"/>
                <w:szCs w:val="24"/>
                <w:lang w:val="en-US" w:eastAsia="zh-CN"/>
                <w14:textFill>
                  <w14:solidFill>
                    <w14:schemeClr w14:val="tx1"/>
                  </w14:solidFill>
                </w14:textFill>
              </w:rPr>
              <w:t>12</w:t>
            </w:r>
            <w:r>
              <w:rPr>
                <w:rFonts w:hAnsi="宋体"/>
                <w:color w:val="000000" w:themeColor="text1"/>
                <w:sz w:val="24"/>
                <w:szCs w:val="24"/>
                <w14:textFill>
                  <w14:solidFill>
                    <w14:schemeClr w14:val="tx1"/>
                  </w14:solidFill>
                </w14:textFill>
              </w:rPr>
              <w:t xml:space="preserve">  噪声影响预测结果</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476"/>
              <w:gridCol w:w="1016"/>
              <w:gridCol w:w="831"/>
              <w:gridCol w:w="830"/>
              <w:gridCol w:w="591"/>
              <w:gridCol w:w="525"/>
              <w:gridCol w:w="555"/>
              <w:gridCol w:w="583"/>
              <w:gridCol w:w="1453"/>
              <w:gridCol w:w="1453"/>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492" w:type="dxa"/>
                  <w:gridSpan w:val="2"/>
                  <w:vMerge w:val="restart"/>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噪声源</w:t>
                  </w:r>
                </w:p>
              </w:tc>
              <w:tc>
                <w:tcPr>
                  <w:tcW w:w="831" w:type="dxa"/>
                  <w:vMerge w:val="restart"/>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数量</w:t>
                  </w:r>
                </w:p>
                <w:p>
                  <w:pPr>
                    <w:adjustRightInd w:val="0"/>
                    <w:snapToGrid w:val="0"/>
                    <w:spacing w:line="300" w:lineRule="exact"/>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（台</w:t>
                  </w:r>
                  <w:r>
                    <w:rPr>
                      <w:rFonts w:hint="eastAsia"/>
                      <w:b/>
                      <w:bCs/>
                      <w:color w:val="000000" w:themeColor="text1"/>
                      <w:szCs w:val="22"/>
                      <w:lang w:val="en-US"/>
                      <w14:textFill>
                        <w14:solidFill>
                          <w14:schemeClr w14:val="tx1"/>
                        </w14:solidFill>
                      </w14:textFill>
                    </w:rPr>
                    <w:t>/套</w:t>
                  </w:r>
                  <w:r>
                    <w:rPr>
                      <w:rFonts w:hint="eastAsia"/>
                      <w:b/>
                      <w:bCs/>
                      <w:color w:val="000000" w:themeColor="text1"/>
                      <w:szCs w:val="22"/>
                      <w14:textFill>
                        <w14:solidFill>
                          <w14:schemeClr w14:val="tx1"/>
                        </w14:solidFill>
                      </w14:textFill>
                    </w:rPr>
                    <w:t>）</w:t>
                  </w:r>
                </w:p>
              </w:tc>
              <w:tc>
                <w:tcPr>
                  <w:tcW w:w="830" w:type="dxa"/>
                  <w:vMerge w:val="restart"/>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rFonts w:hint="eastAsia"/>
                      <w:b/>
                      <w:bCs/>
                      <w:color w:val="000000" w:themeColor="text1"/>
                      <w:szCs w:val="22"/>
                      <w14:textFill>
                        <w14:solidFill>
                          <w14:schemeClr w14:val="tx1"/>
                        </w14:solidFill>
                      </w14:textFill>
                    </w:rPr>
                    <w:t>噪声</w:t>
                  </w:r>
                  <w:r>
                    <w:rPr>
                      <w:b/>
                      <w:bCs/>
                      <w:color w:val="000000" w:themeColor="text1"/>
                      <w:szCs w:val="22"/>
                      <w14:textFill>
                        <w14:solidFill>
                          <w14:schemeClr w14:val="tx1"/>
                        </w14:solidFill>
                      </w14:textFill>
                    </w:rPr>
                    <w:t>源强dB(A)</w:t>
                  </w:r>
                </w:p>
              </w:tc>
              <w:tc>
                <w:tcPr>
                  <w:tcW w:w="2254" w:type="dxa"/>
                  <w:gridSpan w:val="4"/>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距厂界距离m</w:t>
                  </w:r>
                </w:p>
              </w:tc>
              <w:tc>
                <w:tcPr>
                  <w:tcW w:w="1453" w:type="dxa"/>
                  <w:tcBorders>
                    <w:tl2br w:val="nil"/>
                    <w:tr2bl w:val="nil"/>
                  </w:tcBorders>
                  <w:vAlign w:val="center"/>
                </w:tcPr>
                <w:p>
                  <w:pPr>
                    <w:pStyle w:val="214"/>
                    <w:widowControl w:val="0"/>
                    <w:pBdr>
                      <w:bottom w:val="none" w:color="auto" w:sz="0" w:space="0"/>
                      <w:right w:val="none" w:color="auto" w:sz="0" w:space="0"/>
                    </w:pBdr>
                    <w:adjustRightInd w:val="0"/>
                    <w:snapToGrid w:val="0"/>
                    <w:spacing w:before="0" w:beforeAutospacing="0" w:after="0" w:afterAutospacing="0" w:line="300" w:lineRule="exact"/>
                    <w:rPr>
                      <w:rFonts w:eastAsia="宋体"/>
                      <w:b/>
                      <w:bCs/>
                      <w:color w:val="000000" w:themeColor="text1"/>
                      <w:kern w:val="2"/>
                      <w:szCs w:val="22"/>
                      <w14:textFill>
                        <w14:solidFill>
                          <w14:schemeClr w14:val="tx1"/>
                        </w14:solidFill>
                      </w14:textFill>
                    </w:rPr>
                  </w:pPr>
                  <w:r>
                    <w:rPr>
                      <w:rFonts w:eastAsia="宋体"/>
                      <w:b/>
                      <w:bCs/>
                      <w:color w:val="000000" w:themeColor="text1"/>
                      <w:kern w:val="2"/>
                      <w:szCs w:val="22"/>
                      <w14:textFill>
                        <w14:solidFill>
                          <w14:schemeClr w14:val="tx1"/>
                        </w14:solidFill>
                      </w14:textFill>
                    </w:rPr>
                    <w:t>治理措施</w:t>
                  </w:r>
                </w:p>
              </w:tc>
              <w:tc>
                <w:tcPr>
                  <w:tcW w:w="1453" w:type="dxa"/>
                  <w:tcBorders>
                    <w:tl2br w:val="nil"/>
                    <w:tr2bl w:val="nil"/>
                  </w:tcBorders>
                  <w:vAlign w:val="center"/>
                </w:tcPr>
                <w:p>
                  <w:pPr>
                    <w:adjustRightInd w:val="0"/>
                    <w:snapToGrid w:val="0"/>
                    <w:spacing w:line="300" w:lineRule="exact"/>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厂界环境</w:t>
                  </w:r>
                  <w:r>
                    <w:rPr>
                      <w:rFonts w:hint="eastAsia"/>
                      <w:b/>
                      <w:bCs/>
                      <w:color w:val="000000" w:themeColor="text1"/>
                      <w:szCs w:val="21"/>
                      <w14:textFill>
                        <w14:solidFill>
                          <w14:schemeClr w14:val="tx1"/>
                        </w14:solidFill>
                      </w14:textFill>
                    </w:rPr>
                    <w:t>噪声贡献</w:t>
                  </w:r>
                  <w:r>
                    <w:rPr>
                      <w:b/>
                      <w:bCs/>
                      <w:color w:val="000000" w:themeColor="text1"/>
                      <w:szCs w:val="21"/>
                      <w14:textFill>
                        <w14:solidFill>
                          <w14:schemeClr w14:val="tx1"/>
                        </w14:solidFill>
                      </w14:textFill>
                    </w:rPr>
                    <w:t>值</w:t>
                  </w:r>
                  <w:r>
                    <w:rPr>
                      <w:b/>
                      <w:bCs/>
                      <w:color w:val="000000" w:themeColor="text1"/>
                      <w14:textFill>
                        <w14:solidFill>
                          <w14:schemeClr w14:val="tx1"/>
                        </w14:solidFill>
                      </w14:textFill>
                    </w:rPr>
                    <w:t>dB（A）</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492" w:type="dxa"/>
                  <w:gridSpan w:val="2"/>
                  <w:vMerge w:val="continue"/>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p>
              </w:tc>
              <w:tc>
                <w:tcPr>
                  <w:tcW w:w="831" w:type="dxa"/>
                  <w:vMerge w:val="continue"/>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p>
              </w:tc>
              <w:tc>
                <w:tcPr>
                  <w:tcW w:w="830" w:type="dxa"/>
                  <w:vMerge w:val="continue"/>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p>
              </w:tc>
              <w:tc>
                <w:tcPr>
                  <w:tcW w:w="591" w:type="dxa"/>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东</w:t>
                  </w:r>
                </w:p>
              </w:tc>
              <w:tc>
                <w:tcPr>
                  <w:tcW w:w="525" w:type="dxa"/>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南</w:t>
                  </w:r>
                </w:p>
              </w:tc>
              <w:tc>
                <w:tcPr>
                  <w:tcW w:w="555" w:type="dxa"/>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西</w:t>
                  </w:r>
                </w:p>
              </w:tc>
              <w:tc>
                <w:tcPr>
                  <w:tcW w:w="583" w:type="dxa"/>
                  <w:tcBorders>
                    <w:tl2br w:val="nil"/>
                    <w:tr2bl w:val="nil"/>
                  </w:tcBorders>
                  <w:vAlign w:val="center"/>
                </w:tcPr>
                <w:p>
                  <w:pPr>
                    <w:adjustRightInd w:val="0"/>
                    <w:snapToGrid w:val="0"/>
                    <w:spacing w:line="300" w:lineRule="exact"/>
                    <w:jc w:val="center"/>
                    <w:rPr>
                      <w:b/>
                      <w:bCs/>
                      <w:color w:val="000000" w:themeColor="text1"/>
                      <w:szCs w:val="22"/>
                      <w14:textFill>
                        <w14:solidFill>
                          <w14:schemeClr w14:val="tx1"/>
                        </w14:solidFill>
                      </w14:textFill>
                    </w:rPr>
                  </w:pPr>
                  <w:r>
                    <w:rPr>
                      <w:b/>
                      <w:bCs/>
                      <w:color w:val="000000" w:themeColor="text1"/>
                      <w:szCs w:val="22"/>
                      <w14:textFill>
                        <w14:solidFill>
                          <w14:schemeClr w14:val="tx1"/>
                        </w14:solidFill>
                      </w14:textFill>
                    </w:rPr>
                    <w:t>北</w:t>
                  </w:r>
                </w:p>
              </w:tc>
              <w:tc>
                <w:tcPr>
                  <w:tcW w:w="1453" w:type="dxa"/>
                  <w:vMerge w:val="restart"/>
                  <w:tcBorders>
                    <w:tl2br w:val="nil"/>
                    <w:tr2bl w:val="nil"/>
                  </w:tcBorders>
                  <w:vAlign w:val="center"/>
                </w:tcPr>
                <w:p>
                  <w:pPr>
                    <w:pStyle w:val="20"/>
                    <w:snapToGrid w:val="0"/>
                    <w:spacing w:line="300" w:lineRule="exact"/>
                    <w:ind w:firstLine="0"/>
                    <w:jc w:val="center"/>
                    <w:rPr>
                      <w:color w:val="000000" w:themeColor="text1"/>
                      <w:szCs w:val="21"/>
                      <w14:textFill>
                        <w14:solidFill>
                          <w14:schemeClr w14:val="tx1"/>
                        </w14:solidFill>
                      </w14:textFill>
                    </w:rPr>
                  </w:pPr>
                  <w:r>
                    <w:rPr>
                      <w:bCs/>
                      <w:color w:val="000000" w:themeColor="text1"/>
                      <w:szCs w:val="21"/>
                      <w14:textFill>
                        <w14:solidFill>
                          <w14:schemeClr w14:val="tx1"/>
                        </w14:solidFill>
                      </w14:textFill>
                    </w:rPr>
                    <w:t>生产设备均置于室内，</w:t>
                  </w:r>
                  <w:r>
                    <w:rPr>
                      <w:color w:val="000000" w:themeColor="text1"/>
                      <w:szCs w:val="21"/>
                      <w14:textFill>
                        <w14:solidFill>
                          <w14:schemeClr w14:val="tx1"/>
                        </w14:solidFill>
                      </w14:textFill>
                    </w:rPr>
                    <w:t>建筑物隔声</w:t>
                  </w:r>
                  <w:r>
                    <w:rPr>
                      <w:bCs/>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5</w:t>
                  </w:r>
                  <w:r>
                    <w:rPr>
                      <w:bCs/>
                      <w:color w:val="000000" w:themeColor="text1"/>
                      <w:szCs w:val="21"/>
                      <w14:textFill>
                        <w14:solidFill>
                          <w14:schemeClr w14:val="tx1"/>
                        </w14:solidFill>
                      </w14:textFill>
                    </w:rPr>
                    <w:t>dB（A）</w:t>
                  </w:r>
                  <w:r>
                    <w:rPr>
                      <w:rFonts w:hint="eastAsia"/>
                      <w:color w:val="000000" w:themeColor="text1"/>
                      <w:szCs w:val="21"/>
                      <w14:textFill>
                        <w14:solidFill>
                          <w14:schemeClr w14:val="tx1"/>
                        </w14:solidFill>
                      </w14:textFill>
                    </w:rPr>
                    <w:t>；</w:t>
                  </w:r>
                  <w:r>
                    <w:rPr>
                      <w:rFonts w:hint="eastAsia"/>
                      <w:bCs/>
                      <w:color w:val="000000" w:themeColor="text1"/>
                      <w:szCs w:val="21"/>
                      <w14:textFill>
                        <w14:solidFill>
                          <w14:schemeClr w14:val="tx1"/>
                        </w14:solidFill>
                      </w14:textFill>
                    </w:rPr>
                    <w:t>空压机安装减振</w:t>
                  </w:r>
                  <w:r>
                    <w:rPr>
                      <w:rFonts w:hint="eastAsia"/>
                      <w:bCs/>
                      <w:color w:val="000000" w:themeColor="text1"/>
                      <w:szCs w:val="21"/>
                      <w:lang w:val="en-US" w:eastAsia="zh-CN"/>
                      <w14:textFill>
                        <w14:solidFill>
                          <w14:schemeClr w14:val="tx1"/>
                        </w14:solidFill>
                      </w14:textFill>
                    </w:rPr>
                    <w:t>10</w:t>
                  </w:r>
                  <w:r>
                    <w:rPr>
                      <w:bCs/>
                      <w:color w:val="000000" w:themeColor="text1"/>
                      <w:szCs w:val="21"/>
                      <w14:textFill>
                        <w14:solidFill>
                          <w14:schemeClr w14:val="tx1"/>
                        </w14:solidFill>
                      </w14:textFill>
                    </w:rPr>
                    <w:t>dB（A）</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距离衰减</w:t>
                  </w:r>
                </w:p>
              </w:tc>
              <w:tc>
                <w:tcPr>
                  <w:tcW w:w="1453" w:type="dxa"/>
                  <w:vMerge w:val="restart"/>
                  <w:tcBorders>
                    <w:tl2br w:val="nil"/>
                    <w:tr2bl w:val="nil"/>
                  </w:tcBorders>
                  <w:vAlign w:val="center"/>
                </w:tcPr>
                <w:p>
                  <w:pPr>
                    <w:pStyle w:val="20"/>
                    <w:snapToGrid w:val="0"/>
                    <w:ind w:firstLine="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东</w:t>
                  </w:r>
                  <w:r>
                    <w:rPr>
                      <w:rFonts w:hint="eastAsia"/>
                      <w:color w:val="000000" w:themeColor="text1"/>
                      <w:szCs w:val="21"/>
                      <w:lang w:val="en-US" w:eastAsia="zh-CN"/>
                      <w14:textFill>
                        <w14:solidFill>
                          <w14:schemeClr w14:val="tx1"/>
                        </w14:solidFill>
                      </w14:textFill>
                    </w:rPr>
                    <w:t>54.1</w:t>
                  </w:r>
                </w:p>
                <w:p>
                  <w:pPr>
                    <w:pStyle w:val="20"/>
                    <w:snapToGrid w:val="0"/>
                    <w:ind w:firstLine="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南</w:t>
                  </w:r>
                  <w:r>
                    <w:rPr>
                      <w:rFonts w:hint="eastAsia"/>
                      <w:color w:val="000000" w:themeColor="text1"/>
                      <w:szCs w:val="21"/>
                      <w:lang w:val="en-US" w:eastAsia="zh-CN"/>
                      <w14:textFill>
                        <w14:solidFill>
                          <w14:schemeClr w14:val="tx1"/>
                        </w14:solidFill>
                      </w14:textFill>
                    </w:rPr>
                    <w:t>63.1</w:t>
                  </w:r>
                </w:p>
                <w:p>
                  <w:pPr>
                    <w:pStyle w:val="20"/>
                    <w:snapToGrid w:val="0"/>
                    <w:ind w:firstLine="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西</w:t>
                  </w:r>
                  <w:r>
                    <w:rPr>
                      <w:rFonts w:hint="eastAsia"/>
                      <w:color w:val="000000" w:themeColor="text1"/>
                      <w:szCs w:val="21"/>
                      <w:lang w:val="en-US" w:eastAsia="zh-CN"/>
                      <w14:textFill>
                        <w14:solidFill>
                          <w14:schemeClr w14:val="tx1"/>
                        </w14:solidFill>
                      </w14:textFill>
                    </w:rPr>
                    <w:t>56.3</w:t>
                  </w:r>
                </w:p>
                <w:p>
                  <w:pPr>
                    <w:pStyle w:val="20"/>
                    <w:snapToGrid w:val="0"/>
                    <w:ind w:firstLine="0"/>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北</w:t>
                  </w:r>
                  <w:r>
                    <w:rPr>
                      <w:rFonts w:hint="eastAsia"/>
                      <w:color w:val="000000" w:themeColor="text1"/>
                      <w:szCs w:val="21"/>
                      <w:lang w:val="en-US" w:eastAsia="zh-CN"/>
                      <w14:textFill>
                        <w14:solidFill>
                          <w14:schemeClr w14:val="tx1"/>
                        </w14:solidFill>
                      </w14:textFill>
                    </w:rPr>
                    <w:t>57.1</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restart"/>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车间</w:t>
                  </w: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加工中心</w:t>
                  </w:r>
                </w:p>
              </w:tc>
              <w:tc>
                <w:tcPr>
                  <w:tcW w:w="831" w:type="dxa"/>
                  <w:tcBorders>
                    <w:tl2br w:val="nil"/>
                    <w:tr2bl w:val="nil"/>
                  </w:tcBorders>
                  <w:vAlign w:val="center"/>
                </w:tcPr>
                <w:p>
                  <w:pPr>
                    <w:pStyle w:val="246"/>
                    <w:adjustRightInd w:val="0"/>
                    <w:snapToGrid w:val="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11</w:t>
                  </w:r>
                </w:p>
              </w:tc>
              <w:tc>
                <w:tcPr>
                  <w:tcW w:w="830" w:type="dxa"/>
                  <w:tcBorders>
                    <w:tl2br w:val="nil"/>
                    <w:tr2bl w:val="nil"/>
                  </w:tcBorders>
                  <w:vAlign w:val="center"/>
                </w:tcPr>
                <w:p>
                  <w:pPr>
                    <w:pStyle w:val="246"/>
                    <w:adjustRightInd w:val="0"/>
                    <w:snapToGrid w:val="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75</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19</w:t>
                  </w:r>
                </w:p>
              </w:tc>
              <w:tc>
                <w:tcPr>
                  <w:tcW w:w="52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12</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11</w:t>
                  </w:r>
                </w:p>
              </w:tc>
              <w:tc>
                <w:tcPr>
                  <w:tcW w:w="583"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4</w:t>
                  </w:r>
                </w:p>
              </w:tc>
              <w:tc>
                <w:tcPr>
                  <w:tcW w:w="1453" w:type="dxa"/>
                  <w:vMerge w:val="continue"/>
                  <w:tcBorders>
                    <w:tl2br w:val="nil"/>
                    <w:tr2bl w:val="nil"/>
                  </w:tcBorders>
                  <w:vAlign w:val="center"/>
                </w:tcPr>
                <w:p>
                  <w:pPr>
                    <w:pStyle w:val="20"/>
                    <w:snapToGrid w:val="0"/>
                    <w:spacing w:line="300" w:lineRule="exact"/>
                    <w:ind w:firstLine="0"/>
                    <w:jc w:val="center"/>
                    <w:rPr>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除尘设施</w:t>
                  </w:r>
                </w:p>
              </w:tc>
              <w:tc>
                <w:tcPr>
                  <w:tcW w:w="83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830" w:type="dxa"/>
                  <w:tcBorders>
                    <w:tl2br w:val="nil"/>
                    <w:tr2bl w:val="nil"/>
                  </w:tcBorders>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75</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26</w:t>
                  </w:r>
                </w:p>
              </w:tc>
              <w:tc>
                <w:tcPr>
                  <w:tcW w:w="52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10</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4</w:t>
                  </w:r>
                </w:p>
              </w:tc>
              <w:tc>
                <w:tcPr>
                  <w:tcW w:w="583" w:type="dxa"/>
                  <w:tcBorders>
                    <w:tl2br w:val="nil"/>
                    <w:tr2bl w:val="nil"/>
                  </w:tcBorders>
                  <w:vAlign w:val="center"/>
                </w:tcPr>
                <w:p>
                  <w:pPr>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6</w:t>
                  </w:r>
                </w:p>
              </w:tc>
              <w:tc>
                <w:tcPr>
                  <w:tcW w:w="1453" w:type="dxa"/>
                  <w:vMerge w:val="continue"/>
                  <w:tcBorders>
                    <w:tl2br w:val="nil"/>
                    <w:tr2bl w:val="nil"/>
                  </w:tcBorders>
                  <w:vAlign w:val="center"/>
                </w:tcPr>
                <w:p>
                  <w:pPr>
                    <w:pStyle w:val="20"/>
                    <w:snapToGrid w:val="0"/>
                    <w:spacing w:line="300" w:lineRule="exact"/>
                    <w:jc w:val="center"/>
                    <w:rPr>
                      <w:bCs/>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磨床</w:t>
                  </w:r>
                </w:p>
              </w:tc>
              <w:tc>
                <w:tcPr>
                  <w:tcW w:w="83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7</w:t>
                  </w:r>
                </w:p>
              </w:tc>
              <w:tc>
                <w:tcPr>
                  <w:tcW w:w="830" w:type="dxa"/>
                  <w:tcBorders>
                    <w:tl2br w:val="nil"/>
                    <w:tr2bl w:val="nil"/>
                  </w:tcBorders>
                  <w:vAlign w:val="center"/>
                </w:tcPr>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90</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17</w:t>
                  </w:r>
                </w:p>
              </w:tc>
              <w:tc>
                <w:tcPr>
                  <w:tcW w:w="525" w:type="dxa"/>
                  <w:tcBorders>
                    <w:tl2br w:val="nil"/>
                    <w:tr2bl w:val="nil"/>
                  </w:tcBorders>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13</w:t>
                  </w:r>
                </w:p>
              </w:tc>
              <w:tc>
                <w:tcPr>
                  <w:tcW w:w="583" w:type="dxa"/>
                  <w:tcBorders>
                    <w:tl2br w:val="nil"/>
                    <w:tr2bl w:val="nil"/>
                  </w:tcBorders>
                  <w:vAlign w:val="center"/>
                </w:tcPr>
                <w:p>
                  <w:pPr>
                    <w:jc w:val="center"/>
                    <w:rPr>
                      <w:rFonts w:hint="eastAsia" w:eastAsia="宋体"/>
                      <w:color w:val="000000" w:themeColor="text1"/>
                      <w:lang w:val="en-US" w:eastAsia="zh-CN"/>
                      <w14:textFill>
                        <w14:solidFill>
                          <w14:schemeClr w14:val="tx1"/>
                        </w14:solidFill>
                      </w14:textFill>
                    </w:rPr>
                  </w:pPr>
                  <w:r>
                    <w:rPr>
                      <w:rFonts w:hint="eastAsia"/>
                      <w:color w:val="000000" w:themeColor="text1"/>
                      <w:lang w:val="en-US"/>
                      <w14:textFill>
                        <w14:solidFill>
                          <w14:schemeClr w14:val="tx1"/>
                        </w14:solidFill>
                      </w14:textFill>
                    </w:rPr>
                    <w:t>1</w:t>
                  </w:r>
                  <w:r>
                    <w:rPr>
                      <w:rFonts w:hint="eastAsia"/>
                      <w:color w:val="000000" w:themeColor="text1"/>
                      <w:lang w:val="en-US" w:eastAsia="zh-CN"/>
                      <w14:textFill>
                        <w14:solidFill>
                          <w14:schemeClr w14:val="tx1"/>
                        </w14:solidFill>
                      </w14:textFill>
                    </w:rPr>
                    <w:t>3</w:t>
                  </w:r>
                </w:p>
              </w:tc>
              <w:tc>
                <w:tcPr>
                  <w:tcW w:w="1453" w:type="dxa"/>
                  <w:vMerge w:val="continue"/>
                  <w:tcBorders>
                    <w:tl2br w:val="nil"/>
                    <w:tr2bl w:val="nil"/>
                  </w:tcBorders>
                  <w:vAlign w:val="center"/>
                </w:tcPr>
                <w:p>
                  <w:pPr>
                    <w:pStyle w:val="20"/>
                    <w:snapToGrid w:val="0"/>
                    <w:spacing w:line="300" w:lineRule="exact"/>
                    <w:jc w:val="center"/>
                    <w:rPr>
                      <w:bCs/>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铣床</w:t>
                  </w:r>
                </w:p>
              </w:tc>
              <w:tc>
                <w:tcPr>
                  <w:tcW w:w="831" w:type="dxa"/>
                  <w:tcBorders>
                    <w:tl2br w:val="nil"/>
                    <w:tr2bl w:val="nil"/>
                  </w:tcBorders>
                  <w:vAlign w:val="center"/>
                </w:tcPr>
                <w:p>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830" w:type="dxa"/>
                  <w:tcBorders>
                    <w:tl2br w:val="nil"/>
                    <w:tr2bl w:val="nil"/>
                  </w:tcBorders>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8</w:t>
                  </w:r>
                  <w:r>
                    <w:rPr>
                      <w:rFonts w:hint="eastAsia"/>
                      <w:color w:val="000000" w:themeColor="text1"/>
                      <w:szCs w:val="21"/>
                      <w:lang w:val="en-US" w:eastAsia="zh-CN"/>
                      <w14:textFill>
                        <w14:solidFill>
                          <w14:schemeClr w14:val="tx1"/>
                        </w14:solidFill>
                      </w14:textFill>
                    </w:rPr>
                    <w:t>5</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18</w:t>
                  </w:r>
                </w:p>
              </w:tc>
              <w:tc>
                <w:tcPr>
                  <w:tcW w:w="52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2</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12</w:t>
                  </w:r>
                </w:p>
              </w:tc>
              <w:tc>
                <w:tcPr>
                  <w:tcW w:w="583" w:type="dxa"/>
                  <w:tcBorders>
                    <w:tl2br w:val="nil"/>
                    <w:tr2bl w:val="nil"/>
                  </w:tcBorders>
                  <w:vAlign w:val="center"/>
                </w:tcPr>
                <w:p>
                  <w:pPr>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14</w:t>
                  </w:r>
                </w:p>
              </w:tc>
              <w:tc>
                <w:tcPr>
                  <w:tcW w:w="1453" w:type="dxa"/>
                  <w:vMerge w:val="continue"/>
                  <w:tcBorders>
                    <w:tl2br w:val="nil"/>
                    <w:tr2bl w:val="nil"/>
                  </w:tcBorders>
                  <w:vAlign w:val="center"/>
                </w:tcPr>
                <w:p>
                  <w:pPr>
                    <w:pStyle w:val="20"/>
                    <w:snapToGrid w:val="0"/>
                    <w:spacing w:line="300" w:lineRule="exact"/>
                    <w:jc w:val="center"/>
                    <w:rPr>
                      <w:bCs/>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空压机</w:t>
                  </w:r>
                </w:p>
              </w:tc>
              <w:tc>
                <w:tcPr>
                  <w:tcW w:w="83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830"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70</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29</w:t>
                  </w:r>
                </w:p>
              </w:tc>
              <w:tc>
                <w:tcPr>
                  <w:tcW w:w="52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3</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583" w:type="dxa"/>
                  <w:tcBorders>
                    <w:tl2br w:val="nil"/>
                    <w:tr2bl w:val="nil"/>
                  </w:tcBorders>
                  <w:vAlign w:val="center"/>
                </w:tcPr>
                <w:p>
                  <w:pPr>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13</w:t>
                  </w:r>
                </w:p>
              </w:tc>
              <w:tc>
                <w:tcPr>
                  <w:tcW w:w="1453" w:type="dxa"/>
                  <w:vMerge w:val="continue"/>
                  <w:tcBorders>
                    <w:tl2br w:val="nil"/>
                    <w:tr2bl w:val="nil"/>
                  </w:tcBorders>
                  <w:vAlign w:val="center"/>
                </w:tcPr>
                <w:p>
                  <w:pPr>
                    <w:pStyle w:val="20"/>
                    <w:snapToGrid w:val="0"/>
                    <w:spacing w:line="300" w:lineRule="exact"/>
                    <w:jc w:val="center"/>
                    <w:rPr>
                      <w:bCs/>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76" w:type="dxa"/>
                  <w:vMerge w:val="continue"/>
                  <w:tcBorders>
                    <w:tl2br w:val="nil"/>
                    <w:tr2bl w:val="nil"/>
                  </w:tcBorders>
                  <w:vAlign w:val="center"/>
                </w:tcPr>
                <w:p>
                  <w:pPr>
                    <w:pStyle w:val="259"/>
                    <w:adjustRightInd w:val="0"/>
                    <w:snapToGrid w:val="0"/>
                    <w:spacing w:beforeLines="0" w:line="240" w:lineRule="auto"/>
                    <w:rPr>
                      <w:rFonts w:eastAsia="宋体"/>
                      <w:color w:val="000000" w:themeColor="text1"/>
                      <w:sz w:val="21"/>
                      <w:szCs w:val="21"/>
                      <w14:textFill>
                        <w14:solidFill>
                          <w14:schemeClr w14:val="tx1"/>
                        </w14:solidFill>
                      </w14:textFill>
                    </w:rPr>
                  </w:pPr>
                </w:p>
              </w:tc>
              <w:tc>
                <w:tcPr>
                  <w:tcW w:w="1016" w:type="dxa"/>
                  <w:tcBorders>
                    <w:tl2br w:val="nil"/>
                    <w:tr2bl w:val="nil"/>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干燥箱</w:t>
                  </w:r>
                </w:p>
              </w:tc>
              <w:tc>
                <w:tcPr>
                  <w:tcW w:w="83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w:t>
                  </w:r>
                </w:p>
              </w:tc>
              <w:tc>
                <w:tcPr>
                  <w:tcW w:w="830"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65</w:t>
                  </w:r>
                </w:p>
              </w:tc>
              <w:tc>
                <w:tcPr>
                  <w:tcW w:w="591"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5</w:t>
                  </w:r>
                </w:p>
              </w:tc>
              <w:tc>
                <w:tcPr>
                  <w:tcW w:w="52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15</w:t>
                  </w:r>
                </w:p>
              </w:tc>
              <w:tc>
                <w:tcPr>
                  <w:tcW w:w="555" w:type="dxa"/>
                  <w:tcBorders>
                    <w:tl2br w:val="nil"/>
                    <w:tr2bl w:val="nil"/>
                  </w:tcBorders>
                  <w:vAlign w:val="center"/>
                </w:tcPr>
                <w:p>
                  <w:pPr>
                    <w:jc w:val="center"/>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25</w:t>
                  </w:r>
                </w:p>
              </w:tc>
              <w:tc>
                <w:tcPr>
                  <w:tcW w:w="583" w:type="dxa"/>
                  <w:tcBorders>
                    <w:tl2br w:val="nil"/>
                    <w:tr2bl w:val="nil"/>
                  </w:tcBorders>
                  <w:vAlign w:val="center"/>
                </w:tcPr>
                <w:p>
                  <w:pPr>
                    <w:jc w:val="center"/>
                    <w:rPr>
                      <w:color w:val="000000" w:themeColor="text1"/>
                      <w:lang w:val="en-US"/>
                      <w14:textFill>
                        <w14:solidFill>
                          <w14:schemeClr w14:val="tx1"/>
                        </w14:solidFill>
                      </w14:textFill>
                    </w:rPr>
                  </w:pPr>
                  <w:r>
                    <w:rPr>
                      <w:rFonts w:hint="eastAsia"/>
                      <w:color w:val="000000" w:themeColor="text1"/>
                      <w:lang w:val="en-US"/>
                      <w14:textFill>
                        <w14:solidFill>
                          <w14:schemeClr w14:val="tx1"/>
                        </w14:solidFill>
                      </w14:textFill>
                    </w:rPr>
                    <w:t>1</w:t>
                  </w:r>
                </w:p>
              </w:tc>
              <w:tc>
                <w:tcPr>
                  <w:tcW w:w="1453" w:type="dxa"/>
                  <w:vMerge w:val="continue"/>
                  <w:tcBorders>
                    <w:tl2br w:val="nil"/>
                    <w:tr2bl w:val="nil"/>
                  </w:tcBorders>
                  <w:vAlign w:val="center"/>
                </w:tcPr>
                <w:p>
                  <w:pPr>
                    <w:pStyle w:val="20"/>
                    <w:snapToGrid w:val="0"/>
                    <w:spacing w:line="300" w:lineRule="exact"/>
                    <w:jc w:val="center"/>
                    <w:rPr>
                      <w:bCs/>
                      <w:color w:val="000000" w:themeColor="text1"/>
                      <w:szCs w:val="21"/>
                      <w14:textFill>
                        <w14:solidFill>
                          <w14:schemeClr w14:val="tx1"/>
                        </w14:solidFill>
                      </w14:textFill>
                    </w:rPr>
                  </w:pPr>
                </w:p>
              </w:tc>
              <w:tc>
                <w:tcPr>
                  <w:tcW w:w="1453" w:type="dxa"/>
                  <w:vMerge w:val="continue"/>
                  <w:tcBorders>
                    <w:tl2br w:val="nil"/>
                    <w:tr2bl w:val="nil"/>
                  </w:tcBorders>
                  <w:vAlign w:val="center"/>
                </w:tcPr>
                <w:p>
                  <w:pPr>
                    <w:pStyle w:val="20"/>
                    <w:snapToGrid w:val="0"/>
                    <w:ind w:firstLine="0"/>
                    <w:jc w:val="center"/>
                    <w:rPr>
                      <w:color w:val="000000" w:themeColor="text1"/>
                      <w:szCs w:val="21"/>
                      <w14:textFill>
                        <w14:solidFill>
                          <w14:schemeClr w14:val="tx1"/>
                        </w14:solidFill>
                      </w14:textFill>
                    </w:rPr>
                  </w:pPr>
                </w:p>
              </w:tc>
            </w:tr>
          </w:tbl>
          <w:p>
            <w:pPr>
              <w:pStyle w:val="114"/>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color w:val="000000" w:themeColor="text1"/>
                <w:sz w:val="24"/>
                <w14:textFill>
                  <w14:solidFill>
                    <w14:schemeClr w14:val="tx1"/>
                  </w14:solidFill>
                </w14:textFill>
              </w:rPr>
            </w:pPr>
            <w:r>
              <w:rPr>
                <w:rFonts w:hAnsi="宋体"/>
                <w:color w:val="000000" w:themeColor="text1"/>
                <w:sz w:val="24"/>
                <w:szCs w:val="24"/>
                <w14:textFill>
                  <w14:solidFill>
                    <w14:schemeClr w14:val="tx1"/>
                  </w14:solidFill>
                </w14:textFill>
              </w:rPr>
              <w:t>表7-</w:t>
            </w:r>
            <w:r>
              <w:rPr>
                <w:rFonts w:hint="eastAsia" w:hAnsi="宋体"/>
                <w:color w:val="000000" w:themeColor="text1"/>
                <w:sz w:val="24"/>
                <w:szCs w:val="24"/>
                <w:lang w:val="en-US" w:eastAsia="zh-CN"/>
                <w14:textFill>
                  <w14:solidFill>
                    <w14:schemeClr w14:val="tx1"/>
                  </w14:solidFill>
                </w14:textFill>
              </w:rPr>
              <w:t>13</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eastAsia="zh-CN"/>
                <w14:textFill>
                  <w14:solidFill>
                    <w14:schemeClr w14:val="tx1"/>
                  </w14:solidFill>
                </w14:textFill>
              </w:rPr>
              <w:t>周边敏感点</w:t>
            </w:r>
            <w:r>
              <w:rPr>
                <w:rFonts w:hAnsi="宋体"/>
                <w:color w:val="000000" w:themeColor="text1"/>
                <w:sz w:val="24"/>
                <w:szCs w:val="24"/>
                <w14:textFill>
                  <w14:solidFill>
                    <w14:schemeClr w14:val="tx1"/>
                  </w14:solidFill>
                </w14:textFill>
              </w:rPr>
              <w:t>影响预测结果</w:t>
            </w:r>
          </w:p>
          <w:tbl>
            <w:tblPr>
              <w:tblStyle w:val="76"/>
              <w:tblW w:w="4996"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205"/>
              <w:gridCol w:w="1383"/>
              <w:gridCol w:w="1385"/>
              <w:gridCol w:w="1385"/>
              <w:gridCol w:w="138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预测点</w:t>
                  </w:r>
                </w:p>
              </w:tc>
              <w:tc>
                <w:tcPr>
                  <w:tcW w:w="725"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距离</w:t>
                  </w:r>
                </w:p>
              </w:tc>
              <w:tc>
                <w:tcPr>
                  <w:tcW w:w="832"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衰减值</w:t>
                  </w:r>
                  <w:r>
                    <w:rPr>
                      <w:b/>
                      <w:bCs/>
                      <w:color w:val="000000" w:themeColor="text1"/>
                      <w:szCs w:val="22"/>
                      <w14:textFill>
                        <w14:solidFill>
                          <w14:schemeClr w14:val="tx1"/>
                        </w14:solidFill>
                      </w14:textFill>
                    </w:rPr>
                    <w:t>dB(A)</w:t>
                  </w:r>
                </w:p>
              </w:tc>
              <w:tc>
                <w:tcPr>
                  <w:tcW w:w="833"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贡献值</w:t>
                  </w:r>
                  <w:r>
                    <w:rPr>
                      <w:b/>
                      <w:bCs/>
                      <w:color w:val="000000" w:themeColor="text1"/>
                      <w:szCs w:val="22"/>
                      <w14:textFill>
                        <w14:solidFill>
                          <w14:schemeClr w14:val="tx1"/>
                        </w14:solidFill>
                      </w14:textFill>
                    </w:rPr>
                    <w:t>dB(A)</w:t>
                  </w:r>
                </w:p>
              </w:tc>
              <w:tc>
                <w:tcPr>
                  <w:tcW w:w="833"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叠加值</w:t>
                  </w:r>
                  <w:r>
                    <w:rPr>
                      <w:b/>
                      <w:bCs/>
                      <w:color w:val="000000" w:themeColor="text1"/>
                      <w:szCs w:val="22"/>
                      <w14:textFill>
                        <w14:solidFill>
                          <w14:schemeClr w14:val="tx1"/>
                        </w14:solidFill>
                      </w14:textFill>
                    </w:rPr>
                    <w:t>dB(A)</w:t>
                  </w:r>
                </w:p>
              </w:tc>
              <w:tc>
                <w:tcPr>
                  <w:tcW w:w="834" w:type="pct"/>
                  <w:tcBorders>
                    <w:tl2br w:val="nil"/>
                    <w:tr2bl w:val="nil"/>
                  </w:tcBorders>
                  <w:vAlign w:val="center"/>
                </w:tcPr>
                <w:p>
                  <w:pPr>
                    <w:adjustRightInd w:val="0"/>
                    <w:snapToGrid w:val="0"/>
                    <w:spacing w:line="300" w:lineRule="exact"/>
                    <w:jc w:val="center"/>
                    <w:rPr>
                      <w:rFonts w:hint="eastAsia"/>
                      <w:b/>
                      <w:bCs/>
                      <w:color w:val="000000" w:themeColor="text1"/>
                      <w:szCs w:val="22"/>
                      <w:lang w:eastAsia="zh-CN"/>
                      <w14:textFill>
                        <w14:solidFill>
                          <w14:schemeClr w14:val="tx1"/>
                        </w14:solidFill>
                      </w14:textFill>
                    </w:rPr>
                  </w:pPr>
                  <w:r>
                    <w:rPr>
                      <w:rFonts w:hint="eastAsia"/>
                      <w:b/>
                      <w:bCs/>
                      <w:color w:val="000000" w:themeColor="text1"/>
                      <w:szCs w:val="22"/>
                      <w:lang w:eastAsia="zh-CN"/>
                      <w14:textFill>
                        <w14:solidFill>
                          <w14:schemeClr w14:val="tx1"/>
                        </w14:solidFill>
                      </w14:textFill>
                    </w:rPr>
                    <w:t>达标限值</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l2br w:val="nil"/>
                    <w:tr2bl w:val="nil"/>
                  </w:tcBorders>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北侧居民区</w:t>
                  </w:r>
                </w:p>
              </w:tc>
              <w:tc>
                <w:tcPr>
                  <w:tcW w:w="725"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62</w:t>
                  </w:r>
                </w:p>
              </w:tc>
              <w:tc>
                <w:tcPr>
                  <w:tcW w:w="832"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46.83</w:t>
                  </w:r>
                </w:p>
              </w:tc>
              <w:tc>
                <w:tcPr>
                  <w:tcW w:w="833"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w:t>
                  </w:r>
                  <w:r>
                    <w:rPr>
                      <w:rFonts w:hint="eastAsia"/>
                      <w:color w:val="000000" w:themeColor="text1"/>
                      <w:szCs w:val="21"/>
                      <w:lang w:val="en-US" w:eastAsia="zh-CN"/>
                      <w14:textFill>
                        <w14:solidFill>
                          <w14:schemeClr w14:val="tx1"/>
                        </w14:solidFill>
                      </w14:textFill>
                    </w:rPr>
                    <w:t>16.27</w:t>
                  </w:r>
                </w:p>
              </w:tc>
              <w:tc>
                <w:tcPr>
                  <w:tcW w:w="833"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52.5</w:t>
                  </w:r>
                </w:p>
              </w:tc>
              <w:tc>
                <w:tcPr>
                  <w:tcW w:w="834"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tcBorders>
                    <w:tl2br w:val="nil"/>
                    <w:tr2bl w:val="nil"/>
                  </w:tcBorders>
                  <w:vAlign w:val="center"/>
                </w:tcPr>
                <w:p>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西北侧居民区</w:t>
                  </w:r>
                </w:p>
              </w:tc>
              <w:tc>
                <w:tcPr>
                  <w:tcW w:w="725"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56</w:t>
                  </w:r>
                </w:p>
              </w:tc>
              <w:tc>
                <w:tcPr>
                  <w:tcW w:w="832"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46.95</w:t>
                  </w:r>
                </w:p>
              </w:tc>
              <w:tc>
                <w:tcPr>
                  <w:tcW w:w="833"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14:textFill>
                        <w14:solidFill>
                          <w14:schemeClr w14:val="tx1"/>
                        </w14:solidFill>
                      </w14:textFill>
                    </w:rPr>
                    <w:t>≤</w:t>
                  </w:r>
                  <w:r>
                    <w:rPr>
                      <w:rFonts w:hint="eastAsia"/>
                      <w:color w:val="000000" w:themeColor="text1"/>
                      <w:szCs w:val="21"/>
                      <w:lang w:val="en-US" w:eastAsia="zh-CN"/>
                      <w14:textFill>
                        <w14:solidFill>
                          <w14:schemeClr w14:val="tx1"/>
                        </w14:solidFill>
                      </w14:textFill>
                    </w:rPr>
                    <w:t>16.15</w:t>
                  </w:r>
                </w:p>
              </w:tc>
              <w:tc>
                <w:tcPr>
                  <w:tcW w:w="833"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51.5</w:t>
                  </w:r>
                </w:p>
              </w:tc>
              <w:tc>
                <w:tcPr>
                  <w:tcW w:w="834" w:type="pct"/>
                  <w:tcBorders>
                    <w:tl2br w:val="nil"/>
                    <w:tr2bl w:val="nil"/>
                  </w:tcBorders>
                  <w:vAlign w:val="center"/>
                </w:tcPr>
                <w:p>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60</w:t>
                  </w:r>
                </w:p>
              </w:tc>
            </w:tr>
          </w:tbl>
          <w:p>
            <w:pPr>
              <w:spacing w:line="360" w:lineRule="auto"/>
              <w:ind w:firstLine="480" w:firstLineChars="200"/>
              <w:rPr>
                <w:sz w:val="24"/>
              </w:rPr>
            </w:pPr>
            <w:r>
              <w:rPr>
                <w:color w:val="000000" w:themeColor="text1"/>
                <w:sz w:val="24"/>
                <w14:textFill>
                  <w14:solidFill>
                    <w14:schemeClr w14:val="tx1"/>
                  </w14:solidFill>
                </w14:textFill>
              </w:rPr>
              <w:t>从上表可以看出，本项目</w:t>
            </w:r>
            <w:r>
              <w:rPr>
                <w:rFonts w:hint="eastAsia"/>
                <w:color w:val="000000" w:themeColor="text1"/>
                <w:sz w:val="24"/>
                <w14:textFill>
                  <w14:solidFill>
                    <w14:schemeClr w14:val="tx1"/>
                  </w14:solidFill>
                </w14:textFill>
              </w:rPr>
              <w:t>夜间不生产</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噪声源对厂界的昼间噪声贡</w:t>
            </w:r>
            <w:r>
              <w:rPr>
                <w:sz w:val="24"/>
              </w:rPr>
              <w:t>献值最大为</w:t>
            </w:r>
            <w:r>
              <w:rPr>
                <w:rFonts w:hint="eastAsia"/>
                <w:sz w:val="24"/>
                <w:lang w:val="en-US" w:eastAsia="zh-CN"/>
              </w:rPr>
              <w:t>63.1</w:t>
            </w:r>
            <w:r>
              <w:rPr>
                <w:sz w:val="24"/>
              </w:rPr>
              <w:t>dB(A)</w:t>
            </w:r>
            <w:r>
              <w:rPr>
                <w:rFonts w:hint="eastAsia"/>
                <w:sz w:val="24"/>
                <w:lang w:eastAsia="zh-CN"/>
              </w:rPr>
              <w:t>，</w:t>
            </w:r>
            <w:r>
              <w:rPr>
                <w:sz w:val="24"/>
              </w:rPr>
              <w:t>达到《工业企业厂界环境噪声排放标准》（GB12348-2008）中的3类标准，即昼间≤65dB（A），</w:t>
            </w:r>
            <w:r>
              <w:rPr>
                <w:rFonts w:hint="eastAsia"/>
                <w:sz w:val="24"/>
                <w:szCs w:val="22"/>
              </w:rPr>
              <w:t>周边敏感点可以达到</w:t>
            </w:r>
            <w:r>
              <w:rPr>
                <w:sz w:val="24"/>
              </w:rPr>
              <w:t>《声环境质量标准》(GB3096-2008)中2</w:t>
            </w:r>
            <w:r>
              <w:rPr>
                <w:rFonts w:hint="eastAsia"/>
                <w:sz w:val="24"/>
              </w:rPr>
              <w:t>类</w:t>
            </w:r>
            <w:r>
              <w:rPr>
                <w:sz w:val="24"/>
              </w:rPr>
              <w:t>标准限值要求</w:t>
            </w:r>
            <w:r>
              <w:rPr>
                <w:sz w:val="24"/>
                <w:szCs w:val="22"/>
              </w:rPr>
              <w:t>。</w:t>
            </w:r>
          </w:p>
          <w:p>
            <w:pPr>
              <w:adjustRightInd w:val="0"/>
              <w:snapToGrid w:val="0"/>
              <w:spacing w:line="360" w:lineRule="auto"/>
              <w:ind w:firstLine="480" w:firstLineChars="200"/>
              <w:rPr>
                <w:b w:val="0"/>
                <w:bCs w:val="0"/>
                <w:sz w:val="24"/>
                <w:szCs w:val="24"/>
              </w:rPr>
            </w:pPr>
            <w:r>
              <w:rPr>
                <w:rFonts w:hint="eastAsia"/>
                <w:b w:val="0"/>
                <w:bCs w:val="0"/>
                <w:sz w:val="24"/>
                <w:szCs w:val="24"/>
                <w:lang w:val="en-US" w:eastAsia="zh-CN"/>
              </w:rPr>
              <w:t>5、</w:t>
            </w:r>
            <w:r>
              <w:rPr>
                <w:rFonts w:hint="eastAsia"/>
                <w:b w:val="0"/>
                <w:bCs w:val="0"/>
                <w:sz w:val="24"/>
                <w:szCs w:val="24"/>
              </w:rPr>
              <w:t>土壤环境影响分析</w:t>
            </w:r>
          </w:p>
          <w:p>
            <w:pPr>
              <w:pStyle w:val="264"/>
              <w:adjustRightInd w:val="0"/>
              <w:snapToGrid w:val="0"/>
              <w:ind w:firstLine="480" w:firstLineChars="200"/>
              <w:rPr>
                <w:color w:val="FF0000"/>
                <w:kern w:val="0"/>
              </w:rPr>
            </w:pPr>
            <w:r>
              <w:rPr>
                <w:rFonts w:hint="eastAsia"/>
                <w:color w:val="auto"/>
              </w:rPr>
              <w:t>本项目主要为</w:t>
            </w:r>
            <w:r>
              <w:rPr>
                <w:rFonts w:hint="eastAsia" w:hAnsi="宋体"/>
                <w:color w:val="auto"/>
                <w:kern w:val="0"/>
                <w:lang w:val="fi-FI"/>
              </w:rPr>
              <w:t>耐火材料制品的制造</w:t>
            </w:r>
            <w:r>
              <w:rPr>
                <w:rFonts w:hint="eastAsia"/>
                <w:color w:val="auto"/>
                <w:kern w:val="0"/>
              </w:rPr>
              <w:t>，主要影响为污染影响型。根据《环境影响评价技术导则</w:t>
            </w:r>
            <w:r>
              <w:rPr>
                <w:color w:val="auto"/>
                <w:kern w:val="0"/>
              </w:rPr>
              <w:t xml:space="preserve"> </w:t>
            </w:r>
            <w:r>
              <w:rPr>
                <w:rFonts w:hint="eastAsia"/>
                <w:color w:val="auto"/>
                <w:kern w:val="0"/>
              </w:rPr>
              <w:t>土壤环境（试行）》（</w:t>
            </w:r>
            <w:r>
              <w:rPr>
                <w:color w:val="auto"/>
                <w:kern w:val="0"/>
              </w:rPr>
              <w:t>HJ 964-201</w:t>
            </w:r>
            <w:r>
              <w:rPr>
                <w:color w:val="auto"/>
              </w:rPr>
              <w:t>8</w:t>
            </w:r>
            <w:r>
              <w:rPr>
                <w:rFonts w:hint="eastAsia"/>
                <w:color w:val="auto"/>
              </w:rPr>
              <w:t>）表</w:t>
            </w:r>
            <w:r>
              <w:rPr>
                <w:color w:val="auto"/>
              </w:rPr>
              <w:t>A.1</w:t>
            </w:r>
            <w:r>
              <w:rPr>
                <w:rFonts w:hint="eastAsia"/>
                <w:color w:val="auto"/>
              </w:rPr>
              <w:t>土壤环境影响评价项目类别，本项目属于</w:t>
            </w:r>
            <w:r>
              <w:rPr>
                <w:rFonts w:hint="eastAsia"/>
                <w:color w:val="auto"/>
                <w:lang w:eastAsia="zh-CN"/>
              </w:rPr>
              <w:t>其他行业Ⅳ类</w:t>
            </w:r>
            <w:r>
              <w:rPr>
                <w:rFonts w:hint="eastAsia"/>
                <w:color w:val="auto"/>
                <w:kern w:val="0"/>
              </w:rPr>
              <w:t>。本项目建设项目占地面积≤</w:t>
            </w:r>
            <w:r>
              <w:rPr>
                <w:color w:val="auto"/>
                <w:kern w:val="0"/>
              </w:rPr>
              <w:t>5hm</w:t>
            </w:r>
            <w:r>
              <w:rPr>
                <w:color w:val="auto"/>
                <w:kern w:val="0"/>
                <w:vertAlign w:val="superscript"/>
              </w:rPr>
              <w:t>2</w:t>
            </w:r>
            <w:r>
              <w:rPr>
                <w:rFonts w:hint="eastAsia"/>
                <w:color w:val="auto"/>
                <w:kern w:val="0"/>
              </w:rPr>
              <w:t>，占地规模为小型，建设项目所在地周边不存在耕地、园地、牧草地、学校、医院、居民区等敏感目标，土壤环境敏感程度为不敏感。因此本项目可不开展土壤环境影响评价工作。</w:t>
            </w:r>
          </w:p>
          <w:p>
            <w:pPr>
              <w:adjustRightInd w:val="0"/>
              <w:snapToGrid w:val="0"/>
              <w:spacing w:line="360" w:lineRule="auto"/>
              <w:ind w:firstLine="482" w:firstLineChars="200"/>
              <w:rPr>
                <w:b/>
                <w:bCs/>
                <w:sz w:val="24"/>
                <w:szCs w:val="24"/>
              </w:rPr>
            </w:pPr>
            <w:r>
              <w:rPr>
                <w:b/>
                <w:kern w:val="0"/>
                <w:sz w:val="24"/>
                <w:szCs w:val="24"/>
              </w:rPr>
              <w:t>5</w:t>
            </w:r>
            <w:r>
              <w:rPr>
                <w:rFonts w:hint="eastAsia"/>
                <w:b/>
                <w:bCs/>
                <w:sz w:val="24"/>
                <w:szCs w:val="24"/>
              </w:rPr>
              <w:t>、地下水环境影响分析</w:t>
            </w:r>
          </w:p>
          <w:p>
            <w:pPr>
              <w:adjustRightInd w:val="0"/>
              <w:snapToGrid w:val="0"/>
              <w:spacing w:line="360" w:lineRule="auto"/>
              <w:ind w:firstLine="480" w:firstLineChars="200"/>
              <w:rPr>
                <w:sz w:val="24"/>
                <w:szCs w:val="24"/>
              </w:rPr>
            </w:pPr>
            <w:r>
              <w:rPr>
                <w:rFonts w:hint="eastAsia"/>
                <w:sz w:val="24"/>
                <w:szCs w:val="24"/>
              </w:rPr>
              <w:t>根据建设项目对地下水环境的影响程度，结合《建设项目环境影响评价分类管理名录》，将建设项目分为四类。参照《环境影响评价技术导则</w:t>
            </w:r>
            <w:r>
              <w:rPr>
                <w:sz w:val="24"/>
                <w:szCs w:val="24"/>
              </w:rPr>
              <w:t xml:space="preserve"> </w:t>
            </w:r>
            <w:r>
              <w:rPr>
                <w:rFonts w:hint="eastAsia"/>
                <w:sz w:val="24"/>
                <w:szCs w:val="24"/>
              </w:rPr>
              <w:t>地下水环境》附录</w:t>
            </w:r>
            <w:r>
              <w:rPr>
                <w:sz w:val="24"/>
                <w:szCs w:val="24"/>
              </w:rPr>
              <w:t>A</w:t>
            </w:r>
            <w:r>
              <w:rPr>
                <w:rFonts w:hint="eastAsia"/>
                <w:sz w:val="24"/>
                <w:szCs w:val="24"/>
              </w:rPr>
              <w:t>地下水环境影响评价行业分类表</w:t>
            </w:r>
            <w:r>
              <w:rPr>
                <w:sz w:val="24"/>
                <w:szCs w:val="24"/>
              </w:rPr>
              <w:t>“J</w:t>
            </w:r>
            <w:r>
              <w:rPr>
                <w:rFonts w:hint="eastAsia"/>
                <w:sz w:val="24"/>
                <w:szCs w:val="24"/>
              </w:rPr>
              <w:t>非金属矿采选及制品制造，</w:t>
            </w:r>
            <w:r>
              <w:rPr>
                <w:sz w:val="24"/>
                <w:szCs w:val="24"/>
              </w:rPr>
              <w:t>6</w:t>
            </w:r>
            <w:r>
              <w:rPr>
                <w:rFonts w:hint="eastAsia"/>
                <w:sz w:val="24"/>
                <w:szCs w:val="24"/>
                <w:lang w:val="en-US" w:eastAsia="zh-CN"/>
              </w:rPr>
              <w:t>7</w:t>
            </w:r>
            <w:r>
              <w:rPr>
                <w:rFonts w:hint="eastAsia"/>
                <w:sz w:val="24"/>
                <w:szCs w:val="24"/>
                <w:lang w:eastAsia="zh-CN"/>
              </w:rPr>
              <w:t>陶瓷制品</w:t>
            </w:r>
            <w:r>
              <w:rPr>
                <w:rFonts w:hint="eastAsia"/>
                <w:sz w:val="24"/>
                <w:szCs w:val="24"/>
              </w:rPr>
              <w:t>中报告表类别，属于Ⅳ类项目</w:t>
            </w:r>
            <w:r>
              <w:rPr>
                <w:sz w:val="24"/>
                <w:szCs w:val="24"/>
              </w:rPr>
              <w:t>”</w:t>
            </w:r>
            <w:r>
              <w:rPr>
                <w:rFonts w:hint="eastAsia"/>
                <w:sz w:val="24"/>
                <w:szCs w:val="24"/>
              </w:rPr>
              <w:t>。根据《环境影响评价技术导则</w:t>
            </w:r>
            <w:r>
              <w:rPr>
                <w:sz w:val="24"/>
                <w:szCs w:val="24"/>
              </w:rPr>
              <w:t xml:space="preserve"> </w:t>
            </w:r>
            <w:r>
              <w:rPr>
                <w:rFonts w:hint="eastAsia"/>
                <w:sz w:val="24"/>
                <w:szCs w:val="24"/>
              </w:rPr>
              <w:t>地下水环境》中相关要求，Ⅳ类建设项目不开展地下水评价。故本项目不进行地下水环境影响评价工作。</w:t>
            </w:r>
          </w:p>
          <w:p>
            <w:pPr>
              <w:spacing w:line="360" w:lineRule="auto"/>
              <w:ind w:firstLine="482" w:firstLineChars="200"/>
              <w:rPr>
                <w:b/>
                <w:kern w:val="0"/>
                <w:sz w:val="24"/>
                <w:szCs w:val="24"/>
              </w:rPr>
            </w:pPr>
            <w:r>
              <w:rPr>
                <w:rFonts w:hint="eastAsia" w:asciiTheme="minorEastAsia" w:hAnsiTheme="minorEastAsia" w:eastAsiaTheme="minorEastAsia"/>
                <w:b/>
                <w:sz w:val="24"/>
              </w:rPr>
              <w:t>5</w:t>
            </w:r>
            <w:r>
              <w:rPr>
                <w:rFonts w:hint="eastAsia"/>
                <w:b/>
                <w:kern w:val="0"/>
                <w:sz w:val="24"/>
                <w:szCs w:val="24"/>
              </w:rPr>
              <w:t>、</w:t>
            </w:r>
            <w:r>
              <w:rPr>
                <w:b/>
                <w:kern w:val="0"/>
                <w:sz w:val="24"/>
                <w:szCs w:val="24"/>
              </w:rPr>
              <w:t>“</w:t>
            </w:r>
            <w:r>
              <w:rPr>
                <w:rFonts w:hint="eastAsia"/>
                <w:b/>
                <w:kern w:val="0"/>
                <w:sz w:val="24"/>
                <w:szCs w:val="24"/>
              </w:rPr>
              <w:t>三同时</w:t>
            </w:r>
            <w:r>
              <w:rPr>
                <w:b/>
                <w:kern w:val="0"/>
                <w:sz w:val="24"/>
                <w:szCs w:val="24"/>
              </w:rPr>
              <w:t>”</w:t>
            </w:r>
            <w:r>
              <w:rPr>
                <w:rFonts w:hint="eastAsia"/>
                <w:b/>
                <w:kern w:val="0"/>
                <w:sz w:val="24"/>
                <w:szCs w:val="24"/>
              </w:rPr>
              <w:t>验收</w:t>
            </w:r>
          </w:p>
          <w:p>
            <w:pPr>
              <w:spacing w:line="360" w:lineRule="auto"/>
              <w:ind w:firstLine="480" w:firstLineChars="200"/>
              <w:rPr>
                <w:rFonts w:eastAsiaTheme="minorEastAsia"/>
                <w:sz w:val="24"/>
                <w:szCs w:val="24"/>
              </w:rPr>
            </w:pPr>
            <w:r>
              <w:rPr>
                <w:rFonts w:eastAsiaTheme="minorEastAsia"/>
                <w:sz w:val="24"/>
                <w:szCs w:val="24"/>
              </w:rPr>
              <w:t>项目建成后，建设单位应按相关规定“三同时”验收，验收一览表如下：</w:t>
            </w:r>
          </w:p>
          <w:p>
            <w:pPr>
              <w:spacing w:line="360" w:lineRule="auto"/>
              <w:jc w:val="center"/>
              <w:rPr>
                <w:b/>
                <w:kern w:val="0"/>
                <w:szCs w:val="21"/>
              </w:rPr>
            </w:pPr>
            <w:r>
              <w:rPr>
                <w:rFonts w:eastAsiaTheme="minorEastAsia"/>
                <w:b/>
                <w:szCs w:val="21"/>
              </w:rPr>
              <w:t>表7-</w:t>
            </w:r>
            <w:r>
              <w:rPr>
                <w:rFonts w:hint="eastAsia" w:eastAsiaTheme="minorEastAsia"/>
                <w:b/>
                <w:szCs w:val="21"/>
                <w:lang w:val="en-US" w:eastAsia="zh-CN"/>
              </w:rPr>
              <w:t xml:space="preserve">14 </w:t>
            </w:r>
            <w:r>
              <w:rPr>
                <w:rFonts w:eastAsiaTheme="minorEastAsia"/>
                <w:b/>
                <w:szCs w:val="21"/>
              </w:rPr>
              <w:t xml:space="preserve"> 项目环保设施（措施）及投资估算一览表  单位：万元</w:t>
            </w:r>
          </w:p>
          <w:tbl>
            <w:tblPr>
              <w:tblStyle w:val="75"/>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33"/>
              <w:gridCol w:w="1177"/>
              <w:gridCol w:w="1534"/>
              <w:gridCol w:w="2620"/>
              <w:gridCol w:w="903"/>
              <w:gridCol w:w="636"/>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33" w:type="dxa"/>
                  <w:gridSpan w:val="2"/>
                  <w:tcBorders>
                    <w:tl2br w:val="nil"/>
                    <w:tr2bl w:val="nil"/>
                  </w:tcBorders>
                  <w:noWrap w:val="0"/>
                  <w:vAlign w:val="center"/>
                </w:tcPr>
                <w:p>
                  <w:pPr>
                    <w:pStyle w:val="265"/>
                    <w:rPr>
                      <w:rFonts w:ascii="宋体" w:hAnsi="宋体" w:eastAsia="宋体"/>
                      <w:b w:val="0"/>
                      <w:bCs/>
                    </w:rPr>
                  </w:pPr>
                  <w:r>
                    <w:rPr>
                      <w:rFonts w:hint="eastAsia" w:ascii="宋体" w:hAnsi="宋体" w:eastAsia="宋体"/>
                      <w:b w:val="0"/>
                      <w:bCs/>
                    </w:rPr>
                    <w:t>项目</w:t>
                  </w:r>
                  <w:r>
                    <w:rPr>
                      <w:rFonts w:ascii="宋体" w:hAnsi="宋体" w:eastAsia="宋体"/>
                      <w:b w:val="0"/>
                      <w:bCs/>
                    </w:rPr>
                    <w:t>名称</w:t>
                  </w:r>
                </w:p>
              </w:tc>
              <w:tc>
                <w:tcPr>
                  <w:tcW w:w="6870" w:type="dxa"/>
                  <w:gridSpan w:val="5"/>
                  <w:tcBorders>
                    <w:tl2br w:val="nil"/>
                    <w:tr2bl w:val="nil"/>
                  </w:tcBorders>
                  <w:noWrap w:val="0"/>
                  <w:vAlign w:val="center"/>
                </w:tcPr>
                <w:p>
                  <w:pPr>
                    <w:pStyle w:val="265"/>
                    <w:rPr>
                      <w:rFonts w:hint="eastAsia" w:eastAsia="宋体"/>
                      <w:b w:val="0"/>
                      <w:bCs/>
                      <w:lang w:val="en-GB"/>
                    </w:rPr>
                  </w:pPr>
                  <w:r>
                    <w:rPr>
                      <w:rFonts w:hint="eastAsia" w:eastAsia="宋体"/>
                      <w:b w:val="0"/>
                      <w:bCs/>
                      <w:lang w:val="fi-FI"/>
                    </w:rPr>
                    <w:t>环保设备的加工、制造项目</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0" w:type="dxa"/>
                  <w:tcBorders>
                    <w:tl2br w:val="nil"/>
                    <w:tr2bl w:val="nil"/>
                  </w:tcBorders>
                  <w:noWrap w:val="0"/>
                  <w:vAlign w:val="center"/>
                </w:tcPr>
                <w:p>
                  <w:pPr>
                    <w:pStyle w:val="265"/>
                    <w:rPr>
                      <w:rFonts w:eastAsia="宋体"/>
                      <w:b w:val="0"/>
                      <w:bCs/>
                    </w:rPr>
                  </w:pPr>
                  <w:r>
                    <w:rPr>
                      <w:rFonts w:eastAsia="宋体"/>
                      <w:b w:val="0"/>
                      <w:bCs/>
                    </w:rPr>
                    <w:t>类别</w:t>
                  </w:r>
                </w:p>
              </w:tc>
              <w:tc>
                <w:tcPr>
                  <w:tcW w:w="833" w:type="dxa"/>
                  <w:tcBorders>
                    <w:tl2br w:val="nil"/>
                    <w:tr2bl w:val="nil"/>
                  </w:tcBorders>
                  <w:noWrap w:val="0"/>
                  <w:vAlign w:val="center"/>
                </w:tcPr>
                <w:p>
                  <w:pPr>
                    <w:pStyle w:val="265"/>
                    <w:rPr>
                      <w:rFonts w:eastAsia="宋体"/>
                      <w:b w:val="0"/>
                      <w:bCs/>
                    </w:rPr>
                  </w:pPr>
                  <w:r>
                    <w:rPr>
                      <w:rFonts w:hint="eastAsia" w:eastAsia="宋体"/>
                      <w:b w:val="0"/>
                      <w:bCs/>
                    </w:rPr>
                    <w:t>污染源</w:t>
                  </w:r>
                </w:p>
              </w:tc>
              <w:tc>
                <w:tcPr>
                  <w:tcW w:w="1177" w:type="dxa"/>
                  <w:tcBorders>
                    <w:tl2br w:val="nil"/>
                    <w:tr2bl w:val="nil"/>
                  </w:tcBorders>
                  <w:noWrap w:val="0"/>
                  <w:vAlign w:val="center"/>
                </w:tcPr>
                <w:p>
                  <w:pPr>
                    <w:pStyle w:val="265"/>
                    <w:rPr>
                      <w:rFonts w:eastAsia="宋体"/>
                      <w:b w:val="0"/>
                      <w:bCs/>
                      <w:lang w:val="en-GB"/>
                    </w:rPr>
                  </w:pPr>
                  <w:r>
                    <w:rPr>
                      <w:rFonts w:eastAsia="宋体"/>
                      <w:b w:val="0"/>
                      <w:bCs/>
                    </w:rPr>
                    <w:t>污染物</w:t>
                  </w:r>
                </w:p>
              </w:tc>
              <w:tc>
                <w:tcPr>
                  <w:tcW w:w="1534" w:type="dxa"/>
                  <w:tcBorders>
                    <w:tl2br w:val="nil"/>
                    <w:tr2bl w:val="nil"/>
                  </w:tcBorders>
                  <w:noWrap w:val="0"/>
                  <w:vAlign w:val="center"/>
                </w:tcPr>
                <w:p>
                  <w:pPr>
                    <w:pStyle w:val="265"/>
                    <w:jc w:val="both"/>
                    <w:rPr>
                      <w:rFonts w:eastAsia="宋体"/>
                      <w:b w:val="0"/>
                      <w:bCs/>
                      <w:lang w:val="en-GB"/>
                    </w:rPr>
                  </w:pPr>
                  <w:r>
                    <w:rPr>
                      <w:rFonts w:hint="eastAsia" w:eastAsia="宋体"/>
                      <w:b w:val="0"/>
                      <w:bCs/>
                      <w:lang w:val="en-GB"/>
                    </w:rPr>
                    <w:t>治理措施（设施数量、规模、处理能力等）</w:t>
                  </w:r>
                </w:p>
              </w:tc>
              <w:tc>
                <w:tcPr>
                  <w:tcW w:w="2620" w:type="dxa"/>
                  <w:tcBorders>
                    <w:tl2br w:val="nil"/>
                    <w:tr2bl w:val="nil"/>
                  </w:tcBorders>
                  <w:noWrap w:val="0"/>
                  <w:vAlign w:val="center"/>
                </w:tcPr>
                <w:p>
                  <w:pPr>
                    <w:pStyle w:val="265"/>
                    <w:rPr>
                      <w:rFonts w:eastAsia="宋体"/>
                      <w:b w:val="0"/>
                      <w:bCs/>
                    </w:rPr>
                  </w:pPr>
                  <w:r>
                    <w:rPr>
                      <w:rFonts w:hint="eastAsia" w:eastAsia="宋体"/>
                      <w:b w:val="0"/>
                      <w:bCs/>
                    </w:rPr>
                    <w:t>处理效果、执行标准</w:t>
                  </w:r>
                </w:p>
              </w:tc>
              <w:tc>
                <w:tcPr>
                  <w:tcW w:w="903" w:type="dxa"/>
                  <w:tcBorders>
                    <w:tl2br w:val="nil"/>
                    <w:tr2bl w:val="nil"/>
                  </w:tcBorders>
                  <w:noWrap w:val="0"/>
                  <w:vAlign w:val="center"/>
                </w:tcPr>
                <w:p>
                  <w:pPr>
                    <w:pStyle w:val="265"/>
                    <w:rPr>
                      <w:rFonts w:eastAsia="宋体"/>
                      <w:b w:val="0"/>
                      <w:bCs/>
                    </w:rPr>
                  </w:pPr>
                  <w:r>
                    <w:rPr>
                      <w:rFonts w:hint="eastAsia" w:eastAsia="宋体"/>
                      <w:b w:val="0"/>
                      <w:bCs/>
                    </w:rPr>
                    <w:t>环保投资</w:t>
                  </w:r>
                  <w:r>
                    <w:rPr>
                      <w:rFonts w:eastAsia="宋体"/>
                      <w:b w:val="0"/>
                      <w:bCs/>
                    </w:rPr>
                    <w:t>（万元）</w:t>
                  </w:r>
                </w:p>
              </w:tc>
              <w:tc>
                <w:tcPr>
                  <w:tcW w:w="636" w:type="dxa"/>
                  <w:tcBorders>
                    <w:tl2br w:val="nil"/>
                    <w:tr2bl w:val="nil"/>
                  </w:tcBorders>
                  <w:noWrap w:val="0"/>
                  <w:vAlign w:val="center"/>
                </w:tcPr>
                <w:p>
                  <w:pPr>
                    <w:pStyle w:val="265"/>
                    <w:rPr>
                      <w:rFonts w:eastAsia="宋体"/>
                      <w:b w:val="0"/>
                      <w:bCs/>
                    </w:rPr>
                  </w:pPr>
                  <w:r>
                    <w:rPr>
                      <w:rFonts w:hint="eastAsia" w:eastAsia="宋体"/>
                      <w:b w:val="0"/>
                      <w:bCs/>
                    </w:rPr>
                    <w:t>完成时间</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600" w:type="dxa"/>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废气</w:t>
                  </w:r>
                </w:p>
              </w:tc>
              <w:tc>
                <w:tcPr>
                  <w:tcW w:w="833" w:type="dxa"/>
                  <w:tcBorders>
                    <w:tl2br w:val="nil"/>
                    <w:tr2bl w:val="nil"/>
                  </w:tcBorders>
                  <w:noWrap w:val="0"/>
                  <w:vAlign w:val="center"/>
                </w:tcPr>
                <w:p>
                  <w:pPr>
                    <w:pStyle w:val="265"/>
                    <w:rPr>
                      <w:rFonts w:hint="eastAsia" w:eastAsia="宋体"/>
                      <w:lang w:val="en-GB" w:eastAsia="zh-CN"/>
                    </w:rPr>
                  </w:pPr>
                  <w:r>
                    <w:rPr>
                      <w:rFonts w:hint="eastAsia" w:eastAsia="宋体"/>
                      <w:lang w:val="en-GB" w:eastAsia="zh-CN"/>
                    </w:rPr>
                    <w:t>加工中心</w:t>
                  </w:r>
                </w:p>
              </w:tc>
              <w:tc>
                <w:tcPr>
                  <w:tcW w:w="1177" w:type="dxa"/>
                  <w:tcBorders>
                    <w:tl2br w:val="nil"/>
                    <w:tr2bl w:val="nil"/>
                  </w:tcBorders>
                  <w:noWrap w:val="0"/>
                  <w:vAlign w:val="center"/>
                </w:tcPr>
                <w:p>
                  <w:pPr>
                    <w:pStyle w:val="265"/>
                    <w:rPr>
                      <w:rFonts w:hint="eastAsia" w:eastAsia="宋体"/>
                      <w:lang w:val="en-GB" w:eastAsia="zh-CN"/>
                    </w:rPr>
                  </w:pPr>
                  <w:r>
                    <w:rPr>
                      <w:rFonts w:hint="eastAsia" w:eastAsia="宋体"/>
                      <w:lang w:val="en-GB" w:eastAsia="zh-CN"/>
                    </w:rPr>
                    <w:t>颗粒物</w:t>
                  </w:r>
                </w:p>
              </w:tc>
              <w:tc>
                <w:tcPr>
                  <w:tcW w:w="1534" w:type="dxa"/>
                  <w:tcBorders>
                    <w:tl2br w:val="nil"/>
                    <w:tr2bl w:val="nil"/>
                  </w:tcBorders>
                  <w:noWrap w:val="0"/>
                  <w:vAlign w:val="center"/>
                </w:tcPr>
                <w:p>
                  <w:pPr>
                    <w:pStyle w:val="265"/>
                    <w:rPr>
                      <w:rFonts w:hint="eastAsia" w:eastAsia="宋体"/>
                      <w:lang w:eastAsia="zh-CN"/>
                    </w:rPr>
                  </w:pPr>
                  <w:r>
                    <w:rPr>
                      <w:rFonts w:hint="eastAsia" w:eastAsia="宋体"/>
                      <w:lang w:val="en-GB"/>
                    </w:rPr>
                    <w:t>集气罩</w:t>
                  </w:r>
                  <w:r>
                    <w:rPr>
                      <w:rFonts w:hint="eastAsia" w:eastAsia="宋体"/>
                      <w:lang w:val="en-US" w:eastAsia="zh-CN"/>
                    </w:rPr>
                    <w:t>+</w:t>
                  </w:r>
                  <w:r>
                    <w:rPr>
                      <w:rFonts w:hint="eastAsia" w:eastAsia="宋体"/>
                      <w:lang w:eastAsia="zh-CN"/>
                    </w:rPr>
                    <w:t>布袋除尘</w:t>
                  </w:r>
                </w:p>
              </w:tc>
              <w:tc>
                <w:tcPr>
                  <w:tcW w:w="2620" w:type="dxa"/>
                  <w:tcBorders>
                    <w:tl2br w:val="nil"/>
                    <w:tr2bl w:val="nil"/>
                  </w:tcBorders>
                  <w:noWrap w:val="0"/>
                  <w:vAlign w:val="center"/>
                </w:tcPr>
                <w:p>
                  <w:pPr>
                    <w:pStyle w:val="265"/>
                    <w:rPr>
                      <w:rFonts w:eastAsia="宋体"/>
                      <w:lang w:val="en-GB"/>
                    </w:rPr>
                  </w:pPr>
                  <w:r>
                    <w:rPr>
                      <w:rFonts w:hint="eastAsia" w:ascii="Times New Roman" w:hAnsi="Times New Roman" w:eastAsia="宋体" w:cs="Times New Roman"/>
                      <w:lang w:val="en-GB"/>
                    </w:rPr>
                    <w:t>陶瓷工业污染物排放标准》（GB25464-2010）中表6</w:t>
                  </w:r>
                  <w:r>
                    <w:rPr>
                      <w:rFonts w:hint="eastAsia" w:ascii="Times New Roman" w:hAnsi="Times New Roman" w:eastAsia="宋体" w:cs="Times New Roman"/>
                      <w:lang w:val="en-US"/>
                    </w:rPr>
                    <w:t>中限值</w:t>
                  </w:r>
                </w:p>
              </w:tc>
              <w:tc>
                <w:tcPr>
                  <w:tcW w:w="903" w:type="dxa"/>
                  <w:tcBorders>
                    <w:tl2br w:val="nil"/>
                    <w:tr2bl w:val="nil"/>
                  </w:tcBorders>
                  <w:noWrap w:val="0"/>
                  <w:vAlign w:val="center"/>
                </w:tcPr>
                <w:p>
                  <w:pPr>
                    <w:pStyle w:val="265"/>
                    <w:rPr>
                      <w:rFonts w:hint="eastAsia" w:eastAsia="宋体"/>
                      <w:lang w:eastAsia="zh-CN"/>
                    </w:rPr>
                  </w:pPr>
                  <w:r>
                    <w:rPr>
                      <w:rFonts w:hint="eastAsia" w:eastAsia="宋体"/>
                      <w:lang w:val="en-US" w:eastAsia="zh-CN"/>
                    </w:rPr>
                    <w:t>5</w:t>
                  </w:r>
                </w:p>
              </w:tc>
              <w:tc>
                <w:tcPr>
                  <w:tcW w:w="636" w:type="dxa"/>
                  <w:vMerge w:val="restart"/>
                  <w:tcBorders>
                    <w:tl2br w:val="nil"/>
                    <w:tr2bl w:val="nil"/>
                  </w:tcBorders>
                  <w:noWrap w:val="0"/>
                  <w:vAlign w:val="center"/>
                </w:tcPr>
                <w:p>
                  <w:pPr>
                    <w:pStyle w:val="265"/>
                    <w:rPr>
                      <w:rFonts w:hint="eastAsia" w:eastAsia="宋体"/>
                    </w:rPr>
                  </w:pPr>
                  <w:r>
                    <w:rPr>
                      <w:rFonts w:hint="eastAsia" w:eastAsia="宋体"/>
                    </w:rPr>
                    <w:t>与</w:t>
                  </w:r>
                  <w:r>
                    <w:rPr>
                      <w:rFonts w:eastAsia="宋体"/>
                    </w:rPr>
                    <w:t>本项目同时施工、同时</w:t>
                  </w:r>
                  <w:r>
                    <w:rPr>
                      <w:rFonts w:hint="eastAsia" w:eastAsia="宋体"/>
                    </w:rPr>
                    <w:t>建成、同时</w:t>
                  </w:r>
                  <w:r>
                    <w:rPr>
                      <w:rFonts w:eastAsia="宋体"/>
                    </w:rPr>
                    <w:t>使用</w:t>
                  </w:r>
                </w:p>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00" w:type="dxa"/>
                  <w:tcBorders>
                    <w:tl2br w:val="nil"/>
                    <w:tr2bl w:val="nil"/>
                  </w:tcBorders>
                  <w:noWrap w:val="0"/>
                  <w:vAlign w:val="center"/>
                </w:tcPr>
                <w:p>
                  <w:pPr>
                    <w:snapToGrid w:val="0"/>
                    <w:jc w:val="center"/>
                    <w:rPr>
                      <w:rFonts w:hint="eastAsia" w:ascii="宋体" w:hAnsi="宋体" w:cs="宋体"/>
                    </w:rPr>
                  </w:pPr>
                  <w:r>
                    <w:t>废水</w:t>
                  </w:r>
                </w:p>
              </w:tc>
              <w:tc>
                <w:tcPr>
                  <w:tcW w:w="833" w:type="dxa"/>
                  <w:tcBorders>
                    <w:tl2br w:val="nil"/>
                    <w:tr2bl w:val="nil"/>
                  </w:tcBorders>
                  <w:noWrap w:val="0"/>
                  <w:vAlign w:val="center"/>
                </w:tcPr>
                <w:p>
                  <w:pPr>
                    <w:snapToGrid w:val="0"/>
                    <w:jc w:val="center"/>
                  </w:pPr>
                  <w:r>
                    <w:t>生活废水</w:t>
                  </w:r>
                </w:p>
              </w:tc>
              <w:tc>
                <w:tcPr>
                  <w:tcW w:w="1177" w:type="dxa"/>
                  <w:tcBorders>
                    <w:tl2br w:val="nil"/>
                    <w:tr2bl w:val="nil"/>
                  </w:tcBorders>
                  <w:noWrap w:val="0"/>
                  <w:vAlign w:val="center"/>
                </w:tcPr>
                <w:p>
                  <w:pPr>
                    <w:snapToGrid w:val="0"/>
                    <w:jc w:val="center"/>
                    <w:rPr>
                      <w:rFonts w:hint="eastAsia"/>
                    </w:rPr>
                  </w:pPr>
                  <w:r>
                    <w:t>COD、SS、氨氮、总氮、总磷</w:t>
                  </w:r>
                </w:p>
              </w:tc>
              <w:tc>
                <w:tcPr>
                  <w:tcW w:w="1534" w:type="dxa"/>
                  <w:tcBorders>
                    <w:tl2br w:val="nil"/>
                    <w:tr2bl w:val="nil"/>
                  </w:tcBorders>
                  <w:noWrap w:val="0"/>
                  <w:vAlign w:val="center"/>
                </w:tcPr>
                <w:p>
                  <w:pPr>
                    <w:snapToGrid w:val="0"/>
                    <w:jc w:val="center"/>
                    <w:rPr>
                      <w:rFonts w:hint="eastAsia"/>
                    </w:rPr>
                  </w:pPr>
                  <w:r>
                    <w:rPr>
                      <w:rFonts w:hint="eastAsia"/>
                    </w:rPr>
                    <w:t>化粪池</w:t>
                  </w:r>
                </w:p>
              </w:tc>
              <w:tc>
                <w:tcPr>
                  <w:tcW w:w="2620" w:type="dxa"/>
                  <w:tcBorders>
                    <w:tl2br w:val="nil"/>
                    <w:tr2bl w:val="nil"/>
                  </w:tcBorders>
                  <w:noWrap w:val="0"/>
                  <w:vAlign w:val="center"/>
                </w:tcPr>
                <w:p>
                  <w:pPr>
                    <w:snapToGrid w:val="0"/>
                    <w:jc w:val="center"/>
                    <w:rPr>
                      <w:rFonts w:hint="eastAsia" w:ascii="宋体" w:hAnsi="宋体" w:cs="宋体"/>
                      <w:bCs/>
                      <w:color w:val="000000"/>
                    </w:rPr>
                  </w:pPr>
                  <w:r>
                    <w:rPr>
                      <w:kern w:val="0"/>
                      <w:lang w:val="en-GB"/>
                    </w:rPr>
                    <w:t>《城镇污水处理厂污染物排放标准》（GB18918-2002）一级标准A标准（及《太湖地区城镇污水处理厂及重点工业行业主要水污染物排放限值》DB32/1072-20</w:t>
                  </w:r>
                  <w:r>
                    <w:rPr>
                      <w:rFonts w:hint="eastAsia"/>
                      <w:kern w:val="0"/>
                      <w:lang w:val="en-GB"/>
                    </w:rPr>
                    <w:t>18</w:t>
                  </w:r>
                  <w:r>
                    <w:rPr>
                      <w:kern w:val="0"/>
                      <w:lang w:val="en-GB"/>
                    </w:rPr>
                    <w:t>）</w:t>
                  </w:r>
                </w:p>
              </w:tc>
              <w:tc>
                <w:tcPr>
                  <w:tcW w:w="903" w:type="dxa"/>
                  <w:tcBorders>
                    <w:tl2br w:val="nil"/>
                    <w:tr2bl w:val="nil"/>
                  </w:tcBorders>
                  <w:noWrap w:val="0"/>
                  <w:vAlign w:val="center"/>
                </w:tcPr>
                <w:p>
                  <w:pPr>
                    <w:snapToGrid w:val="0"/>
                    <w:jc w:val="center"/>
                    <w:rPr>
                      <w:rFonts w:hint="eastAsia"/>
                    </w:rPr>
                  </w:pPr>
                  <w:r>
                    <w:rPr>
                      <w:rFonts w:hint="eastAsia"/>
                    </w:rPr>
                    <w:t>依托厂区现有</w:t>
                  </w:r>
                </w:p>
              </w:tc>
              <w:tc>
                <w:tcPr>
                  <w:tcW w:w="636" w:type="dxa"/>
                  <w:vMerge w:val="continue"/>
                  <w:tcBorders>
                    <w:tl2br w:val="nil"/>
                    <w:tr2bl w:val="nil"/>
                  </w:tcBorders>
                  <w:noWrap w:val="0"/>
                  <w:vAlign w:val="center"/>
                </w:tcPr>
                <w:p>
                  <w:pPr>
                    <w:pStyle w:val="265"/>
                    <w:rPr>
                      <w:rFonts w:hint="eastAsia"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00" w:type="dxa"/>
                  <w:tcBorders>
                    <w:tl2br w:val="nil"/>
                    <w:tr2bl w:val="nil"/>
                  </w:tcBorders>
                  <w:noWrap w:val="0"/>
                  <w:vAlign w:val="center"/>
                </w:tcPr>
                <w:p>
                  <w:pPr>
                    <w:pStyle w:val="265"/>
                    <w:rPr>
                      <w:rFonts w:hint="eastAsia" w:ascii="宋体" w:hAnsi="宋体" w:eastAsia="宋体" w:cs="宋体"/>
                    </w:rPr>
                  </w:pPr>
                  <w:r>
                    <w:rPr>
                      <w:rFonts w:hint="eastAsia" w:ascii="宋体" w:hAnsi="宋体" w:eastAsia="宋体" w:cs="宋体"/>
                    </w:rPr>
                    <w:t>固废</w:t>
                  </w:r>
                </w:p>
              </w:tc>
              <w:tc>
                <w:tcPr>
                  <w:tcW w:w="833" w:type="dxa"/>
                  <w:tcBorders>
                    <w:tl2br w:val="nil"/>
                    <w:tr2bl w:val="nil"/>
                  </w:tcBorders>
                  <w:noWrap w:val="0"/>
                  <w:vAlign w:val="center"/>
                </w:tcPr>
                <w:p>
                  <w:pPr>
                    <w:pStyle w:val="266"/>
                    <w:rPr>
                      <w:rFonts w:hint="eastAsia" w:hAnsi="宋体" w:eastAsia="宋体" w:cs="宋体"/>
                      <w:sz w:val="21"/>
                      <w:szCs w:val="21"/>
                    </w:rPr>
                  </w:pPr>
                  <w:r>
                    <w:rPr>
                      <w:rFonts w:ascii="Times New Roman" w:hAnsi="Times New Roman" w:eastAsia="宋体"/>
                      <w:sz w:val="21"/>
                      <w:szCs w:val="21"/>
                    </w:rPr>
                    <w:t>一般固废</w:t>
                  </w:r>
                </w:p>
              </w:tc>
              <w:tc>
                <w:tcPr>
                  <w:tcW w:w="1177" w:type="dxa"/>
                  <w:tcBorders>
                    <w:tl2br w:val="nil"/>
                    <w:tr2bl w:val="nil"/>
                  </w:tcBorders>
                  <w:noWrap w:val="0"/>
                  <w:vAlign w:val="center"/>
                </w:tcPr>
                <w:p>
                  <w:pPr>
                    <w:pStyle w:val="266"/>
                    <w:rPr>
                      <w:rFonts w:hint="eastAsia" w:hAnsi="宋体" w:eastAsia="宋体" w:cs="宋体"/>
                      <w:sz w:val="21"/>
                      <w:szCs w:val="21"/>
                    </w:rPr>
                  </w:pPr>
                  <w:r>
                    <w:rPr>
                      <w:rFonts w:hint="eastAsia" w:ascii="Times New Roman" w:hAnsi="Times New Roman" w:eastAsia="宋体"/>
                      <w:sz w:val="21"/>
                      <w:szCs w:val="21"/>
                    </w:rPr>
                    <w:t>废金属、废塑料等</w:t>
                  </w:r>
                </w:p>
              </w:tc>
              <w:tc>
                <w:tcPr>
                  <w:tcW w:w="1534" w:type="dxa"/>
                  <w:tcBorders>
                    <w:tl2br w:val="nil"/>
                    <w:tr2bl w:val="nil"/>
                  </w:tcBorders>
                  <w:noWrap w:val="0"/>
                  <w:vAlign w:val="center"/>
                </w:tcPr>
                <w:p>
                  <w:pPr>
                    <w:pStyle w:val="266"/>
                    <w:rPr>
                      <w:rFonts w:hint="eastAsia" w:hAnsi="宋体" w:eastAsia="宋体" w:cs="宋体"/>
                      <w:sz w:val="21"/>
                      <w:szCs w:val="21"/>
                      <w:lang w:val="en-GB"/>
                    </w:rPr>
                  </w:pPr>
                  <w:r>
                    <w:rPr>
                      <w:rFonts w:hint="eastAsia" w:ascii="Times New Roman" w:hAnsi="Times New Roman" w:eastAsia="宋体"/>
                      <w:sz w:val="21"/>
                      <w:szCs w:val="21"/>
                    </w:rPr>
                    <w:t>一般固废堆放场</w:t>
                  </w:r>
                  <w:r>
                    <w:rPr>
                      <w:rFonts w:hint="eastAsia" w:ascii="Times New Roman" w:hAnsi="Times New Roman" w:eastAsia="宋体"/>
                      <w:sz w:val="21"/>
                      <w:szCs w:val="21"/>
                      <w:lang w:val="en-US" w:eastAsia="zh-CN"/>
                    </w:rPr>
                    <w:t>10</w:t>
                  </w:r>
                  <w:r>
                    <w:rPr>
                      <w:rFonts w:hint="eastAsia" w:ascii="Times New Roman" w:hAnsi="Times New Roman" w:eastAsia="宋体"/>
                      <w:sz w:val="21"/>
                      <w:szCs w:val="21"/>
                    </w:rPr>
                    <w:t>m</w:t>
                  </w:r>
                  <w:r>
                    <w:rPr>
                      <w:rFonts w:hint="eastAsia" w:ascii="Times New Roman" w:hAnsi="Times New Roman" w:eastAsia="宋体"/>
                      <w:sz w:val="21"/>
                      <w:szCs w:val="21"/>
                      <w:vertAlign w:val="superscript"/>
                    </w:rPr>
                    <w:t>3</w:t>
                  </w:r>
                </w:p>
              </w:tc>
              <w:tc>
                <w:tcPr>
                  <w:tcW w:w="2620" w:type="dxa"/>
                  <w:tcBorders>
                    <w:tl2br w:val="nil"/>
                    <w:tr2bl w:val="nil"/>
                  </w:tcBorders>
                  <w:noWrap w:val="0"/>
                  <w:vAlign w:val="center"/>
                </w:tcPr>
                <w:p>
                  <w:pPr>
                    <w:pStyle w:val="265"/>
                    <w:rPr>
                      <w:rFonts w:hint="eastAsia" w:ascii="宋体" w:hAnsi="宋体" w:eastAsia="宋体" w:cs="宋体"/>
                      <w:bCs/>
                      <w:color w:val="000000"/>
                    </w:rPr>
                  </w:pPr>
                  <w:r>
                    <w:rPr>
                      <w:rFonts w:hint="eastAsia" w:ascii="宋体" w:hAnsi="宋体" w:eastAsia="宋体" w:cs="宋体"/>
                      <w:bCs/>
                      <w:color w:val="000000"/>
                    </w:rPr>
                    <w:t>零排放</w:t>
                  </w:r>
                </w:p>
              </w:tc>
              <w:tc>
                <w:tcPr>
                  <w:tcW w:w="903" w:type="dxa"/>
                  <w:tcBorders>
                    <w:tl2br w:val="nil"/>
                    <w:tr2bl w:val="nil"/>
                  </w:tcBorders>
                  <w:noWrap w:val="0"/>
                  <w:vAlign w:val="center"/>
                </w:tcPr>
                <w:p>
                  <w:pPr>
                    <w:pStyle w:val="265"/>
                    <w:rPr>
                      <w:rFonts w:hint="eastAsia" w:eastAsia="宋体"/>
                      <w:lang w:eastAsia="zh-CN"/>
                    </w:rPr>
                  </w:pPr>
                  <w:r>
                    <w:rPr>
                      <w:rFonts w:hint="eastAsia" w:eastAsia="宋体"/>
                      <w:lang w:val="en-US" w:eastAsia="zh-CN"/>
                    </w:rPr>
                    <w:t>5</w:t>
                  </w:r>
                </w:p>
              </w:tc>
              <w:tc>
                <w:tcPr>
                  <w:tcW w:w="636" w:type="dxa"/>
                  <w:vMerge w:val="continue"/>
                  <w:tcBorders>
                    <w:tl2br w:val="nil"/>
                    <w:tr2bl w:val="nil"/>
                  </w:tcBorders>
                  <w:noWrap w:val="0"/>
                  <w:vAlign w:val="center"/>
                </w:tcPr>
                <w:p>
                  <w:pPr>
                    <w:pStyle w:val="265"/>
                    <w:rPr>
                      <w:rFonts w:hint="eastAsia"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00" w:type="dxa"/>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噪声</w:t>
                  </w:r>
                </w:p>
              </w:tc>
              <w:tc>
                <w:tcPr>
                  <w:tcW w:w="833" w:type="dxa"/>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生产/公辅设备</w:t>
                  </w:r>
                </w:p>
              </w:tc>
              <w:tc>
                <w:tcPr>
                  <w:tcW w:w="1177" w:type="dxa"/>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噪声</w:t>
                  </w:r>
                </w:p>
              </w:tc>
              <w:tc>
                <w:tcPr>
                  <w:tcW w:w="1534" w:type="dxa"/>
                  <w:tcBorders>
                    <w:tl2br w:val="nil"/>
                    <w:tr2bl w:val="nil"/>
                  </w:tcBorders>
                  <w:noWrap w:val="0"/>
                  <w:vAlign w:val="center"/>
                </w:tcPr>
                <w:p>
                  <w:pPr>
                    <w:pStyle w:val="265"/>
                    <w:rPr>
                      <w:rFonts w:ascii="宋体" w:hAnsi="宋体" w:eastAsia="宋体" w:cs="宋体"/>
                    </w:rPr>
                  </w:pPr>
                  <w:r>
                    <w:rPr>
                      <w:rFonts w:hint="eastAsia" w:eastAsia="宋体"/>
                      <w:kern w:val="2"/>
                    </w:rPr>
                    <w:t>选用低噪声设备、隔声门窗、吸声材料</w:t>
                  </w:r>
                </w:p>
              </w:tc>
              <w:tc>
                <w:tcPr>
                  <w:tcW w:w="2620" w:type="dxa"/>
                  <w:tcBorders>
                    <w:tl2br w:val="nil"/>
                    <w:tr2bl w:val="nil"/>
                  </w:tcBorders>
                  <w:noWrap w:val="0"/>
                  <w:vAlign w:val="center"/>
                </w:tcPr>
                <w:p>
                  <w:pPr>
                    <w:pStyle w:val="265"/>
                    <w:rPr>
                      <w:rFonts w:ascii="宋体" w:hAnsi="宋体" w:eastAsia="宋体" w:cs="宋体"/>
                      <w:lang w:val="en-GB"/>
                    </w:rPr>
                  </w:pPr>
                  <w:r>
                    <w:rPr>
                      <w:rFonts w:hint="eastAsia" w:ascii="宋体" w:hAnsi="宋体" w:eastAsia="宋体" w:cs="宋体"/>
                      <w:bCs/>
                      <w:color w:val="000000"/>
                    </w:rPr>
                    <w:t>达到</w:t>
                  </w:r>
                  <w:r>
                    <w:rPr>
                      <w:rFonts w:eastAsia="宋体"/>
                      <w:bCs/>
                      <w:color w:val="000000"/>
                    </w:rPr>
                    <w:t>GB 12348</w:t>
                  </w:r>
                  <w:r>
                    <w:rPr>
                      <w:rFonts w:hint="eastAsia" w:ascii="宋体" w:hAnsi="宋体" w:eastAsia="宋体" w:cs="宋体"/>
                      <w:bCs/>
                      <w:color w:val="000000"/>
                    </w:rPr>
                    <w:t>中</w:t>
                  </w:r>
                  <w:r>
                    <w:rPr>
                      <w:rFonts w:hint="eastAsia" w:eastAsia="宋体"/>
                      <w:bCs/>
                      <w:color w:val="000000"/>
                    </w:rPr>
                    <w:t>3</w:t>
                  </w:r>
                  <w:r>
                    <w:rPr>
                      <w:rFonts w:hint="eastAsia" w:ascii="宋体" w:hAnsi="宋体" w:eastAsia="宋体" w:cs="宋体"/>
                      <w:bCs/>
                      <w:color w:val="000000"/>
                    </w:rPr>
                    <w:t>类标准</w:t>
                  </w:r>
                </w:p>
              </w:tc>
              <w:tc>
                <w:tcPr>
                  <w:tcW w:w="903" w:type="dxa"/>
                  <w:tcBorders>
                    <w:tl2br w:val="nil"/>
                    <w:tr2bl w:val="nil"/>
                  </w:tcBorders>
                  <w:noWrap w:val="0"/>
                  <w:vAlign w:val="center"/>
                </w:tcPr>
                <w:p>
                  <w:pPr>
                    <w:pStyle w:val="265"/>
                    <w:rPr>
                      <w:rFonts w:hint="eastAsia" w:eastAsia="宋体"/>
                      <w:lang w:eastAsia="zh-CN"/>
                    </w:rPr>
                  </w:pPr>
                  <w:r>
                    <w:rPr>
                      <w:rFonts w:hint="eastAsia" w:eastAsia="宋体"/>
                      <w:lang w:val="en-US" w:eastAsia="zh-CN"/>
                    </w:rPr>
                    <w:t>3</w:t>
                  </w:r>
                </w:p>
              </w:tc>
              <w:tc>
                <w:tcPr>
                  <w:tcW w:w="636" w:type="dxa"/>
                  <w:vMerge w:val="continue"/>
                  <w:tcBorders>
                    <w:tl2br w:val="nil"/>
                    <w:tr2bl w:val="nil"/>
                  </w:tcBorders>
                  <w:noWrap w:val="0"/>
                  <w:vAlign w:val="center"/>
                </w:tcPr>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610" w:type="dxa"/>
                  <w:gridSpan w:val="3"/>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事故应急措施</w:t>
                  </w:r>
                </w:p>
              </w:tc>
              <w:tc>
                <w:tcPr>
                  <w:tcW w:w="4154" w:type="dxa"/>
                  <w:gridSpan w:val="2"/>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应急设施灭火器等</w:t>
                  </w:r>
                </w:p>
              </w:tc>
              <w:tc>
                <w:tcPr>
                  <w:tcW w:w="903" w:type="dxa"/>
                  <w:tcBorders>
                    <w:tl2br w:val="nil"/>
                    <w:tr2bl w:val="nil"/>
                  </w:tcBorders>
                  <w:noWrap w:val="0"/>
                  <w:vAlign w:val="center"/>
                </w:tcPr>
                <w:p>
                  <w:pPr>
                    <w:pStyle w:val="265"/>
                    <w:rPr>
                      <w:rFonts w:hint="eastAsia" w:eastAsia="宋体"/>
                      <w:lang w:eastAsia="zh-CN"/>
                    </w:rPr>
                  </w:pPr>
                  <w:r>
                    <w:rPr>
                      <w:rFonts w:hint="eastAsia" w:eastAsia="宋体"/>
                      <w:lang w:val="en-US" w:eastAsia="zh-CN"/>
                    </w:rPr>
                    <w:t>4</w:t>
                  </w:r>
                </w:p>
              </w:tc>
              <w:tc>
                <w:tcPr>
                  <w:tcW w:w="636" w:type="dxa"/>
                  <w:vMerge w:val="continue"/>
                  <w:tcBorders>
                    <w:tl2br w:val="nil"/>
                    <w:tr2bl w:val="nil"/>
                  </w:tcBorders>
                  <w:noWrap w:val="0"/>
                  <w:vAlign w:val="center"/>
                </w:tcPr>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10" w:type="dxa"/>
                  <w:gridSpan w:val="3"/>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环境管理（机构、监测能力）</w:t>
                  </w:r>
                </w:p>
              </w:tc>
              <w:tc>
                <w:tcPr>
                  <w:tcW w:w="4154" w:type="dxa"/>
                  <w:gridSpan w:val="2"/>
                  <w:tcBorders>
                    <w:tl2br w:val="nil"/>
                    <w:tr2bl w:val="nil"/>
                  </w:tcBorders>
                  <w:noWrap w:val="0"/>
                  <w:vAlign w:val="center"/>
                </w:tcPr>
                <w:p>
                  <w:pPr>
                    <w:pStyle w:val="265"/>
                    <w:rPr>
                      <w:rFonts w:ascii="宋体" w:hAnsi="宋体" w:eastAsia="宋体" w:cs="宋体"/>
                    </w:rPr>
                  </w:pPr>
                  <w:r>
                    <w:rPr>
                      <w:rFonts w:hint="eastAsia" w:ascii="宋体" w:hAnsi="宋体" w:eastAsia="宋体" w:cs="宋体"/>
                      <w:lang w:val="en-GB"/>
                    </w:rPr>
                    <w:t>设立环境管理部门，环保档案存档，每年进行例行监测</w:t>
                  </w:r>
                </w:p>
              </w:tc>
              <w:tc>
                <w:tcPr>
                  <w:tcW w:w="903" w:type="dxa"/>
                  <w:tcBorders>
                    <w:tl2br w:val="nil"/>
                    <w:tr2bl w:val="nil"/>
                  </w:tcBorders>
                  <w:noWrap w:val="0"/>
                  <w:vAlign w:val="center"/>
                </w:tcPr>
                <w:p>
                  <w:pPr>
                    <w:pStyle w:val="265"/>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2</w:t>
                  </w:r>
                </w:p>
              </w:tc>
              <w:tc>
                <w:tcPr>
                  <w:tcW w:w="636" w:type="dxa"/>
                  <w:vMerge w:val="continue"/>
                  <w:tcBorders>
                    <w:tl2br w:val="nil"/>
                    <w:tr2bl w:val="nil"/>
                  </w:tcBorders>
                  <w:noWrap w:val="0"/>
                  <w:vAlign w:val="center"/>
                </w:tcPr>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610" w:type="dxa"/>
                  <w:gridSpan w:val="3"/>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清污分流、排污口规范化设置</w:t>
                  </w:r>
                </w:p>
              </w:tc>
              <w:tc>
                <w:tcPr>
                  <w:tcW w:w="4154" w:type="dxa"/>
                  <w:gridSpan w:val="2"/>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满足《环境保护图形标志》实施细则（试行）中要求</w:t>
                  </w:r>
                </w:p>
              </w:tc>
              <w:tc>
                <w:tcPr>
                  <w:tcW w:w="903" w:type="dxa"/>
                  <w:tcBorders>
                    <w:tl2br w:val="nil"/>
                    <w:tr2bl w:val="nil"/>
                  </w:tcBorders>
                  <w:noWrap w:val="0"/>
                  <w:vAlign w:val="center"/>
                </w:tcPr>
                <w:p>
                  <w:pPr>
                    <w:pStyle w:val="265"/>
                    <w:rPr>
                      <w:rFonts w:hint="eastAsia" w:eastAsia="宋体"/>
                    </w:rPr>
                  </w:pPr>
                  <w:r>
                    <w:rPr>
                      <w:rFonts w:hint="eastAsia" w:eastAsia="宋体"/>
                    </w:rPr>
                    <w:t>1</w:t>
                  </w:r>
                </w:p>
              </w:tc>
              <w:tc>
                <w:tcPr>
                  <w:tcW w:w="636" w:type="dxa"/>
                  <w:vMerge w:val="continue"/>
                  <w:tcBorders>
                    <w:tl2br w:val="nil"/>
                    <w:tr2bl w:val="nil"/>
                  </w:tcBorders>
                  <w:noWrap w:val="0"/>
                  <w:vAlign w:val="center"/>
                </w:tcPr>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610" w:type="dxa"/>
                  <w:gridSpan w:val="3"/>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总量平衡具体方案</w:t>
                  </w:r>
                </w:p>
              </w:tc>
              <w:tc>
                <w:tcPr>
                  <w:tcW w:w="4154" w:type="dxa"/>
                  <w:gridSpan w:val="2"/>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大气污染物总量控制指标在高塍镇总量控制范围内进行区域内平衡，污水最终排放量在宜兴市城市污水处理厂已批复的总量中平衡</w:t>
                  </w:r>
                </w:p>
              </w:tc>
              <w:tc>
                <w:tcPr>
                  <w:tcW w:w="903" w:type="dxa"/>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w:t>
                  </w:r>
                </w:p>
              </w:tc>
              <w:tc>
                <w:tcPr>
                  <w:tcW w:w="636" w:type="dxa"/>
                  <w:vMerge w:val="continue"/>
                  <w:tcBorders>
                    <w:tl2br w:val="nil"/>
                    <w:tr2bl w:val="nil"/>
                  </w:tcBorders>
                  <w:noWrap w:val="0"/>
                  <w:vAlign w:val="center"/>
                </w:tcPr>
                <w:p>
                  <w:pPr>
                    <w:pStyle w:val="265"/>
                    <w:rPr>
                      <w:rFonts w:eastAsia="宋体"/>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610" w:type="dxa"/>
                  <w:gridSpan w:val="3"/>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总计</w:t>
                  </w:r>
                </w:p>
              </w:tc>
              <w:tc>
                <w:tcPr>
                  <w:tcW w:w="4154" w:type="dxa"/>
                  <w:gridSpan w:val="2"/>
                  <w:tcBorders>
                    <w:tl2br w:val="nil"/>
                    <w:tr2bl w:val="nil"/>
                  </w:tcBorders>
                  <w:noWrap w:val="0"/>
                  <w:vAlign w:val="center"/>
                </w:tcPr>
                <w:p>
                  <w:pPr>
                    <w:pStyle w:val="265"/>
                    <w:rPr>
                      <w:rFonts w:ascii="宋体" w:hAnsi="宋体" w:eastAsia="宋体" w:cs="宋体"/>
                    </w:rPr>
                  </w:pPr>
                  <w:r>
                    <w:rPr>
                      <w:rFonts w:hint="eastAsia" w:ascii="宋体" w:hAnsi="宋体" w:eastAsia="宋体" w:cs="宋体"/>
                    </w:rPr>
                    <w:t>/</w:t>
                  </w:r>
                </w:p>
              </w:tc>
              <w:tc>
                <w:tcPr>
                  <w:tcW w:w="903" w:type="dxa"/>
                  <w:tcBorders>
                    <w:tl2br w:val="nil"/>
                    <w:tr2bl w:val="nil"/>
                  </w:tcBorders>
                  <w:noWrap w:val="0"/>
                  <w:vAlign w:val="center"/>
                </w:tcPr>
                <w:p>
                  <w:pPr>
                    <w:pStyle w:val="265"/>
                    <w:rPr>
                      <w:rFonts w:hint="default" w:eastAsia="宋体"/>
                      <w:lang w:val="en-US" w:eastAsia="zh-CN"/>
                    </w:rPr>
                  </w:pPr>
                  <w:r>
                    <w:rPr>
                      <w:rFonts w:hint="eastAsia" w:eastAsia="宋体"/>
                      <w:lang w:val="en-US" w:eastAsia="zh-CN"/>
                    </w:rPr>
                    <w:t>20</w:t>
                  </w:r>
                </w:p>
              </w:tc>
              <w:tc>
                <w:tcPr>
                  <w:tcW w:w="636" w:type="dxa"/>
                  <w:vMerge w:val="continue"/>
                  <w:tcBorders>
                    <w:tl2br w:val="nil"/>
                    <w:tr2bl w:val="nil"/>
                  </w:tcBorders>
                  <w:noWrap w:val="0"/>
                  <w:vAlign w:val="center"/>
                </w:tcPr>
                <w:p>
                  <w:pPr>
                    <w:pStyle w:val="265"/>
                    <w:rPr>
                      <w:rFonts w:eastAsia="宋体"/>
                    </w:rPr>
                  </w:pPr>
                </w:p>
              </w:tc>
            </w:tr>
          </w:tbl>
          <w:p>
            <w:pPr>
              <w:spacing w:beforeLines="50" w:line="360" w:lineRule="auto"/>
              <w:rPr>
                <w:kern w:val="0"/>
                <w:sz w:val="24"/>
                <w:szCs w:val="24"/>
              </w:rPr>
            </w:pPr>
            <w:r>
              <w:rPr>
                <w:rFonts w:hAnsi="宋体"/>
                <w:sz w:val="24"/>
                <w:szCs w:val="24"/>
              </w:rPr>
              <w:t>本</w:t>
            </w:r>
            <w:r>
              <w:rPr>
                <w:rFonts w:hint="eastAsia" w:hAnsi="宋体"/>
                <w:sz w:val="24"/>
                <w:szCs w:val="24"/>
              </w:rPr>
              <w:t>项目</w:t>
            </w:r>
            <w:r>
              <w:rPr>
                <w:rFonts w:hAnsi="宋体"/>
                <w:sz w:val="24"/>
                <w:szCs w:val="24"/>
              </w:rPr>
              <w:t>环保投资共约</w:t>
            </w:r>
            <w:r>
              <w:rPr>
                <w:rFonts w:hint="eastAsia"/>
                <w:sz w:val="24"/>
                <w:szCs w:val="24"/>
                <w:lang w:val="en-US" w:eastAsia="zh-CN"/>
              </w:rPr>
              <w:t>20</w:t>
            </w:r>
            <w:r>
              <w:rPr>
                <w:rFonts w:hAnsi="宋体"/>
                <w:sz w:val="24"/>
                <w:szCs w:val="24"/>
              </w:rPr>
              <w:t>万元，占总投资额的</w:t>
            </w:r>
            <w:r>
              <w:rPr>
                <w:rFonts w:hint="eastAsia"/>
                <w:sz w:val="24"/>
                <w:szCs w:val="24"/>
                <w:lang w:val="en-US" w:eastAsia="zh-CN"/>
              </w:rPr>
              <w:t>4</w:t>
            </w:r>
            <w:r>
              <w:rPr>
                <w:sz w:val="24"/>
                <w:szCs w:val="24"/>
              </w:rPr>
              <w:t>%</w:t>
            </w:r>
            <w:r>
              <w:rPr>
                <w:rFonts w:hAnsi="宋体"/>
                <w:sz w:val="24"/>
                <w:szCs w:val="24"/>
              </w:rPr>
              <w:t>。</w:t>
            </w:r>
          </w:p>
          <w:p>
            <w:pPr>
              <w:spacing w:beforeLines="50" w:line="360" w:lineRule="auto"/>
              <w:ind w:firstLine="602" w:firstLineChars="250"/>
              <w:rPr>
                <w:b/>
                <w:kern w:val="0"/>
                <w:sz w:val="24"/>
                <w:szCs w:val="24"/>
              </w:rPr>
            </w:pPr>
            <w:r>
              <w:rPr>
                <w:rFonts w:hint="eastAsia"/>
                <w:b/>
                <w:kern w:val="0"/>
                <w:sz w:val="24"/>
                <w:szCs w:val="24"/>
              </w:rPr>
              <w:t>6、环境管理</w:t>
            </w:r>
          </w:p>
          <w:p>
            <w:pPr>
              <w:spacing w:line="360" w:lineRule="auto"/>
              <w:ind w:firstLine="480" w:firstLineChars="200"/>
              <w:rPr>
                <w:kern w:val="0"/>
                <w:sz w:val="24"/>
                <w:szCs w:val="24"/>
              </w:rPr>
            </w:pPr>
            <w:r>
              <w:rPr>
                <w:rFonts w:hint="eastAsia"/>
                <w:kern w:val="0"/>
                <w:sz w:val="24"/>
                <w:szCs w:val="24"/>
              </w:rPr>
              <w:t>（1）加强对管理人员的教育</w:t>
            </w:r>
          </w:p>
          <w:p>
            <w:pPr>
              <w:spacing w:line="360" w:lineRule="auto"/>
              <w:ind w:firstLine="480" w:firstLineChars="200"/>
              <w:rPr>
                <w:kern w:val="0"/>
                <w:sz w:val="24"/>
                <w:szCs w:val="24"/>
              </w:rPr>
            </w:pPr>
            <w:r>
              <w:rPr>
                <w:rFonts w:hint="eastAsia"/>
                <w:kern w:val="0"/>
                <w:sz w:val="24"/>
                <w:szCs w:val="24"/>
              </w:rPr>
              <w:t>要经常加强对环保管理人员的教育，包括业务能力、操作技术、环保管理知识的教育，以增强他们的环保意识，提高管理水平。</w:t>
            </w:r>
          </w:p>
          <w:p>
            <w:pPr>
              <w:spacing w:line="360" w:lineRule="auto"/>
              <w:ind w:firstLine="480" w:firstLineChars="200"/>
              <w:rPr>
                <w:kern w:val="0"/>
                <w:sz w:val="24"/>
                <w:szCs w:val="24"/>
              </w:rPr>
            </w:pPr>
            <w:r>
              <w:rPr>
                <w:rFonts w:hint="eastAsia"/>
                <w:kern w:val="0"/>
                <w:sz w:val="24"/>
                <w:szCs w:val="24"/>
              </w:rPr>
              <w:t>（2）加强生产全过程的环境管理</w:t>
            </w:r>
          </w:p>
          <w:p>
            <w:pPr>
              <w:spacing w:line="360" w:lineRule="auto"/>
              <w:ind w:firstLine="480" w:firstLineChars="200"/>
              <w:rPr>
                <w:kern w:val="0"/>
                <w:sz w:val="24"/>
                <w:szCs w:val="24"/>
              </w:rPr>
            </w:pPr>
            <w:r>
              <w:rPr>
                <w:rFonts w:hint="eastAsia"/>
                <w:kern w:val="0"/>
                <w:sz w:val="24"/>
                <w:szCs w:val="24"/>
              </w:rPr>
              <w:t>建设单位应加强生产全过程的环境管理，始终贯彻清洁生产，节约原材料和能源，减少所有废弃物的数量；减少从原材料选择到产品最终处置的全生命周期的不利影响；尽量采用本行业先进的生产工艺、生产设备。</w:t>
            </w:r>
          </w:p>
          <w:p>
            <w:pPr>
              <w:spacing w:line="360" w:lineRule="auto"/>
              <w:ind w:firstLine="480" w:firstLineChars="200"/>
              <w:rPr>
                <w:kern w:val="0"/>
                <w:sz w:val="24"/>
                <w:szCs w:val="24"/>
              </w:rPr>
            </w:pPr>
            <w:r>
              <w:rPr>
                <w:rFonts w:hint="eastAsia"/>
                <w:kern w:val="0"/>
                <w:sz w:val="24"/>
                <w:szCs w:val="24"/>
              </w:rPr>
              <w:t>（3）加强污染物处理装置的管理</w:t>
            </w:r>
          </w:p>
          <w:p>
            <w:pPr>
              <w:spacing w:line="360" w:lineRule="auto"/>
              <w:ind w:firstLine="480" w:firstLineChars="200"/>
              <w:rPr>
                <w:kern w:val="0"/>
                <w:sz w:val="24"/>
                <w:szCs w:val="24"/>
              </w:rPr>
            </w:pPr>
            <w:r>
              <w:rPr>
                <w:rFonts w:hint="eastAsia"/>
                <w:kern w:val="0"/>
                <w:sz w:val="24"/>
                <w:szCs w:val="24"/>
              </w:rPr>
              <w:t>项目建成投产前，必须切实做好各项处理设备的选型、安装、调试；对各环保处理设施，要加强管理，及时维修、定期保养，保证处理设施正常运行。</w:t>
            </w:r>
          </w:p>
          <w:p>
            <w:pPr>
              <w:pStyle w:val="74"/>
              <w:spacing w:line="360" w:lineRule="auto"/>
              <w:ind w:firstLine="602" w:firstLineChars="250"/>
              <w:rPr>
                <w:rStyle w:val="89"/>
                <w:b/>
                <w:kern w:val="0"/>
                <w:sz w:val="24"/>
                <w:szCs w:val="24"/>
              </w:rPr>
            </w:pPr>
            <w:r>
              <w:rPr>
                <w:rStyle w:val="89"/>
                <w:rFonts w:hint="eastAsia"/>
                <w:b/>
                <w:kern w:val="0"/>
                <w:sz w:val="24"/>
                <w:szCs w:val="24"/>
              </w:rPr>
              <w:t>7、环境监测计划</w:t>
            </w:r>
          </w:p>
          <w:p>
            <w:pPr>
              <w:adjustRightInd w:val="0"/>
              <w:spacing w:line="360" w:lineRule="auto"/>
              <w:ind w:firstLine="480" w:firstLineChars="200"/>
              <w:textAlignment w:val="baseline"/>
              <w:rPr>
                <w:bCs/>
                <w:sz w:val="24"/>
              </w:rPr>
            </w:pPr>
            <w:r>
              <w:rPr>
                <w:bCs/>
                <w:sz w:val="24"/>
              </w:rPr>
              <w:t>营运期的污染源监测主要是对项目的污染源和环保设施的运行情况进行监测。为掌握工程环保设施的运行状况，建议对废气总排口及其他污染源的环保设施运行情况进行定期监测。建议制定环境监测计划如下：</w:t>
            </w:r>
          </w:p>
          <w:p>
            <w:pPr>
              <w:spacing w:afterLines="50"/>
              <w:rPr>
                <w:b/>
                <w:szCs w:val="21"/>
              </w:rPr>
            </w:pPr>
            <w:r>
              <w:rPr>
                <w:rFonts w:hint="eastAsia"/>
                <w:b/>
                <w:szCs w:val="21"/>
              </w:rPr>
              <w:t xml:space="preserve">                           表</w:t>
            </w:r>
            <w:r>
              <w:rPr>
                <w:rFonts w:hint="eastAsia"/>
                <w:b/>
                <w:szCs w:val="21"/>
                <w:lang w:val="en-US"/>
              </w:rPr>
              <w:t>7-</w:t>
            </w:r>
            <w:r>
              <w:rPr>
                <w:rFonts w:hint="eastAsia"/>
                <w:b/>
                <w:szCs w:val="21"/>
                <w:lang w:val="en-US" w:eastAsia="zh-CN"/>
              </w:rPr>
              <w:t>15</w:t>
            </w:r>
            <w:r>
              <w:rPr>
                <w:rFonts w:hint="eastAsia"/>
                <w:b/>
                <w:szCs w:val="21"/>
                <w:lang w:val="en-US"/>
              </w:rPr>
              <w:t xml:space="preserve">  </w:t>
            </w:r>
            <w:r>
              <w:rPr>
                <w:b/>
                <w:szCs w:val="21"/>
              </w:rPr>
              <w:t xml:space="preserve"> 营运期监测计划</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73"/>
              <w:gridCol w:w="1156"/>
              <w:gridCol w:w="1080"/>
              <w:gridCol w:w="1272"/>
              <w:gridCol w:w="3732"/>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1076" w:type="dxa"/>
                  <w:tcBorders>
                    <w:tl2br w:val="nil"/>
                    <w:tr2bl w:val="nil"/>
                  </w:tcBorders>
                  <w:vAlign w:val="center"/>
                </w:tcPr>
                <w:p>
                  <w:pPr>
                    <w:rPr>
                      <w:b/>
                      <w:szCs w:val="21"/>
                    </w:rPr>
                  </w:pPr>
                  <w:r>
                    <w:rPr>
                      <w:b/>
                      <w:szCs w:val="21"/>
                    </w:rPr>
                    <w:t>监测项目</w:t>
                  </w:r>
                </w:p>
              </w:tc>
              <w:tc>
                <w:tcPr>
                  <w:tcW w:w="1158" w:type="dxa"/>
                  <w:tcBorders>
                    <w:tl2br w:val="nil"/>
                    <w:tr2bl w:val="nil"/>
                  </w:tcBorders>
                  <w:vAlign w:val="center"/>
                </w:tcPr>
                <w:p>
                  <w:pPr>
                    <w:jc w:val="center"/>
                    <w:rPr>
                      <w:b/>
                      <w:szCs w:val="21"/>
                    </w:rPr>
                  </w:pPr>
                  <w:r>
                    <w:rPr>
                      <w:b/>
                      <w:szCs w:val="21"/>
                    </w:rPr>
                    <w:t>监测点位</w:t>
                  </w:r>
                </w:p>
              </w:tc>
              <w:tc>
                <w:tcPr>
                  <w:tcW w:w="1067" w:type="dxa"/>
                  <w:tcBorders>
                    <w:tl2br w:val="nil"/>
                    <w:tr2bl w:val="nil"/>
                  </w:tcBorders>
                  <w:vAlign w:val="center"/>
                </w:tcPr>
                <w:p>
                  <w:pPr>
                    <w:jc w:val="center"/>
                    <w:rPr>
                      <w:b/>
                      <w:szCs w:val="21"/>
                    </w:rPr>
                  </w:pPr>
                  <w:r>
                    <w:rPr>
                      <w:b/>
                      <w:szCs w:val="21"/>
                    </w:rPr>
                    <w:t>监测指标</w:t>
                  </w:r>
                </w:p>
              </w:tc>
              <w:tc>
                <w:tcPr>
                  <w:tcW w:w="1274" w:type="dxa"/>
                  <w:tcBorders>
                    <w:tl2br w:val="nil"/>
                    <w:tr2bl w:val="nil"/>
                  </w:tcBorders>
                  <w:vAlign w:val="center"/>
                </w:tcPr>
                <w:p>
                  <w:pPr>
                    <w:jc w:val="center"/>
                    <w:rPr>
                      <w:b/>
                      <w:szCs w:val="21"/>
                    </w:rPr>
                  </w:pPr>
                  <w:r>
                    <w:rPr>
                      <w:b/>
                      <w:szCs w:val="21"/>
                    </w:rPr>
                    <w:t>监测频次</w:t>
                  </w:r>
                </w:p>
              </w:tc>
              <w:tc>
                <w:tcPr>
                  <w:tcW w:w="3738" w:type="dxa"/>
                  <w:tcBorders>
                    <w:tl2br w:val="nil"/>
                    <w:tr2bl w:val="nil"/>
                  </w:tcBorders>
                  <w:vAlign w:val="center"/>
                </w:tcPr>
                <w:p>
                  <w:pPr>
                    <w:jc w:val="center"/>
                    <w:rPr>
                      <w:b/>
                      <w:szCs w:val="21"/>
                    </w:rPr>
                  </w:pPr>
                  <w:r>
                    <w:rPr>
                      <w:b/>
                      <w:szCs w:val="21"/>
                    </w:rPr>
                    <w:t>执行排放标准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kern w:val="0"/>
                      <w:szCs w:val="21"/>
                    </w:rPr>
                  </w:pPr>
                  <w:r>
                    <w:rPr>
                      <w:kern w:val="0"/>
                      <w:szCs w:val="21"/>
                    </w:rPr>
                    <w:t>废气</w:t>
                  </w:r>
                </w:p>
              </w:tc>
              <w:tc>
                <w:tcPr>
                  <w:tcW w:w="1158" w:type="dxa"/>
                  <w:tcBorders>
                    <w:bottom w:val="single" w:color="auto" w:sz="4" w:space="0"/>
                    <w:tl2br w:val="nil"/>
                    <w:tr2bl w:val="nil"/>
                  </w:tcBorders>
                  <w:vAlign w:val="center"/>
                </w:tcPr>
                <w:p>
                  <w:pPr>
                    <w:widowControl/>
                    <w:jc w:val="center"/>
                    <w:textAlignment w:val="center"/>
                    <w:rPr>
                      <w:kern w:val="0"/>
                      <w:szCs w:val="21"/>
                    </w:rPr>
                  </w:pPr>
                  <w:r>
                    <w:rPr>
                      <w:kern w:val="0"/>
                      <w:szCs w:val="21"/>
                    </w:rPr>
                    <w:t>上风向设一个点，下风向设3个点</w:t>
                  </w:r>
                </w:p>
              </w:tc>
              <w:tc>
                <w:tcPr>
                  <w:tcW w:w="1067" w:type="dxa"/>
                  <w:tcBorders>
                    <w:tl2br w:val="nil"/>
                    <w:tr2bl w:val="nil"/>
                  </w:tcBorders>
                  <w:vAlign w:val="center"/>
                </w:tcPr>
                <w:p>
                  <w:pPr>
                    <w:widowControl/>
                    <w:jc w:val="center"/>
                    <w:textAlignment w:val="center"/>
                    <w:rPr>
                      <w:kern w:val="0"/>
                      <w:szCs w:val="21"/>
                    </w:rPr>
                  </w:pPr>
                  <w:r>
                    <w:rPr>
                      <w:kern w:val="0"/>
                    </w:rPr>
                    <w:t>颗粒物</w:t>
                  </w:r>
                </w:p>
              </w:tc>
              <w:tc>
                <w:tcPr>
                  <w:tcW w:w="1274" w:type="dxa"/>
                  <w:tcBorders>
                    <w:tl2br w:val="nil"/>
                    <w:tr2bl w:val="nil"/>
                  </w:tcBorders>
                  <w:vAlign w:val="center"/>
                </w:tcPr>
                <w:p>
                  <w:pPr>
                    <w:jc w:val="center"/>
                    <w:rPr>
                      <w:szCs w:val="21"/>
                    </w:rPr>
                  </w:pPr>
                  <w:r>
                    <w:rPr>
                      <w:kern w:val="0"/>
                      <w:szCs w:val="21"/>
                    </w:rPr>
                    <w:t>1年1次</w:t>
                  </w:r>
                </w:p>
              </w:tc>
              <w:tc>
                <w:tcPr>
                  <w:tcW w:w="3738" w:type="dxa"/>
                  <w:tcBorders>
                    <w:tl2br w:val="nil"/>
                    <w:tr2bl w:val="nil"/>
                  </w:tcBorders>
                  <w:vAlign w:val="center"/>
                </w:tcPr>
                <w:p>
                  <w:pPr>
                    <w:jc w:val="center"/>
                    <w:rPr>
                      <w:snapToGrid w:val="0"/>
                      <w:kern w:val="0"/>
                      <w:szCs w:val="21"/>
                    </w:rPr>
                  </w:pPr>
                  <w:r>
                    <w:rPr>
                      <w:rFonts w:hint="eastAsia" w:ascii="Times New Roman" w:hAnsi="Times New Roman" w:cs="Times New Roman"/>
                      <w:snapToGrid w:val="0"/>
                      <w:kern w:val="0"/>
                      <w:szCs w:val="21"/>
                    </w:rPr>
                    <w:t>《陶瓷工业污染物排放标准》（GB25464-2010）中表6</w:t>
                  </w:r>
                  <w:r>
                    <w:rPr>
                      <w:rFonts w:hint="eastAsia" w:ascii="Times New Roman" w:hAnsi="Times New Roman" w:cs="Times New Roman"/>
                      <w:snapToGrid w:val="0"/>
                      <w:kern w:val="0"/>
                      <w:szCs w:val="21"/>
                      <w:lang w:val="en-US"/>
                    </w:rPr>
                    <w:t>中限值</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kern w:val="0"/>
                      <w:szCs w:val="21"/>
                    </w:rPr>
                  </w:pPr>
                  <w:r>
                    <w:rPr>
                      <w:kern w:val="0"/>
                      <w:szCs w:val="21"/>
                    </w:rPr>
                    <w:t>废水</w:t>
                  </w:r>
                </w:p>
              </w:tc>
              <w:tc>
                <w:tcPr>
                  <w:tcW w:w="1158" w:type="dxa"/>
                  <w:tcBorders>
                    <w:tl2br w:val="nil"/>
                    <w:tr2bl w:val="nil"/>
                  </w:tcBorders>
                  <w:vAlign w:val="center"/>
                </w:tcPr>
                <w:p>
                  <w:pPr>
                    <w:adjustRightInd w:val="0"/>
                    <w:snapToGrid w:val="0"/>
                    <w:jc w:val="center"/>
                    <w:rPr>
                      <w:kern w:val="0"/>
                    </w:rPr>
                  </w:pPr>
                  <w:r>
                    <w:rPr>
                      <w:kern w:val="0"/>
                      <w:szCs w:val="21"/>
                    </w:rPr>
                    <w:t>生活污水接管口</w:t>
                  </w:r>
                </w:p>
              </w:tc>
              <w:tc>
                <w:tcPr>
                  <w:tcW w:w="1067" w:type="dxa"/>
                  <w:tcBorders>
                    <w:tl2br w:val="nil"/>
                    <w:tr2bl w:val="nil"/>
                  </w:tcBorders>
                  <w:vAlign w:val="center"/>
                </w:tcPr>
                <w:p>
                  <w:pPr>
                    <w:adjustRightInd w:val="0"/>
                    <w:snapToGrid w:val="0"/>
                    <w:jc w:val="center"/>
                    <w:rPr>
                      <w:kern w:val="0"/>
                    </w:rPr>
                  </w:pPr>
                  <w:r>
                    <w:rPr>
                      <w:kern w:val="0"/>
                      <w:szCs w:val="21"/>
                    </w:rPr>
                    <w:t>COD、氨氮、SS、TP、TN</w:t>
                  </w:r>
                </w:p>
              </w:tc>
              <w:tc>
                <w:tcPr>
                  <w:tcW w:w="1274" w:type="dxa"/>
                  <w:tcBorders>
                    <w:tl2br w:val="nil"/>
                    <w:tr2bl w:val="nil"/>
                  </w:tcBorders>
                  <w:vAlign w:val="center"/>
                </w:tcPr>
                <w:p>
                  <w:pPr>
                    <w:adjustRightInd w:val="0"/>
                    <w:snapToGrid w:val="0"/>
                    <w:jc w:val="center"/>
                  </w:pPr>
                  <w:r>
                    <w:rPr>
                      <w:kern w:val="0"/>
                      <w:szCs w:val="21"/>
                    </w:rPr>
                    <w:t>1季度1次</w:t>
                  </w:r>
                </w:p>
              </w:tc>
              <w:tc>
                <w:tcPr>
                  <w:tcW w:w="3738" w:type="dxa"/>
                  <w:tcBorders>
                    <w:tl2br w:val="nil"/>
                    <w:tr2bl w:val="nil"/>
                  </w:tcBorders>
                  <w:vAlign w:val="center"/>
                </w:tcPr>
                <w:p>
                  <w:pPr>
                    <w:adjustRightInd w:val="0"/>
                    <w:snapToGrid w:val="0"/>
                    <w:jc w:val="center"/>
                    <w:rPr>
                      <w:snapToGrid w:val="0"/>
                      <w:kern w:val="0"/>
                      <w:szCs w:val="21"/>
                    </w:rPr>
                  </w:pPr>
                  <w:r>
                    <w:rPr>
                      <w:snapToGrid w:val="0"/>
                      <w:kern w:val="0"/>
                      <w:szCs w:val="21"/>
                    </w:rPr>
                    <w:t>《污水综合排放标准》(GB8978-1996)表4中三级标准及《污水排入城镇下水道水质标准》(GB/T31962-2015)表1中A等级标准</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76" w:type="dxa"/>
                  <w:tcBorders>
                    <w:tl2br w:val="nil"/>
                    <w:tr2bl w:val="nil"/>
                  </w:tcBorders>
                  <w:vAlign w:val="center"/>
                </w:tcPr>
                <w:p>
                  <w:pPr>
                    <w:widowControl/>
                    <w:jc w:val="center"/>
                    <w:textAlignment w:val="center"/>
                    <w:rPr>
                      <w:kern w:val="0"/>
                      <w:szCs w:val="21"/>
                    </w:rPr>
                  </w:pPr>
                  <w:r>
                    <w:rPr>
                      <w:kern w:val="0"/>
                      <w:szCs w:val="21"/>
                    </w:rPr>
                    <w:t>噪声</w:t>
                  </w:r>
                </w:p>
              </w:tc>
              <w:tc>
                <w:tcPr>
                  <w:tcW w:w="1158" w:type="dxa"/>
                  <w:tcBorders>
                    <w:tl2br w:val="nil"/>
                    <w:tr2bl w:val="nil"/>
                  </w:tcBorders>
                  <w:vAlign w:val="center"/>
                </w:tcPr>
                <w:p>
                  <w:pPr>
                    <w:adjustRightInd w:val="0"/>
                    <w:snapToGrid w:val="0"/>
                    <w:jc w:val="center"/>
                  </w:pPr>
                  <w:r>
                    <w:rPr>
                      <w:kern w:val="0"/>
                      <w:szCs w:val="21"/>
                    </w:rPr>
                    <w:t>东、南、西、北各厂界</w:t>
                  </w:r>
                </w:p>
              </w:tc>
              <w:tc>
                <w:tcPr>
                  <w:tcW w:w="1067" w:type="dxa"/>
                  <w:tcBorders>
                    <w:tl2br w:val="nil"/>
                    <w:tr2bl w:val="nil"/>
                  </w:tcBorders>
                  <w:vAlign w:val="center"/>
                </w:tcPr>
                <w:p>
                  <w:pPr>
                    <w:adjustRightInd w:val="0"/>
                    <w:snapToGrid w:val="0"/>
                    <w:jc w:val="center"/>
                    <w:rPr>
                      <w:kern w:val="0"/>
                      <w:szCs w:val="21"/>
                    </w:rPr>
                  </w:pPr>
                  <w:r>
                    <w:t>LeqdB(A)</w:t>
                  </w:r>
                </w:p>
              </w:tc>
              <w:tc>
                <w:tcPr>
                  <w:tcW w:w="1274" w:type="dxa"/>
                  <w:tcBorders>
                    <w:tl2br w:val="nil"/>
                    <w:tr2bl w:val="nil"/>
                  </w:tcBorders>
                  <w:vAlign w:val="center"/>
                </w:tcPr>
                <w:p>
                  <w:pPr>
                    <w:adjustRightInd w:val="0"/>
                    <w:snapToGrid w:val="0"/>
                    <w:jc w:val="center"/>
                  </w:pPr>
                  <w:r>
                    <w:t>1季1次，监测昼、夜间</w:t>
                  </w:r>
                </w:p>
              </w:tc>
              <w:tc>
                <w:tcPr>
                  <w:tcW w:w="3738" w:type="dxa"/>
                  <w:tcBorders>
                    <w:tl2br w:val="nil"/>
                    <w:tr2bl w:val="nil"/>
                  </w:tcBorders>
                  <w:vAlign w:val="center"/>
                </w:tcPr>
                <w:p>
                  <w:pPr>
                    <w:adjustRightInd w:val="0"/>
                    <w:snapToGrid w:val="0"/>
                    <w:jc w:val="center"/>
                    <w:rPr>
                      <w:kern w:val="0"/>
                      <w:szCs w:val="21"/>
                    </w:rPr>
                  </w:pPr>
                  <w:r>
                    <w:rPr>
                      <w:rFonts w:hint="eastAsia" w:asciiTheme="minorEastAsia" w:hAnsiTheme="minorEastAsia" w:eastAsiaTheme="minorEastAsia"/>
                      <w:bCs/>
                      <w:szCs w:val="21"/>
                    </w:rPr>
                    <w:t>厂界四周噪声排放</w:t>
                  </w:r>
                  <w:r>
                    <w:rPr>
                      <w:rFonts w:hint="eastAsia" w:asciiTheme="minorEastAsia" w:hAnsiTheme="minorEastAsia" w:eastAsiaTheme="minorEastAsia"/>
                      <w:bCs/>
                    </w:rPr>
                    <w:t>达到</w:t>
                  </w:r>
                  <w:r>
                    <w:rPr>
                      <w:rFonts w:hint="eastAsia" w:asciiTheme="minorEastAsia" w:hAnsiTheme="minorEastAsia" w:eastAsiaTheme="minorEastAsia"/>
                      <w:bCs/>
                      <w:szCs w:val="21"/>
                    </w:rPr>
                    <w:t>《工业企业厂界环境噪声排放标准》（</w:t>
                  </w:r>
                  <w:r>
                    <w:rPr>
                      <w:rFonts w:eastAsiaTheme="minorEastAsia"/>
                      <w:bCs/>
                      <w:szCs w:val="21"/>
                    </w:rPr>
                    <w:t>GB12348- 2008</w:t>
                  </w:r>
                  <w:r>
                    <w:rPr>
                      <w:rFonts w:hint="eastAsia" w:asciiTheme="minorEastAsia" w:hAnsiTheme="minorEastAsia" w:eastAsiaTheme="minorEastAsia"/>
                      <w:bCs/>
                      <w:szCs w:val="21"/>
                    </w:rPr>
                    <w:t>）</w:t>
                  </w:r>
                  <w:r>
                    <w:rPr>
                      <w:rFonts w:hint="eastAsia" w:asciiTheme="minorEastAsia" w:hAnsiTheme="minorEastAsia" w:eastAsiaTheme="minorEastAsia"/>
                      <w:szCs w:val="21"/>
                    </w:rPr>
                    <w:t>中</w:t>
                  </w:r>
                  <w:r>
                    <w:rPr>
                      <w:rFonts w:hint="eastAsia" w:eastAsiaTheme="minorEastAsia"/>
                      <w:szCs w:val="21"/>
                    </w:rPr>
                    <w:t>3</w:t>
                  </w:r>
                  <w:r>
                    <w:rPr>
                      <w:rFonts w:hint="eastAsia" w:asciiTheme="minorEastAsia" w:hAnsiTheme="minorEastAsia" w:eastAsiaTheme="minorEastAsia"/>
                      <w:szCs w:val="21"/>
                    </w:rPr>
                    <w:t>类标准</w:t>
                  </w:r>
                </w:p>
              </w:tc>
            </w:tr>
          </w:tbl>
          <w:p>
            <w:pPr>
              <w:spacing w:line="360" w:lineRule="auto"/>
              <w:ind w:firstLine="480" w:firstLineChars="200"/>
              <w:rPr>
                <w:kern w:val="0"/>
                <w:sz w:val="24"/>
                <w:szCs w:val="24"/>
              </w:rPr>
            </w:pPr>
            <w:r>
              <w:rPr>
                <w:rFonts w:hint="eastAsia"/>
                <w:kern w:val="0"/>
                <w:sz w:val="24"/>
                <w:szCs w:val="24"/>
              </w:rPr>
              <w:t>（5）排污口规范化设置</w:t>
            </w:r>
          </w:p>
          <w:p>
            <w:pPr>
              <w:snapToGrid w:val="0"/>
              <w:spacing w:line="360" w:lineRule="auto"/>
              <w:ind w:firstLine="480" w:firstLineChars="200"/>
              <w:jc w:val="left"/>
              <w:rPr>
                <w:sz w:val="24"/>
              </w:rPr>
            </w:pPr>
            <w:r>
              <w:rPr>
                <w:sz w:val="24"/>
              </w:rPr>
              <w:t xml:space="preserve">根据《江苏省排污口设置及规范化整治管理办法》第十二条规定，排污口必须符合 “一明显、二合理、三便于”的要求，即环保标志明显，排污口设置合理，排放去向合理，便于采集样品，便于监测计量，便于公众监督管理。按照国家环保总局制定的《&lt;环境保护图形标志&gt;实施细则(试行)》(环监[1996]463 号)的规定，对各排污口设立相应的标志牌。 </w:t>
            </w:r>
          </w:p>
          <w:p>
            <w:pPr>
              <w:snapToGrid w:val="0"/>
              <w:spacing w:line="360" w:lineRule="auto"/>
              <w:ind w:firstLine="480" w:firstLineChars="200"/>
              <w:jc w:val="left"/>
              <w:rPr>
                <w:sz w:val="24"/>
              </w:rPr>
            </w:pPr>
            <w:r>
              <w:rPr>
                <w:sz w:val="24"/>
              </w:rPr>
              <w:t xml:space="preserve">(1)污(废)水排放口 </w:t>
            </w:r>
          </w:p>
          <w:p>
            <w:pPr>
              <w:snapToGrid w:val="0"/>
              <w:spacing w:line="360" w:lineRule="auto"/>
              <w:ind w:firstLine="480" w:firstLineChars="200"/>
              <w:jc w:val="left"/>
              <w:rPr>
                <w:sz w:val="24"/>
              </w:rPr>
            </w:pPr>
            <w:r>
              <w:rPr>
                <w:sz w:val="24"/>
              </w:rPr>
              <w:t>根据该管理办法第十二条规定，“凡生产经营场所集中在一个地点的单位，原则上允许设污水和清下水(雨水)排污口各一个。”</w:t>
            </w:r>
            <w:r>
              <w:rPr>
                <w:kern w:val="0"/>
                <w:sz w:val="24"/>
              </w:rPr>
              <w:t xml:space="preserve"> </w:t>
            </w:r>
            <w:r>
              <w:rPr>
                <w:sz w:val="24"/>
              </w:rPr>
              <w:t>本项目实行雨污分流，本项目依托</w:t>
            </w:r>
            <w:r>
              <w:rPr>
                <w:bCs/>
                <w:sz w:val="24"/>
              </w:rPr>
              <w:t>公司</w:t>
            </w:r>
            <w:r>
              <w:rPr>
                <w:rFonts w:hint="eastAsia"/>
                <w:bCs/>
                <w:sz w:val="24"/>
              </w:rPr>
              <w:t>现有</w:t>
            </w:r>
            <w:r>
              <w:rPr>
                <w:sz w:val="24"/>
              </w:rPr>
              <w:t>的雨水排放口和生活污水接管口。</w:t>
            </w:r>
          </w:p>
          <w:p>
            <w:pPr>
              <w:snapToGrid w:val="0"/>
              <w:spacing w:line="360" w:lineRule="auto"/>
              <w:ind w:firstLine="480" w:firstLineChars="200"/>
              <w:jc w:val="left"/>
              <w:rPr>
                <w:sz w:val="24"/>
              </w:rPr>
            </w:pPr>
            <w:r>
              <w:rPr>
                <w:sz w:val="24"/>
              </w:rPr>
              <w:t xml:space="preserve">(2)固体废物贮存(处置)场所 </w:t>
            </w:r>
          </w:p>
          <w:p>
            <w:pPr>
              <w:snapToGrid w:val="0"/>
              <w:spacing w:line="360" w:lineRule="auto"/>
              <w:ind w:firstLine="480" w:firstLineChars="200"/>
              <w:jc w:val="left"/>
              <w:rPr>
                <w:sz w:val="24"/>
              </w:rPr>
            </w:pPr>
            <w:r>
              <w:rPr>
                <w:sz w:val="24"/>
              </w:rPr>
              <w:t xml:space="preserve">各种固体废物处置设施、堆放场所必须有防火、防扬散、防流失、防渗漏或者其它防止污染环境的措施，在醒目处设置标志牌。 </w:t>
            </w:r>
          </w:p>
          <w:p>
            <w:pPr>
              <w:snapToGrid w:val="0"/>
              <w:spacing w:line="360" w:lineRule="auto"/>
              <w:ind w:firstLine="480" w:firstLineChars="200"/>
              <w:jc w:val="left"/>
              <w:rPr>
                <w:sz w:val="24"/>
              </w:rPr>
            </w:pPr>
            <w:r>
              <w:rPr>
                <w:sz w:val="24"/>
              </w:rPr>
              <w:t>(</w:t>
            </w:r>
            <w:r>
              <w:rPr>
                <w:rFonts w:hint="eastAsia"/>
                <w:sz w:val="24"/>
              </w:rPr>
              <w:t>3</w:t>
            </w:r>
            <w:r>
              <w:rPr>
                <w:sz w:val="24"/>
              </w:rPr>
              <w:t xml:space="preserve">)排污口环境保护图形标志牌 </w:t>
            </w:r>
          </w:p>
          <w:p>
            <w:pPr>
              <w:snapToGrid w:val="0"/>
              <w:spacing w:line="360" w:lineRule="auto"/>
              <w:ind w:firstLine="480" w:firstLineChars="200"/>
              <w:jc w:val="left"/>
              <w:rPr>
                <w:b/>
                <w:szCs w:val="21"/>
              </w:rPr>
            </w:pPr>
            <w:r>
              <w:rPr>
                <w:sz w:val="24"/>
              </w:rPr>
              <w:t>根据国家环保总局和江苏省环保厅对排污口规范化整治的要求，建设单位各排污口应设置环境保护图形标志，具体要求见下表。</w:t>
            </w:r>
          </w:p>
          <w:p>
            <w:pPr>
              <w:spacing w:line="360" w:lineRule="auto"/>
              <w:jc w:val="center"/>
              <w:rPr>
                <w:b/>
                <w:szCs w:val="21"/>
              </w:rPr>
            </w:pPr>
            <w:r>
              <w:rPr>
                <w:b/>
                <w:szCs w:val="21"/>
              </w:rPr>
              <w:t>表</w:t>
            </w:r>
            <w:r>
              <w:rPr>
                <w:rFonts w:hint="eastAsia"/>
                <w:b/>
                <w:szCs w:val="21"/>
              </w:rPr>
              <w:t>7-</w:t>
            </w:r>
            <w:r>
              <w:rPr>
                <w:rFonts w:hint="eastAsia"/>
                <w:b/>
                <w:szCs w:val="21"/>
                <w:lang w:val="en-US" w:eastAsia="zh-CN"/>
              </w:rPr>
              <w:t>16</w:t>
            </w:r>
            <w:r>
              <w:rPr>
                <w:b/>
                <w:szCs w:val="21"/>
              </w:rPr>
              <w:t xml:space="preserve">  各排污口环境保护图形标志</w:t>
            </w:r>
          </w:p>
          <w:tbl>
            <w:tblPr>
              <w:tblStyle w:val="75"/>
              <w:tblW w:w="8313" w:type="dxa"/>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214"/>
              <w:gridCol w:w="1142"/>
              <w:gridCol w:w="1144"/>
              <w:gridCol w:w="1016"/>
              <w:gridCol w:w="1016"/>
              <w:gridCol w:w="130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4" w:type="dxa"/>
                  <w:vAlign w:val="center"/>
                </w:tcPr>
                <w:p>
                  <w:pPr>
                    <w:pStyle w:val="44"/>
                    <w:snapToGrid w:val="0"/>
                    <w:spacing w:after="0" w:line="240" w:lineRule="auto"/>
                    <w:ind w:left="0" w:leftChars="0"/>
                    <w:jc w:val="center"/>
                    <w:rPr>
                      <w:b/>
                      <w:szCs w:val="21"/>
                    </w:rPr>
                  </w:pPr>
                  <w:r>
                    <w:rPr>
                      <w:b/>
                      <w:szCs w:val="21"/>
                    </w:rPr>
                    <w:t>排放口名称</w:t>
                  </w:r>
                </w:p>
              </w:tc>
              <w:tc>
                <w:tcPr>
                  <w:tcW w:w="1214" w:type="dxa"/>
                  <w:vAlign w:val="center"/>
                </w:tcPr>
                <w:p>
                  <w:pPr>
                    <w:pStyle w:val="44"/>
                    <w:snapToGrid w:val="0"/>
                    <w:spacing w:after="0" w:line="240" w:lineRule="auto"/>
                    <w:ind w:left="0" w:leftChars="0"/>
                    <w:jc w:val="center"/>
                    <w:rPr>
                      <w:b/>
                      <w:szCs w:val="21"/>
                    </w:rPr>
                  </w:pPr>
                  <w:r>
                    <w:rPr>
                      <w:b/>
                      <w:szCs w:val="21"/>
                    </w:rPr>
                    <w:t>编号</w:t>
                  </w:r>
                </w:p>
              </w:tc>
              <w:tc>
                <w:tcPr>
                  <w:tcW w:w="1142" w:type="dxa"/>
                  <w:vAlign w:val="center"/>
                </w:tcPr>
                <w:p>
                  <w:pPr>
                    <w:pStyle w:val="44"/>
                    <w:snapToGrid w:val="0"/>
                    <w:spacing w:after="0" w:line="240" w:lineRule="auto"/>
                    <w:ind w:left="0" w:leftChars="0"/>
                    <w:jc w:val="center"/>
                    <w:rPr>
                      <w:b/>
                      <w:szCs w:val="21"/>
                    </w:rPr>
                  </w:pPr>
                  <w:r>
                    <w:rPr>
                      <w:b/>
                      <w:szCs w:val="21"/>
                    </w:rPr>
                    <w:t>图形标志</w:t>
                  </w:r>
                </w:p>
              </w:tc>
              <w:tc>
                <w:tcPr>
                  <w:tcW w:w="1144" w:type="dxa"/>
                  <w:vAlign w:val="center"/>
                </w:tcPr>
                <w:p>
                  <w:pPr>
                    <w:pStyle w:val="44"/>
                    <w:snapToGrid w:val="0"/>
                    <w:spacing w:after="0" w:line="240" w:lineRule="auto"/>
                    <w:ind w:left="0" w:leftChars="0"/>
                    <w:jc w:val="center"/>
                    <w:rPr>
                      <w:b/>
                      <w:szCs w:val="21"/>
                    </w:rPr>
                  </w:pPr>
                  <w:r>
                    <w:rPr>
                      <w:b/>
                      <w:szCs w:val="21"/>
                    </w:rPr>
                    <w:t>形状</w:t>
                  </w:r>
                </w:p>
              </w:tc>
              <w:tc>
                <w:tcPr>
                  <w:tcW w:w="1016" w:type="dxa"/>
                  <w:vAlign w:val="center"/>
                </w:tcPr>
                <w:p>
                  <w:pPr>
                    <w:pStyle w:val="44"/>
                    <w:snapToGrid w:val="0"/>
                    <w:spacing w:after="0" w:line="240" w:lineRule="auto"/>
                    <w:ind w:left="0" w:leftChars="0"/>
                    <w:jc w:val="center"/>
                    <w:rPr>
                      <w:b/>
                      <w:szCs w:val="21"/>
                    </w:rPr>
                  </w:pPr>
                  <w:r>
                    <w:rPr>
                      <w:b/>
                      <w:szCs w:val="21"/>
                    </w:rPr>
                    <w:t>背景颜色</w:t>
                  </w:r>
                </w:p>
              </w:tc>
              <w:tc>
                <w:tcPr>
                  <w:tcW w:w="1016" w:type="dxa"/>
                  <w:vAlign w:val="center"/>
                </w:tcPr>
                <w:p>
                  <w:pPr>
                    <w:pStyle w:val="44"/>
                    <w:snapToGrid w:val="0"/>
                    <w:spacing w:after="0" w:line="240" w:lineRule="auto"/>
                    <w:ind w:left="0" w:leftChars="0"/>
                    <w:jc w:val="center"/>
                    <w:rPr>
                      <w:b/>
                      <w:szCs w:val="21"/>
                    </w:rPr>
                  </w:pPr>
                  <w:r>
                    <w:rPr>
                      <w:b/>
                      <w:szCs w:val="21"/>
                    </w:rPr>
                    <w:t>图形颜色</w:t>
                  </w:r>
                </w:p>
              </w:tc>
              <w:tc>
                <w:tcPr>
                  <w:tcW w:w="1307" w:type="dxa"/>
                  <w:vAlign w:val="center"/>
                </w:tcPr>
                <w:p>
                  <w:pPr>
                    <w:pStyle w:val="44"/>
                    <w:snapToGrid w:val="0"/>
                    <w:spacing w:after="0" w:line="240" w:lineRule="auto"/>
                    <w:ind w:left="0" w:leftChars="0"/>
                    <w:jc w:val="center"/>
                    <w:rPr>
                      <w:b/>
                      <w:szCs w:val="21"/>
                    </w:rPr>
                  </w:pPr>
                  <w:r>
                    <w:rPr>
                      <w:b/>
                      <w:szCs w:val="21"/>
                    </w:rPr>
                    <w:t>图形符号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74" w:type="dxa"/>
                  <w:vAlign w:val="center"/>
                </w:tcPr>
                <w:p>
                  <w:pPr>
                    <w:widowControl/>
                    <w:snapToGrid w:val="0"/>
                    <w:jc w:val="center"/>
                    <w:rPr>
                      <w:szCs w:val="21"/>
                    </w:rPr>
                  </w:pPr>
                  <w:r>
                    <w:rPr>
                      <w:szCs w:val="21"/>
                    </w:rPr>
                    <w:t>污水排放口</w:t>
                  </w:r>
                </w:p>
              </w:tc>
              <w:tc>
                <w:tcPr>
                  <w:tcW w:w="1214" w:type="dxa"/>
                  <w:vAlign w:val="center"/>
                </w:tcPr>
                <w:p>
                  <w:pPr>
                    <w:widowControl/>
                    <w:snapToGrid w:val="0"/>
                    <w:jc w:val="center"/>
                    <w:rPr>
                      <w:szCs w:val="21"/>
                    </w:rPr>
                  </w:pPr>
                  <w:r>
                    <w:rPr>
                      <w:rFonts w:hint="eastAsia"/>
                      <w:szCs w:val="21"/>
                    </w:rPr>
                    <w:t>DW001</w:t>
                  </w:r>
                </w:p>
              </w:tc>
              <w:tc>
                <w:tcPr>
                  <w:tcW w:w="1142" w:type="dxa"/>
                  <w:vAlign w:val="center"/>
                </w:tcPr>
                <w:p>
                  <w:pPr>
                    <w:widowControl/>
                    <w:snapToGrid w:val="0"/>
                    <w:jc w:val="center"/>
                    <w:rPr>
                      <w:bCs/>
                      <w:szCs w:val="21"/>
                    </w:rPr>
                  </w:pPr>
                  <w:r>
                    <w:rPr>
                      <w:bCs/>
                      <w:szCs w:val="21"/>
                    </w:rPr>
                    <w:t>提示标志</w:t>
                  </w:r>
                </w:p>
              </w:tc>
              <w:tc>
                <w:tcPr>
                  <w:tcW w:w="1144" w:type="dxa"/>
                  <w:vAlign w:val="center"/>
                </w:tcPr>
                <w:p>
                  <w:pPr>
                    <w:widowControl/>
                    <w:snapToGrid w:val="0"/>
                    <w:jc w:val="center"/>
                    <w:rPr>
                      <w:bCs/>
                      <w:szCs w:val="21"/>
                    </w:rPr>
                  </w:pPr>
                  <w:r>
                    <w:rPr>
                      <w:bCs/>
                      <w:szCs w:val="21"/>
                    </w:rPr>
                    <w:t>正方形边框</w:t>
                  </w:r>
                </w:p>
              </w:tc>
              <w:tc>
                <w:tcPr>
                  <w:tcW w:w="1016" w:type="dxa"/>
                  <w:vAlign w:val="center"/>
                </w:tcPr>
                <w:p>
                  <w:pPr>
                    <w:widowControl/>
                    <w:snapToGrid w:val="0"/>
                    <w:jc w:val="center"/>
                    <w:rPr>
                      <w:bCs/>
                      <w:szCs w:val="21"/>
                    </w:rPr>
                  </w:pPr>
                  <w:r>
                    <w:rPr>
                      <w:bCs/>
                      <w:szCs w:val="21"/>
                    </w:rPr>
                    <w:t>绿色</w:t>
                  </w:r>
                </w:p>
              </w:tc>
              <w:tc>
                <w:tcPr>
                  <w:tcW w:w="1016" w:type="dxa"/>
                  <w:vAlign w:val="center"/>
                </w:tcPr>
                <w:p>
                  <w:pPr>
                    <w:widowControl/>
                    <w:snapToGrid w:val="0"/>
                    <w:jc w:val="center"/>
                    <w:rPr>
                      <w:bCs/>
                      <w:szCs w:val="21"/>
                    </w:rPr>
                  </w:pPr>
                  <w:r>
                    <w:rPr>
                      <w:bCs/>
                      <w:szCs w:val="21"/>
                    </w:rPr>
                    <w:t>白色</w:t>
                  </w:r>
                </w:p>
              </w:tc>
              <w:tc>
                <w:tcPr>
                  <w:tcW w:w="1307" w:type="dxa"/>
                  <w:vAlign w:val="center"/>
                </w:tcPr>
                <w:p>
                  <w:pPr>
                    <w:widowControl/>
                    <w:snapToGrid w:val="0"/>
                    <w:jc w:val="center"/>
                    <w:rPr>
                      <w:bCs/>
                      <w:szCs w:val="21"/>
                    </w:rPr>
                  </w:pPr>
                  <w:r>
                    <w:rPr>
                      <w:bCs/>
                      <w:szCs w:val="21"/>
                      <w:lang w:val="en-US"/>
                    </w:rPr>
                    <w:drawing>
                      <wp:inline distT="0" distB="0" distL="0" distR="0">
                        <wp:extent cx="570230" cy="570230"/>
                        <wp:effectExtent l="0" t="0" r="1270" b="1270"/>
                        <wp:docPr id="23" name="图片 21" descr="污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污水排放口"/>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0230" cy="570230"/>
                                </a:xfrm>
                                <a:prstGeom prst="rect">
                                  <a:avLst/>
                                </a:prstGeom>
                                <a:noFill/>
                                <a:ln>
                                  <a:noFill/>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474" w:type="dxa"/>
                  <w:vAlign w:val="center"/>
                </w:tcPr>
                <w:p>
                  <w:pPr>
                    <w:widowControl/>
                    <w:snapToGrid w:val="0"/>
                    <w:jc w:val="center"/>
                    <w:rPr>
                      <w:szCs w:val="21"/>
                    </w:rPr>
                  </w:pPr>
                  <w:r>
                    <w:rPr>
                      <w:szCs w:val="21"/>
                    </w:rPr>
                    <w:t>雨水排放口</w:t>
                  </w:r>
                </w:p>
              </w:tc>
              <w:tc>
                <w:tcPr>
                  <w:tcW w:w="1214" w:type="dxa"/>
                  <w:vAlign w:val="center"/>
                </w:tcPr>
                <w:p>
                  <w:pPr>
                    <w:widowControl/>
                    <w:snapToGrid w:val="0"/>
                    <w:jc w:val="center"/>
                    <w:rPr>
                      <w:szCs w:val="21"/>
                    </w:rPr>
                  </w:pPr>
                  <w:r>
                    <w:rPr>
                      <w:rFonts w:hint="eastAsia"/>
                      <w:szCs w:val="21"/>
                    </w:rPr>
                    <w:t>YS001</w:t>
                  </w:r>
                </w:p>
              </w:tc>
              <w:tc>
                <w:tcPr>
                  <w:tcW w:w="1142" w:type="dxa"/>
                  <w:vAlign w:val="center"/>
                </w:tcPr>
                <w:p>
                  <w:pPr>
                    <w:widowControl/>
                    <w:snapToGrid w:val="0"/>
                    <w:jc w:val="center"/>
                    <w:rPr>
                      <w:bCs/>
                      <w:szCs w:val="21"/>
                    </w:rPr>
                  </w:pPr>
                  <w:r>
                    <w:rPr>
                      <w:bCs/>
                      <w:szCs w:val="21"/>
                    </w:rPr>
                    <w:t>提示标志</w:t>
                  </w:r>
                </w:p>
              </w:tc>
              <w:tc>
                <w:tcPr>
                  <w:tcW w:w="1144" w:type="dxa"/>
                  <w:vAlign w:val="center"/>
                </w:tcPr>
                <w:p>
                  <w:pPr>
                    <w:widowControl/>
                    <w:snapToGrid w:val="0"/>
                    <w:jc w:val="center"/>
                    <w:rPr>
                      <w:bCs/>
                      <w:szCs w:val="21"/>
                    </w:rPr>
                  </w:pPr>
                  <w:r>
                    <w:rPr>
                      <w:bCs/>
                      <w:szCs w:val="21"/>
                    </w:rPr>
                    <w:t>正方形边框</w:t>
                  </w:r>
                </w:p>
              </w:tc>
              <w:tc>
                <w:tcPr>
                  <w:tcW w:w="1016" w:type="dxa"/>
                  <w:vAlign w:val="center"/>
                </w:tcPr>
                <w:p>
                  <w:pPr>
                    <w:widowControl/>
                    <w:snapToGrid w:val="0"/>
                    <w:jc w:val="center"/>
                    <w:rPr>
                      <w:bCs/>
                      <w:szCs w:val="21"/>
                    </w:rPr>
                  </w:pPr>
                  <w:r>
                    <w:rPr>
                      <w:bCs/>
                      <w:szCs w:val="21"/>
                    </w:rPr>
                    <w:t>绿色</w:t>
                  </w:r>
                </w:p>
              </w:tc>
              <w:tc>
                <w:tcPr>
                  <w:tcW w:w="1016" w:type="dxa"/>
                  <w:vAlign w:val="center"/>
                </w:tcPr>
                <w:p>
                  <w:pPr>
                    <w:widowControl/>
                    <w:snapToGrid w:val="0"/>
                    <w:jc w:val="center"/>
                    <w:rPr>
                      <w:bCs/>
                      <w:szCs w:val="21"/>
                    </w:rPr>
                  </w:pPr>
                  <w:r>
                    <w:rPr>
                      <w:bCs/>
                      <w:szCs w:val="21"/>
                    </w:rPr>
                    <w:t>白色</w:t>
                  </w:r>
                </w:p>
              </w:tc>
              <w:tc>
                <w:tcPr>
                  <w:tcW w:w="1307" w:type="dxa"/>
                  <w:vAlign w:val="center"/>
                </w:tcPr>
                <w:p>
                  <w:pPr>
                    <w:widowControl/>
                    <w:snapToGrid w:val="0"/>
                    <w:jc w:val="center"/>
                    <w:rPr>
                      <w:bCs/>
                      <w:szCs w:val="21"/>
                    </w:rPr>
                  </w:pPr>
                  <w:r>
                    <w:rPr>
                      <w:bCs/>
                      <w:szCs w:val="21"/>
                      <w:lang w:val="en-US"/>
                    </w:rPr>
                    <w:drawing>
                      <wp:inline distT="0" distB="0" distL="0" distR="0">
                        <wp:extent cx="653415" cy="474980"/>
                        <wp:effectExtent l="0" t="0" r="13335" b="1270"/>
                        <wp:docPr id="24" name="图片 3" descr="雨水排放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雨水排放口"/>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53415" cy="474980"/>
                                </a:xfrm>
                                <a:prstGeom prst="rect">
                                  <a:avLst/>
                                </a:prstGeom>
                                <a:noFill/>
                                <a:ln>
                                  <a:noFill/>
                                </a:ln>
                              </pic:spPr>
                            </pic:pic>
                          </a:graphicData>
                        </a:graphic>
                      </wp:inline>
                    </w:drawing>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74" w:type="dxa"/>
                  <w:vAlign w:val="center"/>
                </w:tcPr>
                <w:p>
                  <w:pPr>
                    <w:pStyle w:val="44"/>
                    <w:widowControl/>
                    <w:snapToGrid w:val="0"/>
                    <w:spacing w:after="0" w:line="240" w:lineRule="auto"/>
                    <w:ind w:left="0" w:leftChars="0"/>
                    <w:jc w:val="center"/>
                    <w:rPr>
                      <w:szCs w:val="21"/>
                    </w:rPr>
                  </w:pPr>
                  <w:r>
                    <w:rPr>
                      <w:szCs w:val="21"/>
                    </w:rPr>
                    <w:t>一般固体废物</w:t>
                  </w:r>
                </w:p>
              </w:tc>
              <w:tc>
                <w:tcPr>
                  <w:tcW w:w="1214" w:type="dxa"/>
                  <w:vAlign w:val="center"/>
                </w:tcPr>
                <w:p>
                  <w:pPr>
                    <w:pStyle w:val="44"/>
                    <w:widowControl/>
                    <w:snapToGrid w:val="0"/>
                    <w:spacing w:after="0" w:line="240" w:lineRule="auto"/>
                    <w:ind w:left="0" w:leftChars="0"/>
                    <w:jc w:val="center"/>
                    <w:rPr>
                      <w:rFonts w:hint="eastAsia" w:eastAsia="宋体"/>
                      <w:szCs w:val="21"/>
                      <w:lang w:eastAsia="zh-CN"/>
                    </w:rPr>
                  </w:pPr>
                  <w:r>
                    <w:rPr>
                      <w:szCs w:val="21"/>
                    </w:rPr>
                    <w:t>GF-0</w:t>
                  </w:r>
                  <w:r>
                    <w:rPr>
                      <w:rFonts w:hint="eastAsia"/>
                      <w:szCs w:val="21"/>
                      <w:lang w:val="en-US" w:eastAsia="zh-CN"/>
                    </w:rPr>
                    <w:t>1</w:t>
                  </w:r>
                </w:p>
              </w:tc>
              <w:tc>
                <w:tcPr>
                  <w:tcW w:w="1142" w:type="dxa"/>
                  <w:vAlign w:val="center"/>
                </w:tcPr>
                <w:p>
                  <w:pPr>
                    <w:pStyle w:val="44"/>
                    <w:widowControl/>
                    <w:snapToGrid w:val="0"/>
                    <w:spacing w:after="0" w:line="240" w:lineRule="auto"/>
                    <w:ind w:left="0" w:leftChars="0"/>
                    <w:jc w:val="center"/>
                    <w:rPr>
                      <w:szCs w:val="21"/>
                    </w:rPr>
                  </w:pPr>
                  <w:r>
                    <w:rPr>
                      <w:szCs w:val="21"/>
                    </w:rPr>
                    <w:t>提示标志</w:t>
                  </w:r>
                </w:p>
              </w:tc>
              <w:tc>
                <w:tcPr>
                  <w:tcW w:w="1144" w:type="dxa"/>
                  <w:vAlign w:val="center"/>
                </w:tcPr>
                <w:p>
                  <w:pPr>
                    <w:pStyle w:val="44"/>
                    <w:widowControl/>
                    <w:snapToGrid w:val="0"/>
                    <w:spacing w:after="0" w:line="240" w:lineRule="auto"/>
                    <w:ind w:left="0" w:leftChars="0"/>
                    <w:jc w:val="center"/>
                    <w:rPr>
                      <w:szCs w:val="21"/>
                    </w:rPr>
                  </w:pPr>
                  <w:r>
                    <w:rPr>
                      <w:szCs w:val="21"/>
                    </w:rPr>
                    <w:t>正方形边框</w:t>
                  </w:r>
                </w:p>
              </w:tc>
              <w:tc>
                <w:tcPr>
                  <w:tcW w:w="1016" w:type="dxa"/>
                  <w:vAlign w:val="center"/>
                </w:tcPr>
                <w:p>
                  <w:pPr>
                    <w:pStyle w:val="44"/>
                    <w:widowControl/>
                    <w:snapToGrid w:val="0"/>
                    <w:spacing w:after="0" w:line="240" w:lineRule="auto"/>
                    <w:ind w:left="0" w:leftChars="0"/>
                    <w:jc w:val="center"/>
                    <w:rPr>
                      <w:szCs w:val="21"/>
                    </w:rPr>
                  </w:pPr>
                  <w:r>
                    <w:rPr>
                      <w:szCs w:val="21"/>
                    </w:rPr>
                    <w:t>绿色</w:t>
                  </w:r>
                </w:p>
              </w:tc>
              <w:tc>
                <w:tcPr>
                  <w:tcW w:w="1016" w:type="dxa"/>
                  <w:vAlign w:val="center"/>
                </w:tcPr>
                <w:p>
                  <w:pPr>
                    <w:pStyle w:val="44"/>
                    <w:widowControl/>
                    <w:snapToGrid w:val="0"/>
                    <w:spacing w:after="0" w:line="240" w:lineRule="auto"/>
                    <w:ind w:left="0" w:leftChars="0"/>
                    <w:jc w:val="center"/>
                    <w:rPr>
                      <w:szCs w:val="21"/>
                    </w:rPr>
                  </w:pPr>
                  <w:r>
                    <w:rPr>
                      <w:szCs w:val="21"/>
                    </w:rPr>
                    <w:t>白色</w:t>
                  </w:r>
                </w:p>
              </w:tc>
              <w:tc>
                <w:tcPr>
                  <w:tcW w:w="1307" w:type="dxa"/>
                  <w:vAlign w:val="center"/>
                </w:tcPr>
                <w:p>
                  <w:pPr>
                    <w:pStyle w:val="44"/>
                    <w:widowControl/>
                    <w:snapToGrid w:val="0"/>
                    <w:spacing w:after="0" w:line="240" w:lineRule="auto"/>
                    <w:ind w:left="0" w:leftChars="0"/>
                    <w:jc w:val="center"/>
                    <w:rPr>
                      <w:szCs w:val="21"/>
                    </w:rPr>
                  </w:pPr>
                  <w:r>
                    <w:rPr>
                      <w:szCs w:val="21"/>
                      <w:lang w:val="en-US"/>
                    </w:rPr>
                    <w:drawing>
                      <wp:inline distT="0" distB="0" distL="0" distR="0">
                        <wp:extent cx="605790" cy="581660"/>
                        <wp:effectExtent l="0" t="0" r="3810" b="8890"/>
                        <wp:docPr id="25" name="图片 18" descr="一般固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一般固废"/>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05790" cy="581660"/>
                                </a:xfrm>
                                <a:prstGeom prst="rect">
                                  <a:avLst/>
                                </a:prstGeom>
                                <a:noFill/>
                                <a:ln>
                                  <a:noFill/>
                                </a:ln>
                              </pic:spPr>
                            </pic:pic>
                          </a:graphicData>
                        </a:graphic>
                      </wp:inline>
                    </w:drawing>
                  </w:r>
                </w:p>
              </w:tc>
            </w:tr>
          </w:tbl>
          <w:p>
            <w:pPr>
              <w:spacing w:line="360" w:lineRule="auto"/>
              <w:rPr>
                <w:kern w:val="0"/>
                <w:sz w:val="24"/>
                <w:szCs w:val="24"/>
              </w:rPr>
            </w:pPr>
          </w:p>
          <w:p>
            <w:pPr>
              <w:pStyle w:val="2"/>
              <w:rPr>
                <w:rFonts w:hint="eastAsia"/>
                <w:kern w:val="0"/>
                <w:sz w:val="24"/>
                <w:szCs w:val="24"/>
              </w:rPr>
            </w:pPr>
          </w:p>
          <w:p>
            <w:pPr>
              <w:pStyle w:val="2"/>
              <w:rPr>
                <w:rFonts w:hint="eastAsia"/>
                <w:kern w:val="0"/>
                <w:sz w:val="24"/>
                <w:szCs w:val="24"/>
              </w:rPr>
            </w:pPr>
          </w:p>
          <w:p>
            <w:pPr>
              <w:pStyle w:val="2"/>
              <w:rPr>
                <w:rFonts w:hint="eastAsia"/>
                <w:kern w:val="0"/>
                <w:sz w:val="24"/>
                <w:szCs w:val="24"/>
              </w:rPr>
            </w:pPr>
          </w:p>
          <w:p>
            <w:pPr>
              <w:pStyle w:val="3"/>
              <w:rPr>
                <w:rFonts w:hint="eastAsia"/>
                <w:kern w:val="0"/>
                <w:sz w:val="24"/>
                <w:szCs w:val="24"/>
              </w:rPr>
            </w:pPr>
          </w:p>
          <w:p>
            <w:pPr>
              <w:pStyle w:val="3"/>
              <w:rPr>
                <w:rFonts w:hint="eastAsia"/>
                <w:kern w:val="0"/>
                <w:sz w:val="24"/>
                <w:szCs w:val="24"/>
              </w:rPr>
            </w:pPr>
          </w:p>
          <w:p>
            <w:pPr>
              <w:pStyle w:val="3"/>
              <w:rPr>
                <w:rFonts w:hint="eastAsia"/>
                <w:kern w:val="0"/>
                <w:sz w:val="24"/>
                <w:szCs w:val="24"/>
              </w:rPr>
            </w:pPr>
          </w:p>
          <w:p>
            <w:pPr>
              <w:pStyle w:val="3"/>
              <w:rPr>
                <w:rFonts w:hint="eastAsia"/>
                <w:kern w:val="0"/>
                <w:sz w:val="24"/>
                <w:szCs w:val="24"/>
              </w:rPr>
            </w:pPr>
          </w:p>
          <w:p>
            <w:pPr>
              <w:pStyle w:val="3"/>
              <w:ind w:left="0" w:leftChars="0" w:firstLine="0" w:firstLineChars="0"/>
              <w:rPr>
                <w:rFonts w:hint="eastAsia"/>
                <w:kern w:val="0"/>
                <w:sz w:val="24"/>
                <w:szCs w:val="24"/>
              </w:rPr>
            </w:pPr>
          </w:p>
          <w:p>
            <w:pPr>
              <w:pStyle w:val="3"/>
              <w:rPr>
                <w:rFonts w:hint="eastAsia"/>
                <w:kern w:val="0"/>
                <w:sz w:val="24"/>
                <w:szCs w:val="24"/>
              </w:rPr>
            </w:pPr>
          </w:p>
          <w:p>
            <w:pPr>
              <w:pStyle w:val="3"/>
              <w:rPr>
                <w:rFonts w:hint="eastAsia"/>
                <w:kern w:val="0"/>
                <w:sz w:val="24"/>
                <w:szCs w:val="24"/>
              </w:rPr>
            </w:pPr>
          </w:p>
          <w:p>
            <w:pPr>
              <w:pStyle w:val="3"/>
              <w:rPr>
                <w:rFonts w:hint="eastAsia"/>
                <w:kern w:val="0"/>
                <w:sz w:val="24"/>
                <w:szCs w:val="24"/>
              </w:rPr>
            </w:pPr>
          </w:p>
          <w:p>
            <w:pPr>
              <w:pStyle w:val="2"/>
              <w:rPr>
                <w:rFonts w:hint="eastAsia"/>
                <w:kern w:val="0"/>
                <w:sz w:val="24"/>
                <w:szCs w:val="24"/>
              </w:rPr>
            </w:pPr>
          </w:p>
          <w:p>
            <w:pPr>
              <w:pStyle w:val="2"/>
              <w:rPr>
                <w:rFonts w:hint="eastAsia"/>
                <w:kern w:val="0"/>
                <w:sz w:val="24"/>
                <w:szCs w:val="24"/>
              </w:rPr>
            </w:pPr>
          </w:p>
          <w:p>
            <w:pPr>
              <w:pStyle w:val="2"/>
              <w:rPr>
                <w:rFonts w:hint="eastAsia"/>
                <w:kern w:val="0"/>
                <w:sz w:val="24"/>
                <w:szCs w:val="24"/>
              </w:rPr>
            </w:pPr>
          </w:p>
          <w:p>
            <w:pPr>
              <w:pStyle w:val="2"/>
              <w:rPr>
                <w:rFonts w:hint="eastAsia"/>
                <w:kern w:val="0"/>
                <w:sz w:val="24"/>
                <w:szCs w:val="24"/>
              </w:rPr>
            </w:pPr>
          </w:p>
          <w:p>
            <w:pPr>
              <w:spacing w:line="360" w:lineRule="auto"/>
              <w:ind w:firstLine="480" w:firstLineChars="200"/>
              <w:rPr>
                <w:kern w:val="0"/>
                <w:sz w:val="24"/>
                <w:szCs w:val="24"/>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bookmarkStart w:id="53" w:name="_Toc367970392"/>
      <w:bookmarkStart w:id="54" w:name="_Toc294082159"/>
      <w:bookmarkStart w:id="55" w:name="_Toc367970637"/>
      <w:bookmarkStart w:id="56" w:name="_Toc367970831"/>
      <w:bookmarkStart w:id="57" w:name="_Toc303260180"/>
    </w:p>
    <w:p>
      <w:pPr>
        <w:pStyle w:val="4"/>
        <w:snapToGrid/>
        <w:jc w:val="both"/>
        <w:rPr>
          <w:bCs w:val="0"/>
          <w:kern w:val="0"/>
        </w:rPr>
      </w:pPr>
      <w:bookmarkStart w:id="58" w:name="_Toc26651"/>
      <w:r>
        <w:rPr>
          <w:bCs w:val="0"/>
          <w:spacing w:val="0"/>
          <w:kern w:val="0"/>
          <w:sz w:val="32"/>
          <w:szCs w:val="32"/>
        </w:rPr>
        <w:t>8</w:t>
      </w:r>
      <w:r>
        <w:rPr>
          <w:rFonts w:hAnsi="宋体"/>
          <w:bCs w:val="0"/>
          <w:spacing w:val="0"/>
          <w:kern w:val="0"/>
          <w:sz w:val="32"/>
          <w:szCs w:val="32"/>
        </w:rPr>
        <w:t>、建设项目拟采取的防治措施及预期治理效果</w:t>
      </w:r>
      <w:bookmarkEnd w:id="48"/>
      <w:bookmarkEnd w:id="53"/>
      <w:bookmarkEnd w:id="54"/>
      <w:bookmarkEnd w:id="55"/>
      <w:bookmarkEnd w:id="56"/>
      <w:bookmarkEnd w:id="57"/>
      <w:bookmarkEnd w:id="58"/>
    </w:p>
    <w:tbl>
      <w:tblPr>
        <w:tblStyle w:val="7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1275"/>
        <w:gridCol w:w="3119"/>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tcBorders>
              <w:tl2br w:val="single" w:color="auto" w:sz="6" w:space="0"/>
            </w:tcBorders>
            <w:vAlign w:val="center"/>
          </w:tcPr>
          <w:p>
            <w:pPr>
              <w:ind w:firstLine="352" w:firstLineChars="146"/>
              <w:rPr>
                <w:b/>
                <w:sz w:val="24"/>
                <w:szCs w:val="24"/>
              </w:rPr>
            </w:pPr>
            <w:bookmarkStart w:id="59" w:name="_Toc303260181"/>
            <w:bookmarkStart w:id="60" w:name="_Toc294082160"/>
            <w:bookmarkStart w:id="61" w:name="_Toc199814218"/>
            <w:r>
              <w:rPr>
                <w:rFonts w:hAnsi="宋体"/>
                <w:b/>
                <w:sz w:val="24"/>
                <w:szCs w:val="24"/>
              </w:rPr>
              <w:t>内容</w:t>
            </w:r>
          </w:p>
          <w:p>
            <w:pPr>
              <w:rPr>
                <w:b/>
                <w:sz w:val="24"/>
                <w:szCs w:val="24"/>
              </w:rPr>
            </w:pPr>
            <w:r>
              <w:rPr>
                <w:rFonts w:hAnsi="宋体"/>
                <w:b/>
                <w:sz w:val="24"/>
                <w:szCs w:val="24"/>
              </w:rPr>
              <w:t>类型</w:t>
            </w:r>
          </w:p>
        </w:tc>
        <w:tc>
          <w:tcPr>
            <w:tcW w:w="1134" w:type="dxa"/>
            <w:vAlign w:val="center"/>
          </w:tcPr>
          <w:p>
            <w:pPr>
              <w:jc w:val="center"/>
              <w:rPr>
                <w:b/>
                <w:sz w:val="24"/>
                <w:szCs w:val="24"/>
              </w:rPr>
            </w:pPr>
            <w:r>
              <w:rPr>
                <w:rFonts w:hAnsi="宋体"/>
                <w:b/>
                <w:sz w:val="24"/>
                <w:szCs w:val="24"/>
              </w:rPr>
              <w:t>排放源</w:t>
            </w:r>
          </w:p>
        </w:tc>
        <w:tc>
          <w:tcPr>
            <w:tcW w:w="1275" w:type="dxa"/>
            <w:vAlign w:val="center"/>
          </w:tcPr>
          <w:p>
            <w:pPr>
              <w:jc w:val="center"/>
              <w:rPr>
                <w:b/>
                <w:sz w:val="24"/>
                <w:szCs w:val="24"/>
              </w:rPr>
            </w:pPr>
            <w:r>
              <w:rPr>
                <w:rFonts w:hAnsi="宋体"/>
                <w:b/>
                <w:sz w:val="24"/>
                <w:szCs w:val="24"/>
              </w:rPr>
              <w:t>污染物名称</w:t>
            </w:r>
          </w:p>
        </w:tc>
        <w:tc>
          <w:tcPr>
            <w:tcW w:w="3119" w:type="dxa"/>
            <w:vAlign w:val="center"/>
          </w:tcPr>
          <w:p>
            <w:pPr>
              <w:jc w:val="center"/>
              <w:rPr>
                <w:b/>
                <w:sz w:val="24"/>
                <w:szCs w:val="24"/>
              </w:rPr>
            </w:pPr>
            <w:r>
              <w:rPr>
                <w:rFonts w:hAnsi="宋体"/>
                <w:b/>
                <w:sz w:val="24"/>
                <w:szCs w:val="24"/>
              </w:rPr>
              <w:t>防治措施</w:t>
            </w:r>
          </w:p>
        </w:tc>
        <w:tc>
          <w:tcPr>
            <w:tcW w:w="1900" w:type="dxa"/>
            <w:vAlign w:val="center"/>
          </w:tcPr>
          <w:p>
            <w:pPr>
              <w:jc w:val="center"/>
              <w:rPr>
                <w:b/>
                <w:sz w:val="24"/>
                <w:szCs w:val="24"/>
              </w:rPr>
            </w:pPr>
            <w:r>
              <w:rPr>
                <w:rFonts w:hAnsi="宋体"/>
                <w:b/>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101" w:type="dxa"/>
            <w:vAlign w:val="center"/>
          </w:tcPr>
          <w:p>
            <w:pPr>
              <w:jc w:val="center"/>
              <w:rPr>
                <w:rFonts w:hAnsi="宋体"/>
                <w:szCs w:val="21"/>
              </w:rPr>
            </w:pPr>
            <w:r>
              <w:rPr>
                <w:rFonts w:hint="eastAsia" w:hAnsi="宋体"/>
                <w:szCs w:val="21"/>
              </w:rPr>
              <w:t>大气</w:t>
            </w:r>
          </w:p>
          <w:p>
            <w:pPr>
              <w:jc w:val="center"/>
              <w:rPr>
                <w:rFonts w:hAnsi="宋体"/>
                <w:szCs w:val="21"/>
              </w:rPr>
            </w:pPr>
            <w:r>
              <w:rPr>
                <w:rFonts w:hint="eastAsia" w:hAnsi="宋体"/>
                <w:szCs w:val="21"/>
              </w:rPr>
              <w:t>污染物</w:t>
            </w:r>
          </w:p>
        </w:tc>
        <w:tc>
          <w:tcPr>
            <w:tcW w:w="1134" w:type="dxa"/>
            <w:vAlign w:val="center"/>
          </w:tcPr>
          <w:p>
            <w:pPr>
              <w:jc w:val="center"/>
              <w:rPr>
                <w:rFonts w:hint="eastAsia" w:hAnsi="宋体" w:eastAsia="宋体"/>
                <w:szCs w:val="21"/>
                <w:lang w:eastAsia="zh-CN"/>
              </w:rPr>
            </w:pPr>
            <w:r>
              <w:rPr>
                <w:rFonts w:hint="eastAsia"/>
                <w:lang w:eastAsia="zh-CN"/>
              </w:rPr>
              <w:t>加工中心</w:t>
            </w:r>
          </w:p>
        </w:tc>
        <w:tc>
          <w:tcPr>
            <w:tcW w:w="1275" w:type="dxa"/>
            <w:vAlign w:val="center"/>
          </w:tcPr>
          <w:p>
            <w:pPr>
              <w:jc w:val="center"/>
              <w:rPr>
                <w:rFonts w:hint="eastAsia" w:hAnsi="宋体" w:eastAsia="宋体"/>
                <w:szCs w:val="21"/>
                <w:lang w:eastAsia="zh-CN"/>
              </w:rPr>
            </w:pPr>
            <w:r>
              <w:rPr>
                <w:rFonts w:hint="eastAsia"/>
                <w:lang w:eastAsia="zh-CN"/>
              </w:rPr>
              <w:t>颗粒物</w:t>
            </w:r>
          </w:p>
        </w:tc>
        <w:tc>
          <w:tcPr>
            <w:tcW w:w="3119" w:type="dxa"/>
            <w:vAlign w:val="center"/>
          </w:tcPr>
          <w:p>
            <w:pPr>
              <w:pStyle w:val="107"/>
              <w:rPr>
                <w:rFonts w:hint="eastAsia" w:eastAsia="宋体"/>
                <w:lang w:eastAsia="zh-CN"/>
              </w:rPr>
            </w:pPr>
            <w:r>
              <w:rPr>
                <w:rFonts w:hint="eastAsia"/>
                <w:lang w:eastAsia="zh-CN"/>
              </w:rPr>
              <w:t>集气罩</w:t>
            </w:r>
            <w:r>
              <w:rPr>
                <w:rFonts w:hint="eastAsia"/>
                <w:lang w:val="en-US" w:eastAsia="zh-CN"/>
              </w:rPr>
              <w:t>+</w:t>
            </w:r>
            <w:r>
              <w:rPr>
                <w:rFonts w:hint="eastAsia"/>
                <w:lang w:eastAsia="zh-CN"/>
              </w:rPr>
              <w:t>布袋除尘器</w:t>
            </w:r>
          </w:p>
        </w:tc>
        <w:tc>
          <w:tcPr>
            <w:tcW w:w="1900" w:type="dxa"/>
            <w:vAlign w:val="center"/>
          </w:tcPr>
          <w:p>
            <w:pPr>
              <w:pStyle w:val="59"/>
              <w:keepNext w:val="0"/>
              <w:keepLines w:val="0"/>
              <w:pageBreakBefore w:val="0"/>
              <w:widowControl w:val="0"/>
              <w:kinsoku/>
              <w:wordWrap/>
              <w:overflowPunct/>
              <w:topLinePunct w:val="0"/>
              <w:autoSpaceDE/>
              <w:autoSpaceDN/>
              <w:bidi w:val="0"/>
              <w:adjustRightInd w:val="0"/>
              <w:snapToGrid w:val="0"/>
              <w:spacing w:after="0" w:line="240" w:lineRule="auto"/>
              <w:ind w:left="0"/>
              <w:jc w:val="center"/>
              <w:textAlignment w:val="auto"/>
              <w:rPr>
                <w:rFonts w:hint="eastAsia" w:eastAsia="宋体"/>
                <w:sz w:val="21"/>
                <w:szCs w:val="21"/>
                <w:lang w:eastAsia="zh-CN"/>
              </w:rPr>
            </w:pPr>
            <w:r>
              <w:rPr>
                <w:rFonts w:hint="eastAsia" w:ascii="Times New Roman" w:hAnsi="宋体" w:eastAsia="宋体" w:cs="Times New Roman"/>
                <w:kern w:val="0"/>
                <w:sz w:val="21"/>
                <w:szCs w:val="21"/>
                <w:lang w:val="en-US" w:eastAsia="zh-CN" w:bidi="ar-SA"/>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01" w:type="dxa"/>
            <w:vAlign w:val="center"/>
          </w:tcPr>
          <w:p>
            <w:pPr>
              <w:jc w:val="center"/>
              <w:rPr>
                <w:rFonts w:hAnsi="宋体"/>
                <w:szCs w:val="21"/>
              </w:rPr>
            </w:pPr>
            <w:r>
              <w:rPr>
                <w:rFonts w:hAnsi="宋体"/>
                <w:szCs w:val="21"/>
              </w:rPr>
              <w:t>水污</w:t>
            </w:r>
          </w:p>
          <w:p>
            <w:pPr>
              <w:jc w:val="center"/>
              <w:rPr>
                <w:szCs w:val="21"/>
              </w:rPr>
            </w:pPr>
            <w:r>
              <w:rPr>
                <w:rFonts w:hAnsi="宋体"/>
                <w:szCs w:val="21"/>
              </w:rPr>
              <w:t>染物</w:t>
            </w:r>
          </w:p>
        </w:tc>
        <w:tc>
          <w:tcPr>
            <w:tcW w:w="1134" w:type="dxa"/>
            <w:vAlign w:val="center"/>
          </w:tcPr>
          <w:p>
            <w:pPr>
              <w:jc w:val="center"/>
              <w:rPr>
                <w:szCs w:val="21"/>
              </w:rPr>
            </w:pPr>
            <w:r>
              <w:rPr>
                <w:rFonts w:hint="eastAsia" w:hAnsi="宋体"/>
                <w:szCs w:val="21"/>
              </w:rPr>
              <w:t>生活污水</w:t>
            </w:r>
          </w:p>
        </w:tc>
        <w:tc>
          <w:tcPr>
            <w:tcW w:w="1275" w:type="dxa"/>
            <w:vAlign w:val="center"/>
          </w:tcPr>
          <w:p>
            <w:pPr>
              <w:jc w:val="center"/>
              <w:rPr>
                <w:szCs w:val="21"/>
              </w:rPr>
            </w:pPr>
            <w:r>
              <w:rPr>
                <w:rFonts w:hint="eastAsia" w:hAnsi="宋体"/>
                <w:szCs w:val="21"/>
              </w:rPr>
              <w:t>COD</w:t>
            </w:r>
            <w:r>
              <w:rPr>
                <w:rFonts w:hint="eastAsia" w:hAnsi="宋体"/>
                <w:szCs w:val="21"/>
                <w:vertAlign w:val="subscript"/>
              </w:rPr>
              <w:t>Cr</w:t>
            </w:r>
            <w:r>
              <w:rPr>
                <w:rFonts w:hint="eastAsia" w:hAnsi="宋体"/>
                <w:szCs w:val="21"/>
              </w:rPr>
              <w:t>、SS、NH</w:t>
            </w:r>
            <w:r>
              <w:rPr>
                <w:rFonts w:hint="eastAsia" w:hAnsi="宋体"/>
                <w:szCs w:val="21"/>
                <w:vertAlign w:val="subscript"/>
              </w:rPr>
              <w:t>3</w:t>
            </w:r>
            <w:r>
              <w:rPr>
                <w:rFonts w:hint="eastAsia" w:hAnsi="宋体"/>
                <w:szCs w:val="21"/>
              </w:rPr>
              <w:t>-N、TP、TN</w:t>
            </w:r>
          </w:p>
        </w:tc>
        <w:tc>
          <w:tcPr>
            <w:tcW w:w="3119" w:type="dxa"/>
            <w:vAlign w:val="center"/>
          </w:tcPr>
          <w:p>
            <w:pPr>
              <w:rPr>
                <w:szCs w:val="21"/>
              </w:rPr>
            </w:pPr>
            <w:r>
              <w:rPr>
                <w:rFonts w:hAnsi="宋体"/>
                <w:kern w:val="0"/>
                <w:szCs w:val="21"/>
                <w:lang w:val="en-US"/>
              </w:rPr>
              <w:t>经</w:t>
            </w:r>
            <w:r>
              <w:rPr>
                <w:rFonts w:hint="eastAsia" w:hAnsi="宋体"/>
                <w:kern w:val="0"/>
                <w:szCs w:val="21"/>
                <w:lang w:val="en-US"/>
              </w:rPr>
              <w:t>化粪池预</w:t>
            </w:r>
            <w:r>
              <w:rPr>
                <w:rFonts w:hAnsi="宋体"/>
                <w:kern w:val="0"/>
                <w:szCs w:val="21"/>
                <w:lang w:val="en-US"/>
              </w:rPr>
              <w:t>处理后</w:t>
            </w:r>
            <w:r>
              <w:rPr>
                <w:rFonts w:hint="eastAsia" w:hAnsi="宋体"/>
                <w:kern w:val="0"/>
                <w:szCs w:val="21"/>
                <w:lang w:val="en-US"/>
              </w:rPr>
              <w:t>排入宜兴市华骐污水处理厂</w:t>
            </w:r>
          </w:p>
        </w:tc>
        <w:tc>
          <w:tcPr>
            <w:tcW w:w="1900" w:type="dxa"/>
            <w:vAlign w:val="center"/>
          </w:tcPr>
          <w:p>
            <w:pPr>
              <w:jc w:val="center"/>
              <w:rPr>
                <w:szCs w:val="21"/>
              </w:rPr>
            </w:pPr>
            <w:r>
              <w:rPr>
                <w:rFonts w:hint="eastAsia" w:hAnsi="宋体"/>
                <w:kern w:val="0"/>
                <w:szCs w:val="21"/>
                <w:lang w:val="en-US"/>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Merge w:val="restart"/>
            <w:vAlign w:val="center"/>
          </w:tcPr>
          <w:p>
            <w:pPr>
              <w:jc w:val="center"/>
              <w:rPr>
                <w:szCs w:val="21"/>
              </w:rPr>
            </w:pPr>
            <w:r>
              <w:rPr>
                <w:rFonts w:hAnsi="宋体"/>
                <w:szCs w:val="21"/>
              </w:rPr>
              <w:t>固体</w:t>
            </w:r>
          </w:p>
          <w:p>
            <w:pPr>
              <w:jc w:val="center"/>
              <w:rPr>
                <w:rFonts w:hAnsi="宋体"/>
                <w:szCs w:val="21"/>
              </w:rPr>
            </w:pPr>
            <w:r>
              <w:rPr>
                <w:rFonts w:hAnsi="宋体"/>
                <w:szCs w:val="21"/>
              </w:rPr>
              <w:t>废物</w:t>
            </w:r>
          </w:p>
        </w:tc>
        <w:tc>
          <w:tcPr>
            <w:tcW w:w="1134" w:type="dxa"/>
            <w:vAlign w:val="center"/>
          </w:tcPr>
          <w:p>
            <w:pPr>
              <w:jc w:val="center"/>
              <w:rPr>
                <w:rFonts w:hAnsi="宋体"/>
                <w:kern w:val="0"/>
                <w:szCs w:val="21"/>
              </w:rPr>
            </w:pPr>
            <w:r>
              <w:rPr>
                <w:rFonts w:hint="eastAsia" w:hAnsi="宋体"/>
                <w:kern w:val="0"/>
                <w:szCs w:val="21"/>
              </w:rPr>
              <w:t>生产车间</w:t>
            </w:r>
          </w:p>
        </w:tc>
        <w:tc>
          <w:tcPr>
            <w:tcW w:w="1275"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废陶瓷、陶瓷泥料、废次品、废瓷粉</w:t>
            </w:r>
          </w:p>
        </w:tc>
        <w:tc>
          <w:tcPr>
            <w:tcW w:w="3119"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收集后统一外售</w:t>
            </w:r>
          </w:p>
        </w:tc>
        <w:tc>
          <w:tcPr>
            <w:tcW w:w="1900" w:type="dxa"/>
            <w:vMerge w:val="restart"/>
            <w:vAlign w:val="center"/>
          </w:tcPr>
          <w:p>
            <w:pPr>
              <w:jc w:val="center"/>
              <w:rPr>
                <w:szCs w:val="21"/>
              </w:rPr>
            </w:pPr>
            <w:r>
              <w:rPr>
                <w:rFonts w:hint="eastAsia" w:hAnsi="宋体"/>
                <w:kern w:val="0"/>
                <w:szCs w:val="21"/>
                <w:lang w:val="en-US"/>
              </w:rPr>
              <w:t>无害化、减量化、资源化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Merge w:val="continue"/>
            <w:vAlign w:val="center"/>
          </w:tcPr>
          <w:p>
            <w:pPr>
              <w:jc w:val="center"/>
              <w:rPr>
                <w:szCs w:val="21"/>
              </w:rPr>
            </w:pPr>
          </w:p>
        </w:tc>
        <w:tc>
          <w:tcPr>
            <w:tcW w:w="1134" w:type="dxa"/>
            <w:vAlign w:val="center"/>
          </w:tcPr>
          <w:p>
            <w:pPr>
              <w:jc w:val="center"/>
              <w:rPr>
                <w:kern w:val="0"/>
                <w:szCs w:val="21"/>
              </w:rPr>
            </w:pPr>
            <w:r>
              <w:rPr>
                <w:rFonts w:hint="eastAsia"/>
                <w:kern w:val="0"/>
                <w:szCs w:val="21"/>
              </w:rPr>
              <w:t>职工生活</w:t>
            </w:r>
          </w:p>
        </w:tc>
        <w:tc>
          <w:tcPr>
            <w:tcW w:w="1275"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生活垃圾</w:t>
            </w:r>
          </w:p>
        </w:tc>
        <w:tc>
          <w:tcPr>
            <w:tcW w:w="3119" w:type="dxa"/>
            <w:vAlign w:val="center"/>
          </w:tcPr>
          <w:p>
            <w:pPr>
              <w:pStyle w:val="127"/>
              <w:spacing w:line="240" w:lineRule="auto"/>
              <w:rPr>
                <w:rFonts w:ascii="Times New Roman" w:hAnsi="Times New Roman" w:cs="Times New Roman"/>
                <w:szCs w:val="21"/>
                <w:lang w:val="fi-FI"/>
              </w:rPr>
            </w:pPr>
            <w:r>
              <w:rPr>
                <w:rFonts w:hint="eastAsia" w:ascii="Times New Roman" w:hAnsi="Times New Roman" w:cs="Times New Roman"/>
                <w:szCs w:val="21"/>
                <w:lang w:val="fi-FI"/>
              </w:rPr>
              <w:t>收集后由环卫部门统一清运</w:t>
            </w:r>
          </w:p>
        </w:tc>
        <w:tc>
          <w:tcPr>
            <w:tcW w:w="190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jc w:val="center"/>
              <w:rPr>
                <w:szCs w:val="21"/>
              </w:rPr>
            </w:pPr>
            <w:r>
              <w:rPr>
                <w:rFonts w:hAnsi="宋体"/>
                <w:szCs w:val="21"/>
              </w:rPr>
              <w:t>噪声</w:t>
            </w:r>
          </w:p>
        </w:tc>
        <w:tc>
          <w:tcPr>
            <w:tcW w:w="1134" w:type="dxa"/>
            <w:vAlign w:val="center"/>
          </w:tcPr>
          <w:p>
            <w:pPr>
              <w:jc w:val="center"/>
              <w:rPr>
                <w:kern w:val="0"/>
                <w:szCs w:val="21"/>
              </w:rPr>
            </w:pPr>
            <w:r>
              <w:rPr>
                <w:rFonts w:hAnsi="宋体"/>
                <w:kern w:val="0"/>
                <w:szCs w:val="21"/>
              </w:rPr>
              <w:t>施工期</w:t>
            </w:r>
            <w:r>
              <w:rPr>
                <w:rFonts w:hint="eastAsia" w:hAnsi="宋体"/>
                <w:kern w:val="0"/>
                <w:szCs w:val="21"/>
              </w:rPr>
              <w:t>、生产车间</w:t>
            </w:r>
          </w:p>
        </w:tc>
        <w:tc>
          <w:tcPr>
            <w:tcW w:w="4394" w:type="dxa"/>
            <w:gridSpan w:val="2"/>
            <w:vAlign w:val="center"/>
          </w:tcPr>
          <w:p>
            <w:pPr>
              <w:autoSpaceDE w:val="0"/>
              <w:autoSpaceDN w:val="0"/>
              <w:adjustRightInd w:val="0"/>
              <w:jc w:val="left"/>
              <w:rPr>
                <w:rFonts w:hAnsi="宋体"/>
                <w:kern w:val="0"/>
                <w:szCs w:val="21"/>
                <w:lang w:val="en-US"/>
              </w:rPr>
            </w:pPr>
            <w:r>
              <w:rPr>
                <w:rFonts w:hint="eastAsia" w:hAnsi="宋体"/>
                <w:kern w:val="0"/>
                <w:szCs w:val="21"/>
                <w:lang w:val="en-US"/>
              </w:rPr>
              <w:t>生产设备产生的噪声经合理布局、厂房隔声、厂界隔声、距离衰减、绿化降噪后，到达厂界噪声可满足《工业企业厂界环境噪声排放标准》（GB12348-2008）中3类标准限值要求，即昼间≤65dB(A)；本项目夜间不生产。</w:t>
            </w:r>
          </w:p>
        </w:tc>
        <w:tc>
          <w:tcPr>
            <w:tcW w:w="1900" w:type="dxa"/>
            <w:vAlign w:val="center"/>
          </w:tcPr>
          <w:p>
            <w:pPr>
              <w:jc w:val="center"/>
              <w:rPr>
                <w:szCs w:val="21"/>
              </w:rPr>
            </w:pPr>
            <w:r>
              <w:rPr>
                <w:rFonts w:hAnsi="宋体"/>
                <w:szCs w:val="21"/>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1" w:type="dxa"/>
            <w:vAlign w:val="center"/>
          </w:tcPr>
          <w:p>
            <w:pPr>
              <w:jc w:val="center"/>
              <w:rPr>
                <w:szCs w:val="21"/>
              </w:rPr>
            </w:pPr>
            <w:r>
              <w:rPr>
                <w:rFonts w:hAnsi="宋体"/>
                <w:szCs w:val="21"/>
              </w:rPr>
              <w:t>其他</w:t>
            </w:r>
          </w:p>
        </w:tc>
        <w:tc>
          <w:tcPr>
            <w:tcW w:w="7428" w:type="dxa"/>
            <w:gridSpan w:val="4"/>
            <w:vAlign w:val="center"/>
          </w:tcPr>
          <w:p>
            <w:pPr>
              <w:jc w:val="center"/>
              <w:rPr>
                <w:szCs w:val="21"/>
              </w:rPr>
            </w:pPr>
            <w:r>
              <w:rPr>
                <w:rFonts w:hint="eastAsia"/>
                <w:szCs w:val="21"/>
              </w:rPr>
              <w:t>本项目在运营过程中应加强管理、注意环境卫生。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9" w:type="dxa"/>
            <w:gridSpan w:val="5"/>
            <w:vAlign w:val="center"/>
          </w:tcPr>
          <w:p>
            <w:pPr>
              <w:spacing w:before="120" w:beforeLines="50" w:line="360" w:lineRule="auto"/>
              <w:rPr>
                <w:b/>
                <w:szCs w:val="21"/>
              </w:rPr>
            </w:pPr>
            <w:r>
              <w:rPr>
                <w:rFonts w:hAnsi="宋体"/>
                <w:b/>
                <w:szCs w:val="21"/>
              </w:rPr>
              <w:t>生态保护措施及预期效果</w:t>
            </w:r>
          </w:p>
          <w:p>
            <w:pPr>
              <w:autoSpaceDE w:val="0"/>
              <w:autoSpaceDN w:val="0"/>
              <w:adjustRightInd w:val="0"/>
              <w:spacing w:line="360" w:lineRule="auto"/>
              <w:ind w:firstLine="420" w:firstLineChars="200"/>
              <w:jc w:val="left"/>
              <w:rPr>
                <w:rFonts w:ascii="宋体" w:cs="宋体"/>
                <w:kern w:val="0"/>
                <w:szCs w:val="21"/>
                <w:lang w:val="en-US"/>
              </w:rPr>
            </w:pPr>
            <w:r>
              <w:rPr>
                <w:rFonts w:hint="eastAsia" w:hAnsi="宋体"/>
                <w:kern w:val="0"/>
                <w:szCs w:val="21"/>
              </w:rPr>
              <w:t>本项目位于宜兴市丁蜀镇任墅工业集中区，</w:t>
            </w:r>
            <w:r>
              <w:rPr>
                <w:rFonts w:hint="eastAsia" w:hAnsi="宋体"/>
                <w:kern w:val="0"/>
                <w:szCs w:val="21"/>
                <w:lang w:val="en-US"/>
              </w:rPr>
              <w:t>利用企业现有厂房460m</w:t>
            </w:r>
            <w:r>
              <w:rPr>
                <w:rFonts w:hint="eastAsia" w:hAnsi="宋体"/>
                <w:kern w:val="0"/>
                <w:szCs w:val="21"/>
                <w:vertAlign w:val="superscript"/>
                <w:lang w:val="en-US"/>
              </w:rPr>
              <w:t>2</w:t>
            </w:r>
            <w:r>
              <w:rPr>
                <w:rFonts w:hint="eastAsia" w:hAnsi="宋体"/>
                <w:kern w:val="0"/>
                <w:szCs w:val="21"/>
              </w:rPr>
              <w:t>。</w:t>
            </w:r>
            <w:r>
              <w:rPr>
                <w:rFonts w:hint="eastAsia" w:ascii="宋体" w:cs="宋体"/>
                <w:kern w:val="0"/>
                <w:szCs w:val="21"/>
                <w:lang w:val="en-US"/>
              </w:rPr>
              <w:t>项目在营运期产生的“三废”经过有效的处理后，对周围生态环境基本无影响。建议营运期间应加强厂区绿化建设，美化厂区环境。</w:t>
            </w:r>
          </w:p>
          <w:p>
            <w:pPr>
              <w:autoSpaceDE w:val="0"/>
              <w:autoSpaceDN w:val="0"/>
              <w:adjustRightInd w:val="0"/>
              <w:spacing w:line="360" w:lineRule="auto"/>
              <w:ind w:firstLine="420" w:firstLineChars="200"/>
              <w:jc w:val="left"/>
              <w:rPr>
                <w:rFonts w:ascii="宋体" w:cs="宋体"/>
                <w:kern w:val="0"/>
                <w:szCs w:val="21"/>
                <w:lang w:val="en-US"/>
              </w:rPr>
            </w:pPr>
          </w:p>
          <w:p>
            <w:pPr>
              <w:autoSpaceDE w:val="0"/>
              <w:autoSpaceDN w:val="0"/>
              <w:adjustRightInd w:val="0"/>
              <w:spacing w:line="360" w:lineRule="auto"/>
              <w:ind w:firstLine="420" w:firstLineChars="200"/>
              <w:jc w:val="left"/>
              <w:rPr>
                <w:rFonts w:ascii="宋体" w:cs="宋体"/>
                <w:kern w:val="0"/>
                <w:szCs w:val="21"/>
                <w:lang w:val="en-US"/>
              </w:rPr>
            </w:pPr>
          </w:p>
          <w:p>
            <w:pPr>
              <w:autoSpaceDE w:val="0"/>
              <w:autoSpaceDN w:val="0"/>
              <w:adjustRightInd w:val="0"/>
              <w:spacing w:line="360" w:lineRule="auto"/>
              <w:ind w:firstLine="420" w:firstLineChars="200"/>
              <w:jc w:val="left"/>
              <w:rPr>
                <w:rFonts w:ascii="宋体" w:cs="宋体"/>
                <w:kern w:val="0"/>
                <w:szCs w:val="21"/>
                <w:lang w:val="en-US"/>
              </w:rPr>
            </w:pPr>
          </w:p>
          <w:p>
            <w:pPr>
              <w:autoSpaceDE w:val="0"/>
              <w:autoSpaceDN w:val="0"/>
              <w:adjustRightInd w:val="0"/>
              <w:spacing w:line="360" w:lineRule="auto"/>
              <w:ind w:firstLine="420" w:firstLineChars="200"/>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pStyle w:val="2"/>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p>
            <w:pPr>
              <w:autoSpaceDE w:val="0"/>
              <w:autoSpaceDN w:val="0"/>
              <w:adjustRightInd w:val="0"/>
              <w:spacing w:line="360" w:lineRule="auto"/>
              <w:jc w:val="left"/>
              <w:rPr>
                <w:rFonts w:ascii="宋体" w:cs="宋体"/>
                <w:kern w:val="0"/>
                <w:szCs w:val="21"/>
                <w:lang w:val="en-US"/>
              </w:rPr>
            </w:pPr>
          </w:p>
        </w:tc>
      </w:tr>
    </w:tbl>
    <w:p>
      <w:pPr>
        <w:sectPr>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bookmarkEnd w:id="59"/>
    <w:p>
      <w:pPr>
        <w:pStyle w:val="4"/>
        <w:jc w:val="both"/>
        <w:rPr>
          <w:bCs w:val="0"/>
          <w:spacing w:val="0"/>
          <w:kern w:val="0"/>
          <w:sz w:val="32"/>
          <w:szCs w:val="32"/>
        </w:rPr>
      </w:pPr>
      <w:bookmarkStart w:id="62" w:name="_Toc10921"/>
      <w:r>
        <w:rPr>
          <w:bCs w:val="0"/>
          <w:spacing w:val="0"/>
          <w:kern w:val="0"/>
          <w:sz w:val="32"/>
          <w:szCs w:val="32"/>
        </w:rPr>
        <w:t>9</w:t>
      </w:r>
      <w:r>
        <w:rPr>
          <w:rFonts w:hAnsi="宋体"/>
          <w:bCs w:val="0"/>
          <w:spacing w:val="0"/>
          <w:kern w:val="0"/>
          <w:sz w:val="32"/>
          <w:szCs w:val="32"/>
        </w:rPr>
        <w:t>、结论与建议</w:t>
      </w:r>
      <w:bookmarkEnd w:id="62"/>
    </w:p>
    <w:tbl>
      <w:tblPr>
        <w:tblStyle w:val="7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napToGrid w:val="0"/>
              <w:spacing w:before="120" w:beforeLines="50" w:line="360" w:lineRule="auto"/>
              <w:rPr>
                <w:b/>
                <w:kern w:val="0"/>
                <w:sz w:val="28"/>
                <w:szCs w:val="28"/>
              </w:rPr>
            </w:pPr>
            <w:r>
              <w:rPr>
                <w:b/>
                <w:kern w:val="0"/>
                <w:sz w:val="28"/>
                <w:szCs w:val="28"/>
              </w:rPr>
              <w:t>9.1</w:t>
            </w:r>
            <w:r>
              <w:rPr>
                <w:rFonts w:hAnsi="宋体"/>
                <w:b/>
                <w:kern w:val="0"/>
                <w:sz w:val="28"/>
                <w:szCs w:val="28"/>
              </w:rPr>
              <w:t>结论</w:t>
            </w:r>
          </w:p>
          <w:p>
            <w:pPr>
              <w:spacing w:line="360" w:lineRule="auto"/>
              <w:ind w:firstLine="480" w:firstLineChars="200"/>
              <w:rPr>
                <w:kern w:val="0"/>
                <w:sz w:val="24"/>
                <w:szCs w:val="24"/>
              </w:rPr>
            </w:pPr>
            <w:r>
              <w:rPr>
                <w:rFonts w:hint="eastAsia" w:hAnsi="宋体"/>
                <w:kern w:val="0"/>
                <w:sz w:val="24"/>
              </w:rPr>
              <w:t>宜兴市和恒精密陶瓷有限公司实施的</w:t>
            </w:r>
            <w:r>
              <w:rPr>
                <w:rFonts w:hint="eastAsia" w:hAnsi="宋体"/>
                <w:kern w:val="0"/>
                <w:sz w:val="24"/>
                <w:szCs w:val="24"/>
                <w:lang w:val="en-US"/>
              </w:rPr>
              <w:t>陶瓷制品、陶瓷模具的制造、加工项目</w:t>
            </w:r>
            <w:r>
              <w:rPr>
                <w:rFonts w:hAnsi="宋体"/>
                <w:kern w:val="0"/>
                <w:sz w:val="24"/>
                <w:szCs w:val="24"/>
              </w:rPr>
              <w:t>，位于</w:t>
            </w:r>
            <w:r>
              <w:rPr>
                <w:rFonts w:hint="eastAsia" w:hAnsi="宋体"/>
                <w:kern w:val="0"/>
                <w:sz w:val="24"/>
                <w:szCs w:val="24"/>
              </w:rPr>
              <w:t>宜兴市丁蜀镇任墅工业集中区</w:t>
            </w:r>
            <w:r>
              <w:rPr>
                <w:rFonts w:hAnsi="宋体"/>
                <w:kern w:val="0"/>
                <w:sz w:val="24"/>
                <w:szCs w:val="24"/>
              </w:rPr>
              <w:t>，总投资</w:t>
            </w:r>
            <w:r>
              <w:rPr>
                <w:rFonts w:hint="eastAsia"/>
                <w:kern w:val="0"/>
                <w:sz w:val="24"/>
                <w:szCs w:val="24"/>
                <w:lang w:val="en-US"/>
              </w:rPr>
              <w:t>500</w:t>
            </w:r>
            <w:r>
              <w:rPr>
                <w:rFonts w:hAnsi="宋体"/>
                <w:kern w:val="0"/>
                <w:sz w:val="24"/>
                <w:szCs w:val="24"/>
              </w:rPr>
              <w:t>万元。</w:t>
            </w:r>
            <w:r>
              <w:rPr>
                <w:rFonts w:hint="eastAsia" w:hAnsi="宋体"/>
                <w:kern w:val="0"/>
                <w:sz w:val="24"/>
                <w:szCs w:val="24"/>
              </w:rPr>
              <w:t>项目建成后，</w:t>
            </w:r>
            <w:r>
              <w:rPr>
                <w:rFonts w:hint="eastAsia" w:hAnsi="宋体"/>
                <w:kern w:val="0"/>
                <w:sz w:val="24"/>
                <w:szCs w:val="24"/>
                <w:lang w:val="en-US"/>
              </w:rPr>
              <w:t>形成年产陶瓷制品</w:t>
            </w:r>
            <w:r>
              <w:rPr>
                <w:rFonts w:hAnsi="宋体"/>
                <w:kern w:val="0"/>
                <w:sz w:val="24"/>
                <w:szCs w:val="24"/>
                <w:lang w:val="en-US"/>
              </w:rPr>
              <w:t>50</w:t>
            </w:r>
            <w:r>
              <w:rPr>
                <w:rFonts w:hint="eastAsia" w:hAnsi="宋体"/>
                <w:kern w:val="0"/>
                <w:sz w:val="24"/>
                <w:szCs w:val="24"/>
                <w:lang w:val="en-US"/>
              </w:rPr>
              <w:t>万件、陶瓷模具</w:t>
            </w:r>
            <w:r>
              <w:rPr>
                <w:rFonts w:hAnsi="宋体"/>
                <w:kern w:val="0"/>
                <w:sz w:val="24"/>
                <w:szCs w:val="24"/>
                <w:lang w:val="en-US"/>
              </w:rPr>
              <w:t>50</w:t>
            </w:r>
            <w:r>
              <w:rPr>
                <w:rFonts w:hint="eastAsia" w:hAnsi="宋体"/>
                <w:kern w:val="0"/>
                <w:sz w:val="24"/>
                <w:szCs w:val="24"/>
                <w:lang w:val="en-US"/>
              </w:rPr>
              <w:t>万件的生产能力。</w:t>
            </w:r>
          </w:p>
          <w:p>
            <w:pPr>
              <w:spacing w:line="360" w:lineRule="auto"/>
              <w:rPr>
                <w:b/>
                <w:sz w:val="24"/>
              </w:rPr>
            </w:pPr>
            <w:r>
              <w:rPr>
                <w:b/>
                <w:sz w:val="24"/>
              </w:rPr>
              <w:t>9.1.1</w:t>
            </w:r>
            <w:r>
              <w:rPr>
                <w:rFonts w:hAnsi="宋体"/>
                <w:b/>
                <w:sz w:val="24"/>
              </w:rPr>
              <w:t>产业政策符合性</w:t>
            </w:r>
          </w:p>
          <w:p>
            <w:pPr>
              <w:spacing w:line="360" w:lineRule="auto"/>
              <w:ind w:firstLine="480" w:firstLineChars="200"/>
              <w:rPr>
                <w:rFonts w:hAnsi="宋体"/>
                <w:sz w:val="24"/>
                <w:szCs w:val="24"/>
              </w:rPr>
            </w:pPr>
            <w:r>
              <w:rPr>
                <w:rFonts w:hint="eastAsia" w:hAnsi="宋体"/>
                <w:sz w:val="24"/>
                <w:szCs w:val="24"/>
              </w:rPr>
              <w:t>经查实，</w:t>
            </w:r>
            <w:r>
              <w:rPr>
                <w:rFonts w:hint="eastAsia" w:hAnsi="宋体"/>
                <w:bCs/>
                <w:sz w:val="24"/>
                <w:szCs w:val="24"/>
              </w:rPr>
              <w:t>本</w:t>
            </w:r>
            <w:r>
              <w:rPr>
                <w:rFonts w:hint="eastAsia" w:hAnsi="宋体"/>
                <w:sz w:val="24"/>
                <w:szCs w:val="24"/>
              </w:rPr>
              <w:t>项目不属于</w:t>
            </w:r>
            <w:r>
              <w:rPr>
                <w:color w:val="000000"/>
                <w:sz w:val="24"/>
                <w:szCs w:val="24"/>
              </w:rPr>
              <w:t>《产业结构调整指导目录（</w:t>
            </w:r>
            <w:r>
              <w:rPr>
                <w:rFonts w:hint="eastAsia"/>
                <w:color w:val="000000"/>
                <w:sz w:val="24"/>
                <w:szCs w:val="24"/>
              </w:rPr>
              <w:t>2019年本）》</w:t>
            </w:r>
            <w:r>
              <w:rPr>
                <w:rFonts w:hint="eastAsia" w:hAnsi="宋体"/>
                <w:sz w:val="24"/>
                <w:szCs w:val="24"/>
              </w:rPr>
              <w:t>中规定的限制类或淘汰类项目，也不属于《江苏省工业和信息产业结构调整指导目录（</w:t>
            </w:r>
            <w:r>
              <w:rPr>
                <w:rFonts w:hAnsi="宋体"/>
                <w:sz w:val="24"/>
                <w:szCs w:val="24"/>
              </w:rPr>
              <w:t>2012</w:t>
            </w:r>
            <w:r>
              <w:rPr>
                <w:rFonts w:hint="eastAsia" w:hAnsi="宋体"/>
                <w:sz w:val="24"/>
                <w:szCs w:val="24"/>
              </w:rPr>
              <w:t>年本）》及其部分修改条目（苏经信产业（</w:t>
            </w:r>
            <w:r>
              <w:rPr>
                <w:rFonts w:hAnsi="宋体"/>
                <w:sz w:val="24"/>
                <w:szCs w:val="24"/>
              </w:rPr>
              <w:t>2013</w:t>
            </w:r>
            <w:r>
              <w:rPr>
                <w:rFonts w:hint="eastAsia" w:hAnsi="宋体"/>
                <w:sz w:val="24"/>
                <w:szCs w:val="24"/>
              </w:rPr>
              <w:t>）</w:t>
            </w:r>
            <w:r>
              <w:rPr>
                <w:rFonts w:hAnsi="宋体"/>
                <w:sz w:val="24"/>
                <w:szCs w:val="24"/>
              </w:rPr>
              <w:t>183</w:t>
            </w:r>
            <w:r>
              <w:rPr>
                <w:rFonts w:hint="eastAsia" w:hAnsi="宋体"/>
                <w:sz w:val="24"/>
                <w:szCs w:val="24"/>
              </w:rPr>
              <w:t>号）中规定的限制类或淘汰类项目；同时本项目不属于《无锡市制造业转型发展指导目录（</w:t>
            </w:r>
            <w:r>
              <w:rPr>
                <w:rFonts w:hAnsi="宋体"/>
                <w:sz w:val="24"/>
                <w:szCs w:val="24"/>
              </w:rPr>
              <w:t>2012</w:t>
            </w:r>
            <w:r>
              <w:rPr>
                <w:rFonts w:hint="eastAsia" w:hAnsi="宋体"/>
                <w:sz w:val="24"/>
                <w:szCs w:val="24"/>
              </w:rPr>
              <w:t>年本）》（锡政办发</w:t>
            </w:r>
            <w:r>
              <w:rPr>
                <w:rFonts w:hAnsi="宋体"/>
                <w:sz w:val="24"/>
                <w:szCs w:val="24"/>
              </w:rPr>
              <w:t>[2013]54</w:t>
            </w:r>
            <w:r>
              <w:rPr>
                <w:rFonts w:hint="eastAsia" w:hAnsi="宋体"/>
                <w:sz w:val="24"/>
                <w:szCs w:val="24"/>
              </w:rPr>
              <w:t>号）中的限制类或淘汰类项目，也不属于《宜兴市产业投资指导目录（2018年本）》中的限制类或淘汰类项目，属于允许类项目，符合国家及地方产业政策要求。</w:t>
            </w:r>
          </w:p>
          <w:p>
            <w:pPr>
              <w:spacing w:line="360" w:lineRule="auto"/>
              <w:rPr>
                <w:b/>
                <w:sz w:val="24"/>
              </w:rPr>
            </w:pPr>
            <w:r>
              <w:rPr>
                <w:b/>
                <w:sz w:val="24"/>
              </w:rPr>
              <w:t>9.1.2</w:t>
            </w:r>
            <w:r>
              <w:rPr>
                <w:rFonts w:hAnsi="宋体"/>
                <w:b/>
                <w:sz w:val="24"/>
                <w:lang w:val="en-US"/>
              </w:rPr>
              <w:t>规划相容性、选址合理性</w:t>
            </w:r>
          </w:p>
          <w:p>
            <w:pPr>
              <w:spacing w:line="360" w:lineRule="auto"/>
              <w:ind w:firstLine="480" w:firstLineChars="200"/>
              <w:rPr>
                <w:color w:val="FF0000"/>
              </w:rPr>
            </w:pPr>
            <w:r>
              <w:rPr>
                <w:rFonts w:hint="eastAsia"/>
                <w:sz w:val="24"/>
              </w:rPr>
              <w:t>根据</w:t>
            </w:r>
            <w:r>
              <w:rPr>
                <w:rFonts w:hint="eastAsia"/>
                <w:color w:val="000000"/>
                <w:sz w:val="24"/>
                <w:szCs w:val="24"/>
              </w:rPr>
              <w:t>《</w:t>
            </w:r>
            <w:r>
              <w:rPr>
                <w:rFonts w:hint="eastAsia"/>
                <w:bCs/>
                <w:sz w:val="24"/>
              </w:rPr>
              <w:t>宜兴市</w:t>
            </w:r>
            <w:r>
              <w:rPr>
                <w:rFonts w:hint="eastAsia"/>
                <w:bCs/>
                <w:sz w:val="24"/>
                <w:lang w:val="en-US"/>
              </w:rPr>
              <w:t>任墅工业集中区</w:t>
            </w:r>
            <w:r>
              <w:rPr>
                <w:rFonts w:hint="eastAsia"/>
                <w:sz w:val="24"/>
              </w:rPr>
              <w:t>环境影响报告书</w:t>
            </w:r>
            <w:r>
              <w:rPr>
                <w:rFonts w:hint="eastAsia"/>
                <w:color w:val="000000"/>
                <w:sz w:val="24"/>
                <w:szCs w:val="24"/>
              </w:rPr>
              <w:t>》</w:t>
            </w:r>
            <w:r>
              <w:rPr>
                <w:rFonts w:hint="eastAsia"/>
                <w:sz w:val="24"/>
              </w:rPr>
              <w:t>2018年环评批复（宜环发【2018】76号）：东至新长铁路（部分地块延伸至铁路东330米、泄洪河南240米），南至宕口开采区，西至新丁山监狱用地界线，北至丁张公路，规划用地面积145公顷。本园区产业定位以工业陶瓷、机械加工、环保设备等为主。本项目拟建地在</w:t>
            </w:r>
            <w:r>
              <w:rPr>
                <w:rFonts w:hint="eastAsia"/>
                <w:bCs/>
                <w:sz w:val="24"/>
                <w:szCs w:val="24"/>
              </w:rPr>
              <w:t>宜兴市</w:t>
            </w:r>
            <w:r>
              <w:rPr>
                <w:rFonts w:hint="eastAsia"/>
                <w:bCs/>
                <w:sz w:val="24"/>
                <w:szCs w:val="24"/>
                <w:lang w:val="en-US"/>
              </w:rPr>
              <w:t>任墅工业集中区</w:t>
            </w:r>
            <w:r>
              <w:rPr>
                <w:rFonts w:hint="eastAsia"/>
                <w:sz w:val="24"/>
              </w:rPr>
              <w:t>，项目行业类别为</w:t>
            </w:r>
            <w:r>
              <w:rPr>
                <w:rFonts w:hint="eastAsia"/>
                <w:kern w:val="0"/>
                <w:sz w:val="24"/>
                <w:szCs w:val="24"/>
              </w:rPr>
              <w:t>C</w:t>
            </w:r>
            <w:r>
              <w:rPr>
                <w:kern w:val="0"/>
                <w:sz w:val="24"/>
                <w:szCs w:val="24"/>
                <w:lang w:val="en-US"/>
              </w:rPr>
              <w:t>30</w:t>
            </w:r>
            <w:r>
              <w:rPr>
                <w:rFonts w:hint="eastAsia"/>
                <w:kern w:val="0"/>
                <w:sz w:val="24"/>
                <w:szCs w:val="24"/>
                <w:lang w:val="en-US"/>
              </w:rPr>
              <w:t>72特种陶瓷制品制造</w:t>
            </w:r>
            <w:r>
              <w:rPr>
                <w:rFonts w:hint="eastAsia"/>
                <w:sz w:val="24"/>
              </w:rPr>
              <w:t>，符合园区产业定位</w:t>
            </w:r>
            <w:r>
              <w:rPr>
                <w:sz w:val="24"/>
                <w:szCs w:val="24"/>
                <w:lang w:val="en-US"/>
              </w:rPr>
              <w:t>。</w:t>
            </w:r>
          </w:p>
          <w:p>
            <w:pPr>
              <w:spacing w:line="360" w:lineRule="auto"/>
              <w:ind w:firstLine="480" w:firstLineChars="200"/>
              <w:rPr>
                <w:rFonts w:hAnsi="宋体"/>
                <w:bCs/>
                <w:sz w:val="24"/>
                <w:szCs w:val="24"/>
              </w:rPr>
            </w:pPr>
            <w:r>
              <w:rPr>
                <w:rFonts w:hint="eastAsia" w:hAnsi="宋体"/>
                <w:sz w:val="24"/>
                <w:szCs w:val="24"/>
                <w:lang w:val="en-US"/>
              </w:rPr>
              <w:t>本项目位于宜兴市丁蜀镇任墅工业集中区，位于</w:t>
            </w:r>
            <w:r>
              <w:rPr>
                <w:rFonts w:hAnsi="宋体"/>
                <w:sz w:val="24"/>
                <w:szCs w:val="24"/>
                <w:lang w:val="en-US"/>
              </w:rPr>
              <w:t>太湖流域</w:t>
            </w:r>
            <w:r>
              <w:rPr>
                <w:rFonts w:hint="eastAsia" w:hAnsi="宋体"/>
                <w:sz w:val="24"/>
                <w:szCs w:val="24"/>
                <w:lang w:val="en-US"/>
              </w:rPr>
              <w:t>一</w:t>
            </w:r>
            <w:r>
              <w:rPr>
                <w:rFonts w:hAnsi="宋体"/>
                <w:sz w:val="24"/>
                <w:szCs w:val="24"/>
                <w:lang w:val="en-US"/>
              </w:rPr>
              <w:t>级保护区</w:t>
            </w:r>
            <w:r>
              <w:rPr>
                <w:rFonts w:hint="eastAsia" w:hAnsi="宋体"/>
                <w:sz w:val="24"/>
                <w:szCs w:val="24"/>
                <w:lang w:val="en-US"/>
              </w:rPr>
              <w:t>。本项目不属于禁止建设项目，符合《江苏省太湖水污染防治条例》（2018修正）（江苏省人民代表大会常务委员会公告第71号）规定。</w:t>
            </w:r>
          </w:p>
          <w:p>
            <w:pPr>
              <w:spacing w:line="360" w:lineRule="auto"/>
              <w:ind w:firstLine="480" w:firstLineChars="200"/>
              <w:rPr>
                <w:rFonts w:hAnsi="宋体"/>
                <w:bCs/>
                <w:sz w:val="24"/>
                <w:szCs w:val="24"/>
                <w:lang w:val="en-US"/>
              </w:rPr>
            </w:pPr>
            <w:r>
              <w:rPr>
                <w:rFonts w:hint="eastAsia" w:hAnsi="宋体"/>
                <w:sz w:val="24"/>
                <w:szCs w:val="24"/>
                <w:lang w:val="en-US"/>
              </w:rPr>
              <w:t>本项目不在《太湖流域管理条例》（国务院令第</w:t>
            </w:r>
            <w:r>
              <w:rPr>
                <w:rFonts w:hAnsi="宋体"/>
                <w:sz w:val="24"/>
                <w:szCs w:val="24"/>
                <w:lang w:val="en-US"/>
              </w:rPr>
              <w:t>604</w:t>
            </w:r>
            <w:r>
              <w:rPr>
                <w:rFonts w:hint="eastAsia" w:hAnsi="宋体"/>
                <w:sz w:val="24"/>
                <w:szCs w:val="24"/>
                <w:lang w:val="en-US"/>
              </w:rPr>
              <w:t>号）禁止建设行为范围内，本项目的建设符合《太湖流域管理条例》。</w:t>
            </w:r>
          </w:p>
          <w:p>
            <w:pPr>
              <w:spacing w:line="360" w:lineRule="auto"/>
              <w:ind w:firstLine="480" w:firstLineChars="200"/>
              <w:rPr>
                <w:rFonts w:hAnsi="宋体"/>
                <w:sz w:val="24"/>
                <w:szCs w:val="24"/>
                <w:lang w:val="en-US"/>
              </w:rPr>
            </w:pPr>
            <w:r>
              <w:rPr>
                <w:rFonts w:hint="eastAsia" w:hAnsi="宋体"/>
                <w:sz w:val="24"/>
                <w:szCs w:val="24"/>
                <w:lang w:val="en-US"/>
              </w:rPr>
              <w:t>本项目距离最近</w:t>
            </w:r>
            <w:r>
              <w:rPr>
                <w:rFonts w:hint="eastAsia" w:hAnsi="宋体"/>
                <w:kern w:val="10"/>
                <w:sz w:val="24"/>
              </w:rPr>
              <w:t>生态功能区太湖（宜兴市）重要保护区二级管控区</w:t>
            </w:r>
            <w:r>
              <w:rPr>
                <w:rFonts w:hAnsi="宋体"/>
                <w:kern w:val="10"/>
                <w:sz w:val="24"/>
                <w:lang w:val="en-US"/>
              </w:rPr>
              <w:t>4.6</w:t>
            </w:r>
            <w:r>
              <w:rPr>
                <w:rFonts w:hint="eastAsia" w:hAnsi="宋体"/>
                <w:kern w:val="10"/>
                <w:sz w:val="24"/>
                <w:lang w:val="en-US"/>
              </w:rPr>
              <w:t>公里</w:t>
            </w:r>
            <w:r>
              <w:rPr>
                <w:rFonts w:hint="eastAsia" w:hAnsi="宋体"/>
                <w:sz w:val="24"/>
                <w:szCs w:val="24"/>
                <w:lang w:val="en-US"/>
              </w:rPr>
              <w:t>，不在</w:t>
            </w:r>
            <w:r>
              <w:rPr>
                <w:rFonts w:hint="eastAsia"/>
                <w:sz w:val="24"/>
                <w:szCs w:val="24"/>
              </w:rPr>
              <w:t>《江苏省国家级生态保护红线规划》（苏政发〔2018〕74号）、《江苏省生态空间管控区域规划》（苏政发[2020]1号)和《宜兴市生态红线区域保护规划》（宜政办发〔2015〕39 号）</w:t>
            </w:r>
            <w:r>
              <w:rPr>
                <w:sz w:val="24"/>
                <w:szCs w:val="24"/>
              </w:rPr>
              <w:t>中的一、二级管控区</w:t>
            </w:r>
            <w:r>
              <w:rPr>
                <w:rFonts w:hint="eastAsia" w:hAnsi="宋体"/>
                <w:sz w:val="24"/>
                <w:szCs w:val="24"/>
                <w:lang w:val="en-US"/>
              </w:rPr>
              <w:t>范围内。</w:t>
            </w:r>
          </w:p>
          <w:p>
            <w:pPr>
              <w:spacing w:line="360" w:lineRule="auto"/>
              <w:ind w:firstLine="480" w:firstLineChars="200"/>
              <w:rPr>
                <w:rFonts w:hAnsi="宋体"/>
                <w:sz w:val="24"/>
                <w:szCs w:val="24"/>
                <w:lang w:val="en-US"/>
              </w:rPr>
            </w:pPr>
            <w:r>
              <w:rPr>
                <w:rFonts w:hint="eastAsia" w:hAnsi="宋体"/>
                <w:sz w:val="24"/>
                <w:szCs w:val="24"/>
                <w:lang w:val="en-US"/>
              </w:rPr>
              <w:t>本项目无生产废水产生，根据宜兴市公用事业管理局出具排水方案审查意见书，项目所在地主管道已经铺设到位，生活污水</w:t>
            </w:r>
            <w:r>
              <w:rPr>
                <w:rFonts w:hint="eastAsia" w:hAnsi="宋体"/>
                <w:sz w:val="24"/>
                <w:szCs w:val="24"/>
              </w:rPr>
              <w:t>经化粪池预处理后</w:t>
            </w:r>
            <w:r>
              <w:rPr>
                <w:rFonts w:hint="eastAsia" w:hAnsi="宋体"/>
                <w:sz w:val="24"/>
                <w:szCs w:val="24"/>
                <w:lang w:val="en-US"/>
              </w:rPr>
              <w:t>接入宜兴市华骐污水处理有限公司。符合《无锡市水环境保护条例》第十六条和二十八条相关规定。</w:t>
            </w:r>
          </w:p>
          <w:p>
            <w:pPr>
              <w:spacing w:line="360" w:lineRule="auto"/>
              <w:rPr>
                <w:b/>
                <w:sz w:val="24"/>
              </w:rPr>
            </w:pPr>
            <w:r>
              <w:rPr>
                <w:b/>
                <w:sz w:val="24"/>
              </w:rPr>
              <w:t>9.1.</w:t>
            </w:r>
            <w:r>
              <w:rPr>
                <w:rFonts w:hint="eastAsia"/>
                <w:b/>
                <w:sz w:val="24"/>
              </w:rPr>
              <w:t>3环</w:t>
            </w:r>
            <w:r>
              <w:rPr>
                <w:rFonts w:hAnsi="宋体"/>
                <w:b/>
                <w:sz w:val="24"/>
              </w:rPr>
              <w:t>境质量现状符合性</w:t>
            </w:r>
          </w:p>
          <w:p>
            <w:pPr>
              <w:spacing w:line="360" w:lineRule="auto"/>
              <w:ind w:firstLine="480" w:firstLineChars="200"/>
              <w:rPr>
                <w:rFonts w:hAnsi="宋体"/>
                <w:sz w:val="24"/>
                <w:lang w:val="en-US"/>
              </w:rPr>
            </w:pPr>
            <w:r>
              <w:rPr>
                <w:rFonts w:hint="eastAsia" w:hAnsi="宋体"/>
                <w:sz w:val="24"/>
              </w:rPr>
              <w:t>本项目位于宜兴市丁蜀镇任墅工业集中区，所在区域环境质量较好，符合功能区要求。</w:t>
            </w:r>
            <w:r>
              <w:rPr>
                <w:rFonts w:hAnsi="宋体"/>
                <w:sz w:val="24"/>
                <w:lang w:val="en-US"/>
              </w:rPr>
              <w:t>根据宜兴市201</w:t>
            </w:r>
            <w:r>
              <w:rPr>
                <w:rFonts w:hint="eastAsia" w:hAnsi="宋体"/>
                <w:sz w:val="24"/>
                <w:lang w:val="en-US" w:eastAsia="zh-CN"/>
              </w:rPr>
              <w:t>8</w:t>
            </w:r>
            <w:r>
              <w:rPr>
                <w:rFonts w:hAnsi="宋体"/>
                <w:sz w:val="24"/>
                <w:lang w:val="en-US"/>
              </w:rPr>
              <w:t>年度环境质量报告和宜兴市环境监测站提供的监测资料，本项目所处区域大气环境质量除NO</w:t>
            </w:r>
            <w:r>
              <w:rPr>
                <w:rFonts w:hAnsi="宋体"/>
                <w:sz w:val="24"/>
                <w:vertAlign w:val="subscript"/>
                <w:lang w:val="en-US"/>
              </w:rPr>
              <w:t>2</w:t>
            </w:r>
            <w:r>
              <w:rPr>
                <w:rFonts w:hAnsi="宋体"/>
                <w:sz w:val="24"/>
                <w:lang w:val="en-US"/>
              </w:rPr>
              <w:t>超标外满足《环境空气质量标准》（GB3095-2012）二级标准，水环境质量除氨氮、石油类超标外</w:t>
            </w:r>
            <w:r>
              <w:rPr>
                <w:rFonts w:hint="eastAsia" w:hAnsi="宋体"/>
                <w:sz w:val="24"/>
                <w:lang w:val="en-US"/>
              </w:rPr>
              <w:t>均</w:t>
            </w:r>
            <w:r>
              <w:rPr>
                <w:rFonts w:hAnsi="宋体"/>
                <w:sz w:val="24"/>
                <w:lang w:val="en-US"/>
              </w:rPr>
              <w:t>满足《地表水环境质量标准》（GB3838-2002）中Ⅲ类水质标准，</w:t>
            </w:r>
            <w:r>
              <w:rPr>
                <w:rFonts w:hint="eastAsia" w:hAnsi="宋体"/>
                <w:sz w:val="24"/>
              </w:rPr>
              <w:t>各厂界</w:t>
            </w:r>
            <w:r>
              <w:rPr>
                <w:rFonts w:hAnsi="宋体"/>
                <w:sz w:val="24"/>
              </w:rPr>
              <w:t>声环境质量</w:t>
            </w:r>
            <w:r>
              <w:rPr>
                <w:rFonts w:hint="eastAsia" w:hAnsi="宋体"/>
                <w:sz w:val="24"/>
              </w:rPr>
              <w:t>满足《声环境质量标准》（GB3096-2008）中3类标准，即昼间65dB(A)，夜间55dB(A)</w:t>
            </w:r>
            <w:r>
              <w:rPr>
                <w:rFonts w:hAnsi="宋体"/>
                <w:sz w:val="24"/>
                <w:lang w:val="en-US"/>
              </w:rPr>
              <w:t>。</w:t>
            </w:r>
          </w:p>
          <w:p>
            <w:pPr>
              <w:spacing w:line="360" w:lineRule="auto"/>
              <w:rPr>
                <w:kern w:val="0"/>
                <w:sz w:val="24"/>
                <w:szCs w:val="24"/>
                <w:lang w:val="en-US"/>
              </w:rPr>
            </w:pPr>
            <w:r>
              <w:rPr>
                <w:b/>
                <w:sz w:val="24"/>
              </w:rPr>
              <w:t>9.1.</w:t>
            </w:r>
            <w:r>
              <w:rPr>
                <w:rFonts w:hint="eastAsia"/>
                <w:b/>
                <w:sz w:val="24"/>
                <w:lang w:val="en-US"/>
              </w:rPr>
              <w:t>4</w:t>
            </w:r>
            <w:r>
              <w:rPr>
                <w:rFonts w:hint="eastAsia" w:hAnsi="宋体"/>
                <w:b/>
                <w:sz w:val="24"/>
              </w:rPr>
              <w:t>营运期</w:t>
            </w:r>
            <w:r>
              <w:rPr>
                <w:rFonts w:hAnsi="宋体"/>
                <w:b/>
                <w:sz w:val="24"/>
              </w:rPr>
              <w:t>环境影响分析</w:t>
            </w:r>
          </w:p>
          <w:p>
            <w:pPr>
              <w:spacing w:line="360" w:lineRule="auto"/>
              <w:ind w:firstLine="480" w:firstLineChars="200"/>
              <w:rPr>
                <w:rFonts w:hAnsi="宋体"/>
                <w:kern w:val="0"/>
                <w:sz w:val="24"/>
                <w:szCs w:val="24"/>
                <w:lang w:val="en-US"/>
              </w:rPr>
            </w:pPr>
            <w:r>
              <w:rPr>
                <w:rFonts w:hint="eastAsia" w:hAnsi="宋体"/>
                <w:kern w:val="0"/>
                <w:sz w:val="24"/>
                <w:szCs w:val="24"/>
              </w:rPr>
              <w:t>废水：本项目无生产废水产生及排放，职工的生活污水经化粪池预处理后接入</w:t>
            </w:r>
            <w:r>
              <w:rPr>
                <w:rFonts w:hint="eastAsia" w:hAnsi="宋体"/>
                <w:kern w:val="0"/>
                <w:sz w:val="24"/>
                <w:szCs w:val="24"/>
                <w:lang w:val="en-US"/>
              </w:rPr>
              <w:t>宜兴市华骐污水处理厂</w:t>
            </w:r>
            <w:r>
              <w:rPr>
                <w:rFonts w:hint="eastAsia" w:hAnsi="宋体"/>
                <w:kern w:val="0"/>
                <w:sz w:val="24"/>
                <w:szCs w:val="24"/>
              </w:rPr>
              <w:t>，达标后尾水排入</w:t>
            </w:r>
            <w:r>
              <w:rPr>
                <w:rFonts w:hint="eastAsia" w:hAnsi="宋体"/>
                <w:kern w:val="0"/>
                <w:sz w:val="24"/>
                <w:szCs w:val="24"/>
                <w:lang w:val="en-US"/>
              </w:rPr>
              <w:t>蠡河</w:t>
            </w:r>
            <w:r>
              <w:rPr>
                <w:rFonts w:hint="eastAsia" w:hAnsi="宋体"/>
                <w:kern w:val="0"/>
                <w:sz w:val="24"/>
                <w:szCs w:val="24"/>
              </w:rPr>
              <w:t>。</w:t>
            </w:r>
          </w:p>
          <w:p>
            <w:pPr>
              <w:spacing w:line="360" w:lineRule="auto"/>
              <w:ind w:firstLine="480" w:firstLineChars="200"/>
              <w:rPr>
                <w:rFonts w:hAnsi="宋体"/>
                <w:kern w:val="0"/>
                <w:sz w:val="24"/>
                <w:szCs w:val="24"/>
              </w:rPr>
            </w:pPr>
            <w:r>
              <w:rPr>
                <w:rFonts w:hint="eastAsia" w:hAnsi="宋体"/>
                <w:kern w:val="0"/>
                <w:sz w:val="24"/>
                <w:szCs w:val="24"/>
              </w:rPr>
              <w:t>固废：本项目生产过程产生的废陶瓷、陶瓷泥料、废次品、废陶瓷粉收集后外售给相关公司；职工生活垃圾收集后由环卫部门统一清运。本项目产生的固体废物全部处理，不外排是可行的。</w:t>
            </w:r>
          </w:p>
          <w:p>
            <w:pPr>
              <w:tabs>
                <w:tab w:val="left" w:pos="7245"/>
              </w:tabs>
              <w:spacing w:line="360" w:lineRule="auto"/>
              <w:ind w:firstLine="480" w:firstLineChars="200"/>
              <w:jc w:val="left"/>
              <w:outlineLvl w:val="0"/>
              <w:rPr>
                <w:sz w:val="24"/>
              </w:rPr>
            </w:pPr>
            <w:bookmarkStart w:id="63" w:name="_Toc15994"/>
            <w:r>
              <w:rPr>
                <w:rFonts w:hint="eastAsia" w:hAnsi="宋体"/>
                <w:kern w:val="0"/>
                <w:sz w:val="24"/>
                <w:szCs w:val="24"/>
              </w:rPr>
              <w:t>废气：</w:t>
            </w:r>
            <w:r>
              <w:rPr>
                <w:sz w:val="24"/>
              </w:rPr>
              <w:t>本项目废气均可达标排放，经预测，</w:t>
            </w:r>
            <w:r>
              <w:rPr>
                <w:rFonts w:hint="eastAsia"/>
                <w:sz w:val="24"/>
              </w:rPr>
              <w:t>颗粒物</w:t>
            </w:r>
            <w:r>
              <w:rPr>
                <w:sz w:val="24"/>
              </w:rPr>
              <w:t>排放达到</w:t>
            </w:r>
            <w:r>
              <w:rPr>
                <w:rFonts w:hint="eastAsia" w:hAnsi="宋体"/>
                <w:bCs/>
                <w:sz w:val="24"/>
              </w:rPr>
              <w:t>《陶瓷工业污染物排放标准》（GB25464-2010）中表6</w:t>
            </w:r>
            <w:r>
              <w:rPr>
                <w:rFonts w:hint="eastAsia" w:hAnsi="宋体"/>
                <w:bCs/>
                <w:sz w:val="24"/>
                <w:lang w:val="en-US"/>
              </w:rPr>
              <w:t>中限值</w:t>
            </w:r>
            <w:r>
              <w:rPr>
                <w:sz w:val="24"/>
              </w:rPr>
              <w:t>，对周围环境影响较小。</w:t>
            </w:r>
            <w:bookmarkEnd w:id="63"/>
          </w:p>
          <w:p>
            <w:pPr>
              <w:spacing w:line="360" w:lineRule="auto"/>
              <w:ind w:firstLine="480" w:firstLineChars="200"/>
              <w:rPr>
                <w:sz w:val="24"/>
              </w:rPr>
            </w:pPr>
            <w:r>
              <w:rPr>
                <w:sz w:val="24"/>
              </w:rPr>
              <w:t>根据《环境影响评价技术导则大气环境》（HJ2.2-2008）确定不设置大气环境防护距离，以生产车间为边界设置</w:t>
            </w:r>
            <w:r>
              <w:rPr>
                <w:rFonts w:hint="eastAsia"/>
                <w:sz w:val="24"/>
              </w:rPr>
              <w:t>50m卫生防护距离</w:t>
            </w:r>
            <w:r>
              <w:rPr>
                <w:sz w:val="24"/>
              </w:rPr>
              <w:t>。该范围内无居民区、医院、学校等环境敏感目标，建设项目无组织排放废气对周围的大气环境影响较小。</w:t>
            </w:r>
          </w:p>
          <w:p>
            <w:pPr>
              <w:spacing w:line="360" w:lineRule="auto"/>
              <w:ind w:firstLine="480" w:firstLineChars="200"/>
              <w:rPr>
                <w:rFonts w:hAnsi="宋体"/>
                <w:kern w:val="0"/>
                <w:sz w:val="24"/>
                <w:szCs w:val="24"/>
              </w:rPr>
            </w:pPr>
            <w:r>
              <w:rPr>
                <w:rFonts w:hint="eastAsia" w:hAnsi="宋体"/>
                <w:kern w:val="0"/>
                <w:sz w:val="24"/>
                <w:szCs w:val="24"/>
              </w:rPr>
              <w:t>噪声：本项目生产设备选用低噪声设备，经设备增设防震垫，合理布局、车间墙体、厂界采用实心隔音墙，绿化带等进行隔声降噪，厂界噪声可完全满足环境功能区要求。</w:t>
            </w:r>
          </w:p>
          <w:p>
            <w:pPr>
              <w:spacing w:line="360" w:lineRule="auto"/>
              <w:rPr>
                <w:rFonts w:hAnsi="宋体"/>
                <w:b/>
                <w:sz w:val="24"/>
                <w:szCs w:val="24"/>
              </w:rPr>
            </w:pPr>
            <w:r>
              <w:rPr>
                <w:b/>
                <w:sz w:val="24"/>
              </w:rPr>
              <w:t>9.1.</w:t>
            </w:r>
            <w:r>
              <w:rPr>
                <w:rFonts w:hint="eastAsia"/>
                <w:b/>
                <w:sz w:val="24"/>
              </w:rPr>
              <w:t>5总</w:t>
            </w:r>
            <w:r>
              <w:rPr>
                <w:rFonts w:hAnsi="宋体"/>
                <w:b/>
                <w:sz w:val="24"/>
                <w:szCs w:val="24"/>
              </w:rPr>
              <w:t>量控制</w:t>
            </w:r>
          </w:p>
          <w:p>
            <w:pPr>
              <w:snapToGrid w:val="0"/>
              <w:spacing w:line="360" w:lineRule="auto"/>
              <w:ind w:firstLine="480" w:firstLineChars="200"/>
              <w:rPr>
                <w:kern w:val="0"/>
                <w:sz w:val="24"/>
                <w:szCs w:val="24"/>
              </w:rPr>
            </w:pPr>
            <w:r>
              <w:rPr>
                <w:rFonts w:hint="eastAsia"/>
                <w:kern w:val="0"/>
                <w:sz w:val="24"/>
                <w:szCs w:val="24"/>
              </w:rPr>
              <w:t>企业最终排放量指标分别为：</w:t>
            </w:r>
            <w:r>
              <w:rPr>
                <w:rFonts w:hint="eastAsia"/>
                <w:kern w:val="0"/>
                <w:sz w:val="24"/>
                <w:szCs w:val="24"/>
                <w:lang w:eastAsia="zh-CN"/>
              </w:rPr>
              <w:t>无组织颗粒物：</w:t>
            </w:r>
            <w:r>
              <w:rPr>
                <w:rFonts w:hint="eastAsia"/>
                <w:kern w:val="0"/>
                <w:sz w:val="24"/>
                <w:szCs w:val="24"/>
                <w:lang w:val="en-US" w:eastAsia="zh-CN"/>
              </w:rPr>
              <w:t>0.000725t/a；</w:t>
            </w:r>
            <w:r>
              <w:rPr>
                <w:rFonts w:hint="eastAsia"/>
                <w:bCs/>
                <w:kern w:val="0"/>
                <w:sz w:val="24"/>
                <w:szCs w:val="24"/>
                <w:lang w:val="en-US"/>
              </w:rPr>
              <w:t>污水</w:t>
            </w:r>
            <w:r>
              <w:rPr>
                <w:rFonts w:hint="eastAsia"/>
                <w:kern w:val="0"/>
                <w:sz w:val="24"/>
                <w:szCs w:val="24"/>
                <w:lang w:val="en-US"/>
              </w:rPr>
              <w:t>量</w:t>
            </w:r>
            <w:r>
              <w:rPr>
                <w:rFonts w:hint="eastAsia"/>
                <w:kern w:val="0"/>
                <w:sz w:val="24"/>
                <w:szCs w:val="24"/>
              </w:rPr>
              <w:t>72t/a，COD0.0036t/a，</w:t>
            </w:r>
            <w:r>
              <w:rPr>
                <w:kern w:val="0"/>
                <w:sz w:val="24"/>
                <w:szCs w:val="24"/>
              </w:rPr>
              <w:t>SS</w:t>
            </w:r>
            <w:r>
              <w:rPr>
                <w:rFonts w:hint="eastAsia"/>
                <w:kern w:val="0"/>
                <w:sz w:val="24"/>
                <w:szCs w:val="24"/>
              </w:rPr>
              <w:t xml:space="preserve"> 0.00072t/a ，NH</w:t>
            </w:r>
            <w:r>
              <w:rPr>
                <w:rFonts w:hint="eastAsia"/>
                <w:kern w:val="0"/>
                <w:sz w:val="24"/>
                <w:szCs w:val="24"/>
                <w:vertAlign w:val="subscript"/>
              </w:rPr>
              <w:t>3</w:t>
            </w:r>
            <w:r>
              <w:rPr>
                <w:rFonts w:hint="eastAsia"/>
                <w:kern w:val="0"/>
                <w:sz w:val="24"/>
                <w:szCs w:val="24"/>
              </w:rPr>
              <w:t>-N</w:t>
            </w:r>
            <w:r>
              <w:rPr>
                <w:kern w:val="0"/>
                <w:sz w:val="24"/>
                <w:szCs w:val="24"/>
              </w:rPr>
              <w:t xml:space="preserve"> </w:t>
            </w:r>
            <w:r>
              <w:rPr>
                <w:rFonts w:hint="eastAsia"/>
                <w:kern w:val="0"/>
                <w:sz w:val="24"/>
                <w:szCs w:val="24"/>
              </w:rPr>
              <w:t xml:space="preserve">0.00036t/a，TP </w:t>
            </w:r>
            <w:r>
              <w:rPr>
                <w:kern w:val="0"/>
                <w:sz w:val="24"/>
                <w:szCs w:val="24"/>
              </w:rPr>
              <w:t>0.0</w:t>
            </w:r>
            <w:r>
              <w:rPr>
                <w:rFonts w:hint="eastAsia"/>
                <w:kern w:val="0"/>
                <w:sz w:val="24"/>
                <w:szCs w:val="24"/>
              </w:rPr>
              <w:t>00036t/a，TN 0.0011t/a；纳管考核指标分别为：COD 0.025t/a，</w:t>
            </w:r>
            <w:r>
              <w:rPr>
                <w:kern w:val="0"/>
                <w:sz w:val="24"/>
                <w:szCs w:val="24"/>
              </w:rPr>
              <w:t>SS</w:t>
            </w:r>
            <w:r>
              <w:rPr>
                <w:rFonts w:hint="eastAsia"/>
                <w:kern w:val="0"/>
                <w:sz w:val="24"/>
                <w:szCs w:val="24"/>
              </w:rPr>
              <w:t xml:space="preserve"> 0.014t/a， NH</w:t>
            </w:r>
            <w:r>
              <w:rPr>
                <w:rFonts w:hint="eastAsia"/>
                <w:kern w:val="0"/>
                <w:sz w:val="24"/>
                <w:szCs w:val="24"/>
                <w:vertAlign w:val="subscript"/>
              </w:rPr>
              <w:t>3</w:t>
            </w:r>
            <w:r>
              <w:rPr>
                <w:rFonts w:hint="eastAsia"/>
                <w:kern w:val="0"/>
                <w:sz w:val="24"/>
                <w:szCs w:val="24"/>
              </w:rPr>
              <w:t>-N</w:t>
            </w:r>
            <w:r>
              <w:rPr>
                <w:kern w:val="0"/>
                <w:sz w:val="24"/>
                <w:szCs w:val="24"/>
              </w:rPr>
              <w:t xml:space="preserve"> 0.0</w:t>
            </w:r>
            <w:r>
              <w:rPr>
                <w:rFonts w:hint="eastAsia"/>
                <w:kern w:val="0"/>
                <w:sz w:val="24"/>
                <w:szCs w:val="24"/>
              </w:rPr>
              <w:t xml:space="preserve">025t/a，TP </w:t>
            </w:r>
            <w:r>
              <w:rPr>
                <w:kern w:val="0"/>
                <w:sz w:val="24"/>
                <w:szCs w:val="24"/>
              </w:rPr>
              <w:t>0.00</w:t>
            </w:r>
            <w:r>
              <w:rPr>
                <w:rFonts w:hint="eastAsia"/>
                <w:kern w:val="0"/>
                <w:sz w:val="24"/>
                <w:szCs w:val="24"/>
              </w:rPr>
              <w:t>036t/a，TN 0.0032t/a。本项目水污染物总量在宜兴市华骐污水处理厂平衡。</w:t>
            </w:r>
          </w:p>
          <w:p>
            <w:pPr>
              <w:spacing w:line="360" w:lineRule="auto"/>
              <w:ind w:firstLine="480" w:firstLineChars="200"/>
              <w:rPr>
                <w:sz w:val="24"/>
              </w:rPr>
            </w:pPr>
            <w:r>
              <w:rPr>
                <w:rFonts w:hAnsi="宋体"/>
                <w:kern w:val="0"/>
                <w:sz w:val="24"/>
                <w:szCs w:val="24"/>
              </w:rPr>
              <w:t>固废：</w:t>
            </w:r>
            <w:r>
              <w:rPr>
                <w:rFonts w:hint="eastAsia" w:hAnsi="宋体"/>
                <w:kern w:val="0"/>
                <w:sz w:val="24"/>
                <w:szCs w:val="24"/>
              </w:rPr>
              <w:t>本</w:t>
            </w:r>
            <w:r>
              <w:rPr>
                <w:rFonts w:hAnsi="宋体"/>
                <w:kern w:val="0"/>
                <w:sz w:val="24"/>
                <w:szCs w:val="24"/>
              </w:rPr>
              <w:t>项目营运期的固废主要为</w:t>
            </w:r>
            <w:r>
              <w:rPr>
                <w:rFonts w:hint="eastAsia" w:hAnsi="宋体"/>
                <w:kern w:val="0"/>
                <w:sz w:val="24"/>
                <w:szCs w:val="24"/>
              </w:rPr>
              <w:t>废陶瓷、陶瓷泥料、废次品、废瓷粉、生活</w:t>
            </w:r>
            <w:r>
              <w:rPr>
                <w:rFonts w:hAnsi="宋体"/>
                <w:kern w:val="0"/>
                <w:sz w:val="24"/>
                <w:szCs w:val="24"/>
              </w:rPr>
              <w:t>垃圾等，</w:t>
            </w:r>
            <w:r>
              <w:rPr>
                <w:rFonts w:hint="eastAsia" w:hAnsi="宋体"/>
                <w:kern w:val="0"/>
                <w:sz w:val="24"/>
                <w:szCs w:val="24"/>
              </w:rPr>
              <w:t>废陶瓷、陶瓷泥料、废次品、废瓷粉收集后外售给相关公司；生活</w:t>
            </w:r>
            <w:r>
              <w:rPr>
                <w:rFonts w:hAnsi="宋体"/>
                <w:kern w:val="0"/>
                <w:sz w:val="24"/>
                <w:szCs w:val="24"/>
              </w:rPr>
              <w:t>垃圾由环卫部门统一</w:t>
            </w:r>
            <w:r>
              <w:rPr>
                <w:rFonts w:hint="eastAsia" w:hAnsi="宋体"/>
                <w:kern w:val="0"/>
                <w:sz w:val="24"/>
                <w:szCs w:val="24"/>
              </w:rPr>
              <w:t>清运</w:t>
            </w:r>
            <w:r>
              <w:rPr>
                <w:rFonts w:hAnsi="宋体"/>
                <w:kern w:val="0"/>
                <w:sz w:val="24"/>
                <w:szCs w:val="24"/>
              </w:rPr>
              <w:t>，无需申请总量控制指标。</w:t>
            </w:r>
          </w:p>
          <w:p>
            <w:pPr>
              <w:pStyle w:val="20"/>
              <w:spacing w:line="360" w:lineRule="auto"/>
              <w:ind w:firstLine="482" w:firstLineChars="200"/>
              <w:rPr>
                <w:rFonts w:hAnsi="宋体"/>
                <w:b/>
                <w:kern w:val="0"/>
                <w:sz w:val="24"/>
                <w:szCs w:val="24"/>
                <w:lang w:val="fi-FI"/>
              </w:rPr>
            </w:pPr>
            <w:r>
              <w:rPr>
                <w:rFonts w:hint="eastAsia" w:hAnsi="宋体"/>
                <w:b/>
                <w:kern w:val="0"/>
                <w:sz w:val="24"/>
                <w:szCs w:val="24"/>
                <w:lang w:val="fi-FI"/>
              </w:rPr>
              <w:t>综上所述，本项目不违反国家产业政策；企业在宜兴市丁蜀镇任墅工业集中区，利用现有厂房</w:t>
            </w:r>
            <w:r>
              <w:rPr>
                <w:rFonts w:hint="eastAsia" w:hAnsi="宋体"/>
                <w:b/>
                <w:kern w:val="0"/>
                <w:sz w:val="24"/>
                <w:szCs w:val="24"/>
              </w:rPr>
              <w:t>460</w:t>
            </w:r>
            <w:r>
              <w:rPr>
                <w:rFonts w:hint="eastAsia" w:hAnsi="宋体"/>
                <w:b/>
                <w:kern w:val="0"/>
                <w:sz w:val="24"/>
                <w:szCs w:val="24"/>
                <w:lang w:val="fi-FI"/>
              </w:rPr>
              <w:t>m</w:t>
            </w:r>
            <w:r>
              <w:rPr>
                <w:rFonts w:hint="eastAsia" w:hAnsi="宋体"/>
                <w:b/>
                <w:kern w:val="0"/>
                <w:sz w:val="24"/>
                <w:szCs w:val="24"/>
                <w:vertAlign w:val="superscript"/>
                <w:lang w:val="fi-FI"/>
              </w:rPr>
              <w:t>2</w:t>
            </w:r>
            <w:r>
              <w:rPr>
                <w:rFonts w:hint="eastAsia" w:hAnsi="宋体"/>
                <w:b/>
                <w:kern w:val="0"/>
                <w:sz w:val="24"/>
                <w:szCs w:val="24"/>
                <w:lang w:val="fi-FI"/>
              </w:rPr>
              <w:t>，符合用地规划的要求；项目生产运行过程中产生的污染在采取有效的“三废”治理措施之后，对周围环境影响很小，不会改变当地环境质量现状。在各项环保措施真正落实的基础上，从环保的角度出发，本项目的建设是可行的。</w:t>
            </w:r>
          </w:p>
          <w:p>
            <w:pPr>
              <w:snapToGrid w:val="0"/>
              <w:spacing w:line="360" w:lineRule="auto"/>
              <w:rPr>
                <w:b/>
                <w:kern w:val="0"/>
                <w:sz w:val="28"/>
                <w:szCs w:val="28"/>
              </w:rPr>
            </w:pPr>
            <w:r>
              <w:rPr>
                <w:b/>
                <w:kern w:val="0"/>
                <w:sz w:val="28"/>
                <w:szCs w:val="28"/>
              </w:rPr>
              <w:t>9.2</w:t>
            </w:r>
            <w:r>
              <w:rPr>
                <w:rFonts w:hAnsi="宋体"/>
                <w:b/>
                <w:kern w:val="0"/>
                <w:sz w:val="28"/>
                <w:szCs w:val="28"/>
              </w:rPr>
              <w:t>建议与环保要求</w:t>
            </w:r>
          </w:p>
          <w:p>
            <w:pPr>
              <w:spacing w:line="360" w:lineRule="auto"/>
              <w:ind w:firstLine="480" w:firstLineChars="200"/>
              <w:rPr>
                <w:sz w:val="24"/>
                <w:szCs w:val="24"/>
              </w:rPr>
            </w:pPr>
            <w:r>
              <w:rPr>
                <w:rFonts w:hint="eastAsia"/>
                <w:sz w:val="24"/>
                <w:szCs w:val="24"/>
              </w:rPr>
              <w:t xml:space="preserve">1. </w:t>
            </w:r>
            <w:r>
              <w:rPr>
                <w:rFonts w:hint="eastAsia" w:hAnsi="宋体"/>
                <w:sz w:val="24"/>
                <w:szCs w:val="24"/>
              </w:rPr>
              <w:t>加强绿化，以美化工作环境，同时利于吸尘降噪；</w:t>
            </w:r>
          </w:p>
          <w:p>
            <w:pPr>
              <w:pStyle w:val="20"/>
              <w:spacing w:line="360" w:lineRule="auto"/>
              <w:ind w:firstLine="480" w:firstLineChars="200"/>
              <w:rPr>
                <w:kern w:val="0"/>
                <w:sz w:val="24"/>
                <w:szCs w:val="24"/>
                <w:lang w:val="fi-FI"/>
              </w:rPr>
            </w:pPr>
            <w:r>
              <w:rPr>
                <w:rFonts w:hint="eastAsia"/>
                <w:kern w:val="0"/>
                <w:sz w:val="24"/>
                <w:szCs w:val="24"/>
                <w:lang w:val="fi-FI"/>
              </w:rPr>
              <w:t>2.</w:t>
            </w:r>
            <w:r>
              <w:rPr>
                <w:rFonts w:hint="eastAsia"/>
              </w:rPr>
              <w:t xml:space="preserve"> </w:t>
            </w:r>
            <w:r>
              <w:rPr>
                <w:rFonts w:hint="eastAsia"/>
                <w:kern w:val="0"/>
                <w:sz w:val="24"/>
                <w:szCs w:val="24"/>
                <w:lang w:val="fi-FI"/>
              </w:rPr>
              <w:t>严格岗位责任制，加强生产管理，定期进行清洁生产方面的宣传教育；</w:t>
            </w:r>
          </w:p>
          <w:p>
            <w:pPr>
              <w:pStyle w:val="20"/>
              <w:spacing w:line="360" w:lineRule="auto"/>
              <w:ind w:firstLine="480" w:firstLineChars="200"/>
              <w:rPr>
                <w:kern w:val="0"/>
                <w:sz w:val="24"/>
                <w:szCs w:val="24"/>
                <w:lang w:val="fi-FI"/>
              </w:rPr>
            </w:pPr>
            <w:r>
              <w:rPr>
                <w:rFonts w:hint="eastAsia"/>
                <w:kern w:val="0"/>
                <w:sz w:val="24"/>
                <w:szCs w:val="24"/>
                <w:lang w:val="fi-FI"/>
              </w:rPr>
              <w:t>3.</w:t>
            </w:r>
            <w:r>
              <w:rPr>
                <w:rFonts w:hint="eastAsia"/>
              </w:rPr>
              <w:t xml:space="preserve"> </w:t>
            </w:r>
            <w:r>
              <w:rPr>
                <w:rFonts w:hint="eastAsia"/>
                <w:kern w:val="0"/>
                <w:sz w:val="24"/>
                <w:szCs w:val="24"/>
                <w:lang w:val="fi-FI"/>
              </w:rPr>
              <w:t>确保环评中各项环保治理措施落实到位；</w:t>
            </w:r>
          </w:p>
          <w:p>
            <w:pPr>
              <w:pStyle w:val="20"/>
              <w:spacing w:line="360" w:lineRule="auto"/>
              <w:ind w:firstLine="482" w:firstLineChars="200"/>
              <w:rPr>
                <w:rFonts w:hAnsi="宋体"/>
                <w:b/>
                <w:kern w:val="0"/>
                <w:sz w:val="24"/>
                <w:szCs w:val="24"/>
                <w:lang w:val="fi-FI"/>
              </w:rPr>
            </w:pPr>
            <w:r>
              <w:rPr>
                <w:rFonts w:hint="eastAsia"/>
                <w:b/>
                <w:kern w:val="0"/>
                <w:sz w:val="24"/>
                <w:szCs w:val="24"/>
                <w:lang w:val="fi-FI"/>
              </w:rPr>
              <w:t xml:space="preserve">4. </w:t>
            </w:r>
            <w:r>
              <w:rPr>
                <w:rFonts w:hAnsi="宋体"/>
                <w:b/>
                <w:kern w:val="0"/>
                <w:sz w:val="24"/>
                <w:szCs w:val="24"/>
                <w:lang w:val="fi-FI"/>
              </w:rPr>
              <w:t>本次环评仅限于</w:t>
            </w:r>
            <w:r>
              <w:rPr>
                <w:rFonts w:hint="eastAsia" w:hAnsi="宋体"/>
                <w:b/>
                <w:kern w:val="0"/>
                <w:sz w:val="24"/>
                <w:szCs w:val="24"/>
                <w:lang w:val="fi-FI"/>
              </w:rPr>
              <w:t>宜兴市和恒精密陶瓷有限公司</w:t>
            </w:r>
            <w:r>
              <w:rPr>
                <w:rFonts w:hAnsi="宋体"/>
                <w:b/>
                <w:kern w:val="0"/>
                <w:sz w:val="24"/>
                <w:szCs w:val="24"/>
                <w:lang w:val="fi-FI"/>
              </w:rPr>
              <w:t>的</w:t>
            </w:r>
            <w:r>
              <w:rPr>
                <w:b/>
                <w:kern w:val="0"/>
                <w:sz w:val="24"/>
                <w:szCs w:val="24"/>
                <w:lang w:val="fi-FI"/>
              </w:rPr>
              <w:t>“</w:t>
            </w:r>
            <w:r>
              <w:rPr>
                <w:rFonts w:hint="eastAsia"/>
                <w:b/>
                <w:kern w:val="0"/>
                <w:sz w:val="24"/>
                <w:szCs w:val="24"/>
                <w:lang w:val="fi-FI"/>
              </w:rPr>
              <w:t>陶瓷制品、陶瓷模具的制造、加工项目</w:t>
            </w:r>
            <w:r>
              <w:rPr>
                <w:b/>
                <w:kern w:val="0"/>
                <w:sz w:val="24"/>
                <w:szCs w:val="24"/>
                <w:lang w:val="fi-FI"/>
              </w:rPr>
              <w:t>”</w:t>
            </w:r>
            <w:r>
              <w:rPr>
                <w:rFonts w:hAnsi="宋体"/>
                <w:b/>
                <w:kern w:val="0"/>
                <w:sz w:val="24"/>
                <w:szCs w:val="24"/>
                <w:lang w:val="fi-FI"/>
              </w:rPr>
              <w:t>。若发生规模扩大或者生产工艺、设备、经营范围变更等重大变更，须报环保部门另行审批。</w:t>
            </w:r>
            <w:r>
              <w:rPr>
                <w:rFonts w:hint="eastAsia" w:hAnsi="宋体"/>
                <w:b/>
                <w:kern w:val="0"/>
                <w:sz w:val="24"/>
                <w:szCs w:val="24"/>
                <w:lang w:val="fi-FI"/>
              </w:rPr>
              <w:t xml:space="preserve">     </w:t>
            </w:r>
          </w:p>
          <w:p>
            <w:pPr>
              <w:pStyle w:val="20"/>
              <w:spacing w:line="360" w:lineRule="auto"/>
              <w:ind w:firstLine="482" w:firstLineChars="200"/>
              <w:rPr>
                <w:rFonts w:hAnsi="宋体"/>
                <w:b/>
                <w:kern w:val="0"/>
                <w:sz w:val="24"/>
                <w:szCs w:val="24"/>
                <w:lang w:val="fi-FI"/>
              </w:rPr>
            </w:pPr>
          </w:p>
          <w:p>
            <w:pPr>
              <w:pStyle w:val="20"/>
              <w:spacing w:line="360" w:lineRule="auto"/>
              <w:ind w:firstLine="482" w:firstLineChars="200"/>
              <w:rPr>
                <w:rFonts w:hAnsi="宋体"/>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p>
            <w:pPr>
              <w:pStyle w:val="20"/>
              <w:spacing w:line="360" w:lineRule="auto"/>
              <w:ind w:firstLine="0"/>
              <w:rPr>
                <w:b/>
                <w:kern w:val="0"/>
                <w:sz w:val="24"/>
                <w:szCs w:val="24"/>
                <w:lang w:val="fi-FI"/>
              </w:rPr>
            </w:pPr>
          </w:p>
        </w:tc>
      </w:tr>
      <w:bookmarkEnd w:id="60"/>
      <w:bookmarkEnd w:id="61"/>
    </w:tbl>
    <w:p>
      <w:pPr>
        <w:adjustRightInd w:val="0"/>
        <w:snapToGrid w:val="0"/>
        <w:spacing w:line="360" w:lineRule="auto"/>
        <w:jc w:val="center"/>
        <w:rPr>
          <w:kern w:val="0"/>
        </w:rPr>
        <w:sectPr>
          <w:headerReference r:id="rId7"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p>
    <w:tbl>
      <w:tblPr>
        <w:tblStyle w:val="75"/>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5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156" w:beforeLines="50"/>
              <w:rPr>
                <w:sz w:val="24"/>
              </w:rPr>
            </w:pPr>
            <w:r>
              <w:rPr>
                <w:rFonts w:hAnsi="宋体"/>
                <w:sz w:val="24"/>
              </w:rPr>
              <w:t>预审意见：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156" w:beforeLines="50" w:line="440" w:lineRule="atLeast"/>
              <w:rPr>
                <w:sz w:val="24"/>
              </w:rPr>
            </w:pPr>
            <w:r>
              <w:rPr>
                <w:sz w:val="24"/>
              </w:rPr>
              <w:t xml:space="preserve">                                                 </w:t>
            </w:r>
            <w:r>
              <w:rPr>
                <w:rFonts w:hAnsi="宋体"/>
                <w:sz w:val="24"/>
              </w:rPr>
              <w:t>公章</w:t>
            </w:r>
          </w:p>
          <w:p>
            <w:pPr>
              <w:spacing w:before="156" w:beforeLines="50" w:line="440" w:lineRule="atLeast"/>
              <w:rPr>
                <w:sz w:val="24"/>
              </w:rPr>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3" w:hRule="atLeast"/>
          <w:jc w:val="center"/>
        </w:trPr>
        <w:tc>
          <w:tcPr>
            <w:tcW w:w="8522" w:type="dxa"/>
          </w:tcPr>
          <w:p>
            <w:pPr>
              <w:spacing w:before="156" w:beforeLines="50"/>
              <w:rPr>
                <w:sz w:val="24"/>
              </w:rPr>
            </w:pPr>
            <w:r>
              <w:rPr>
                <w:rFonts w:hAnsi="宋体"/>
                <w:sz w:val="24"/>
              </w:rPr>
              <w:t>下一级环境保护行政主管部门审查意见：</w:t>
            </w:r>
            <w:r>
              <w:rPr>
                <w:sz w:val="24"/>
              </w:rPr>
              <w:t xml:space="preserve"> </w:t>
            </w: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line="520" w:lineRule="exact"/>
              <w:rPr>
                <w:sz w:val="24"/>
              </w:rPr>
            </w:pPr>
            <w:r>
              <w:rPr>
                <w:sz w:val="24"/>
              </w:rPr>
              <w:t xml:space="preserve">                                                    </w:t>
            </w:r>
            <w:r>
              <w:rPr>
                <w:rFonts w:hAnsi="宋体"/>
                <w:sz w:val="24"/>
              </w:rPr>
              <w:t>公章</w:t>
            </w:r>
          </w:p>
          <w:p>
            <w:pPr>
              <w:spacing w:line="520" w:lineRule="exact"/>
            </w:pPr>
            <w:r>
              <w:rPr>
                <w:rFonts w:hAnsi="宋体"/>
                <w:sz w:val="24"/>
              </w:rPr>
              <w:t>经办人：</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bl>
    <w:p>
      <w:pPr>
        <w:widowControl/>
        <w:rPr>
          <w:lang w:val="en-US"/>
        </w:rPr>
      </w:pPr>
      <w:r>
        <w:rPr>
          <w:lang w:val="en-US"/>
        </w:rPr>
        <mc:AlternateContent>
          <mc:Choice Requires="wps">
            <w:drawing>
              <wp:anchor distT="0" distB="0" distL="114300" distR="114300" simplePos="0" relativeHeight="251617280" behindDoc="0" locked="0" layoutInCell="1" allowOverlap="1">
                <wp:simplePos x="0" y="0"/>
                <wp:positionH relativeFrom="margin">
                  <wp:posOffset>-243205</wp:posOffset>
                </wp:positionH>
                <wp:positionV relativeFrom="paragraph">
                  <wp:posOffset>7010400</wp:posOffset>
                </wp:positionV>
                <wp:extent cx="5648325" cy="3810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5648325" cy="381000"/>
                        </a:xfrm>
                        <a:prstGeom prst="rect">
                          <a:avLst/>
                        </a:prstGeom>
                        <a:noFill/>
                        <a:ln w="6350">
                          <a:noFill/>
                        </a:ln>
                        <a:effectLst/>
                      </wps:spPr>
                      <wps:txbx>
                        <w:txbxContent>
                          <w:p>
                            <w:pPr>
                              <w:jc w:val="center"/>
                              <w:rPr>
                                <w:sz w:val="28"/>
                                <w:szCs w:val="28"/>
                              </w:rPr>
                            </w:pPr>
                            <w:r>
                              <w:rPr>
                                <w:sz w:val="28"/>
                                <w:szCs w:val="28"/>
                              </w:rPr>
                              <w:t>附图1 建设项目地理位置</w:t>
                            </w:r>
                            <w:r>
                              <w:rPr>
                                <w:rFonts w:hint="eastAsia"/>
                                <w:sz w:val="28"/>
                                <w:szCs w:val="28"/>
                              </w:rPr>
                              <w:t>图</w:t>
                            </w:r>
                          </w:p>
                        </w:txbxContent>
                      </wps:txbx>
                      <wps:bodyPr upright="1"/>
                    </wps:wsp>
                  </a:graphicData>
                </a:graphic>
              </wp:anchor>
            </w:drawing>
          </mc:Choice>
          <mc:Fallback>
            <w:pict>
              <v:shape id="文本框 4" o:spid="_x0000_s1026" o:spt="202" type="#_x0000_t202" style="position:absolute;left:0pt;margin-left:-19.15pt;margin-top:552pt;height:30pt;width:444.75pt;mso-position-horizontal-relative:margin;z-index:251617280;mso-width-relative:page;mso-height-relative:page;" filled="f" stroked="f" coordsize="21600,21600" o:gfxdata="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XWPQzbAAAADQEAAA8AAAAA&#10;AAAAAQAgAAAAIgAAAGRycy9kb3ducmV2LnhtbFBLAQIUABQAAAAIAIdO4kDqw+StnwEAABgDAAAO&#10;AAAAAAAAAAEAIAAAACoBAABkcnMvZTJvRG9jLnhtbFBLBQYAAAAABgAGAFkBAAA7BQAAAAA=&#10;">
                <v:fill on="f" focussize="0,0"/>
                <v:stroke on="f" weight="0.5pt"/>
                <v:imagedata o:title=""/>
                <o:lock v:ext="edit" aspectratio="f"/>
                <v:textbox>
                  <w:txbxContent>
                    <w:p>
                      <w:pPr>
                        <w:jc w:val="center"/>
                        <w:rPr>
                          <w:sz w:val="28"/>
                          <w:szCs w:val="28"/>
                        </w:rPr>
                      </w:pPr>
                      <w:r>
                        <w:rPr>
                          <w:sz w:val="28"/>
                          <w:szCs w:val="28"/>
                        </w:rPr>
                        <w:t>附图1 建设项目地理位置</w:t>
                      </w:r>
                      <w:r>
                        <w:rPr>
                          <w:rFonts w:hint="eastAsia"/>
                          <w:sz w:val="28"/>
                          <w:szCs w:val="28"/>
                        </w:rPr>
                        <w:t>图</w:t>
                      </w:r>
                    </w:p>
                  </w:txbxContent>
                </v:textbox>
              </v:shape>
            </w:pict>
          </mc:Fallback>
        </mc:AlternateContent>
      </w:r>
      <w:r>
        <w:rPr>
          <w:lang w:val="en-US"/>
        </w:rPr>
        <mc:AlternateContent>
          <mc:Choice Requires="wps">
            <w:drawing>
              <wp:anchor distT="0" distB="0" distL="114300" distR="114300" simplePos="0" relativeHeight="251620352" behindDoc="0" locked="0" layoutInCell="1" allowOverlap="1">
                <wp:simplePos x="0" y="0"/>
                <wp:positionH relativeFrom="margin">
                  <wp:posOffset>534670</wp:posOffset>
                </wp:positionH>
                <wp:positionV relativeFrom="paragraph">
                  <wp:posOffset>5115560</wp:posOffset>
                </wp:positionV>
                <wp:extent cx="7505700" cy="3810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7505700" cy="381000"/>
                        </a:xfrm>
                        <a:prstGeom prst="rect">
                          <a:avLst/>
                        </a:prstGeom>
                        <a:solidFill>
                          <a:srgbClr val="FFFFFF"/>
                        </a:solidFill>
                        <a:ln w="6350">
                          <a:noFill/>
                        </a:ln>
                        <a:effectLst/>
                      </wps:spPr>
                      <wps:txbx>
                        <w:txbxContent>
                          <w:p>
                            <w:pPr>
                              <w:jc w:val="center"/>
                              <w:rPr>
                                <w:sz w:val="28"/>
                                <w:szCs w:val="28"/>
                              </w:rPr>
                            </w:pPr>
                            <w:r>
                              <w:rPr>
                                <w:sz w:val="28"/>
                                <w:szCs w:val="28"/>
                              </w:rPr>
                              <w:t>附图2 建设项目</w:t>
                            </w:r>
                            <w:r>
                              <w:rPr>
                                <w:rFonts w:hint="eastAsia"/>
                                <w:sz w:val="28"/>
                                <w:szCs w:val="28"/>
                              </w:rPr>
                              <w:t>周围500</w:t>
                            </w:r>
                            <w:r>
                              <w:rPr>
                                <w:sz w:val="28"/>
                                <w:szCs w:val="28"/>
                              </w:rPr>
                              <w:t>m</w:t>
                            </w:r>
                            <w:r>
                              <w:rPr>
                                <w:rFonts w:hint="eastAsia"/>
                                <w:sz w:val="28"/>
                                <w:szCs w:val="28"/>
                              </w:rPr>
                              <w:t>环境</w:t>
                            </w:r>
                            <w:r>
                              <w:rPr>
                                <w:sz w:val="28"/>
                                <w:szCs w:val="28"/>
                              </w:rPr>
                              <w:t>示意图</w:t>
                            </w:r>
                          </w:p>
                          <w:p>
                            <w:pPr>
                              <w:jc w:val="center"/>
                              <w:rPr>
                                <w:sz w:val="28"/>
                                <w:szCs w:val="28"/>
                              </w:rPr>
                            </w:pPr>
                          </w:p>
                        </w:txbxContent>
                      </wps:txbx>
                      <wps:bodyPr upright="1"/>
                    </wps:wsp>
                  </a:graphicData>
                </a:graphic>
              </wp:anchor>
            </w:drawing>
          </mc:Choice>
          <mc:Fallback>
            <w:pict>
              <v:shape id="文本框 3" o:spid="_x0000_s1026" o:spt="202" type="#_x0000_t202" style="position:absolute;left:0pt;margin-left:42.1pt;margin-top:402.8pt;height:30pt;width:591pt;mso-position-horizontal-relative:margin;z-index:251620352;mso-width-relative:page;mso-height-relative:page;" fillcolor="#FFFFFF" filled="t" stroked="f" coordsize="21600,21600" o:gfxdata="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sap7V&#10;AAAACwEAAA8AAAAAAAAAAQAgAAAAIgAAAGRycy9kb3ducmV2LnhtbFBLAQIUABQAAAAIAIdO4kBI&#10;Icu+sQEAAEEDAAAOAAAAAAAAAAEAIAAAACQBAABkcnMvZTJvRG9jLnhtbFBLBQYAAAAABgAGAFkB&#10;AABHBQAAAAA=&#10;">
                <v:fill on="t" focussize="0,0"/>
                <v:stroke on="f" weight="0.5pt"/>
                <v:imagedata o:title=""/>
                <o:lock v:ext="edit" aspectratio="f"/>
                <v:textbox>
                  <w:txbxContent>
                    <w:p>
                      <w:pPr>
                        <w:jc w:val="center"/>
                        <w:rPr>
                          <w:sz w:val="28"/>
                          <w:szCs w:val="28"/>
                        </w:rPr>
                      </w:pPr>
                      <w:r>
                        <w:rPr>
                          <w:sz w:val="28"/>
                          <w:szCs w:val="28"/>
                        </w:rPr>
                        <w:t>附图2 建设项目</w:t>
                      </w:r>
                      <w:r>
                        <w:rPr>
                          <w:rFonts w:hint="eastAsia"/>
                          <w:sz w:val="28"/>
                          <w:szCs w:val="28"/>
                        </w:rPr>
                        <w:t>周围500</w:t>
                      </w:r>
                      <w:r>
                        <w:rPr>
                          <w:sz w:val="28"/>
                          <w:szCs w:val="28"/>
                        </w:rPr>
                        <w:t>m</w:t>
                      </w:r>
                      <w:r>
                        <w:rPr>
                          <w:rFonts w:hint="eastAsia"/>
                          <w:sz w:val="28"/>
                          <w:szCs w:val="28"/>
                        </w:rPr>
                        <w:t>环境</w:t>
                      </w:r>
                      <w:r>
                        <w:rPr>
                          <w:sz w:val="28"/>
                          <w:szCs w:val="28"/>
                        </w:rPr>
                        <w:t>示意图</w:t>
                      </w:r>
                    </w:p>
                    <w:p>
                      <w:pPr>
                        <w:jc w:val="center"/>
                        <w:rPr>
                          <w:sz w:val="28"/>
                          <w:szCs w:val="28"/>
                        </w:rPr>
                      </w:pPr>
                    </w:p>
                  </w:txbxContent>
                </v:textbox>
              </v:shape>
            </w:pict>
          </mc:Fallback>
        </mc:AlternateContent>
      </w: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lotter">
    <w:altName w:val="Lucida Console"/>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r>
      <w:fldChar w:fldCharType="begin"/>
    </w:r>
    <w:r>
      <w:rPr>
        <w:rStyle w:val="79"/>
      </w:rPr>
      <w:instrText xml:space="preserve"> PAGE </w:instrText>
    </w:r>
    <w:r>
      <w:fldChar w:fldCharType="separate"/>
    </w:r>
    <w:r>
      <w:rPr>
        <w:rStyle w:val="79"/>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2162F"/>
    <w:multiLevelType w:val="singleLevel"/>
    <w:tmpl w:val="8AD2162F"/>
    <w:lvl w:ilvl="0" w:tentative="0">
      <w:start w:val="2"/>
      <w:numFmt w:val="decimal"/>
      <w:suff w:val="nothing"/>
      <w:lvlText w:val="（%1）"/>
      <w:lvlJc w:val="left"/>
    </w:lvl>
  </w:abstractNum>
  <w:abstractNum w:abstractNumId="1">
    <w:nsid w:val="E644828D"/>
    <w:multiLevelType w:val="singleLevel"/>
    <w:tmpl w:val="E644828D"/>
    <w:lvl w:ilvl="0" w:tentative="0">
      <w:start w:val="7"/>
      <w:numFmt w:val="decimal"/>
      <w:suff w:val="nothing"/>
      <w:lvlText w:val="（%1）"/>
      <w:lvlJc w:val="left"/>
    </w:lvl>
  </w:abstractNum>
  <w:abstractNum w:abstractNumId="2">
    <w:nsid w:val="06F0502B"/>
    <w:multiLevelType w:val="multilevel"/>
    <w:tmpl w:val="06F0502B"/>
    <w:lvl w:ilvl="0" w:tentative="0">
      <w:start w:val="1"/>
      <w:numFmt w:val="decimal"/>
      <w:pStyle w:val="165"/>
      <w:lvlText w:val="表7-%1."/>
      <w:lvlJc w:val="center"/>
      <w:pPr>
        <w:ind w:left="420" w:hanging="420"/>
      </w:pPr>
      <w:rPr>
        <w:rFonts w:hint="eastAsia"/>
        <w:lang w:val="fi-F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9D566C8"/>
    <w:multiLevelType w:val="multilevel"/>
    <w:tmpl w:val="09D566C8"/>
    <w:lvl w:ilvl="0" w:tentative="0">
      <w:start w:val="1"/>
      <w:numFmt w:val="decimal"/>
      <w:pStyle w:val="95"/>
      <w:lvlText w:val="表2-%1."/>
      <w:lvlJc w:val="left"/>
      <w:pPr>
        <w:ind w:left="42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99473B"/>
    <w:multiLevelType w:val="multilevel"/>
    <w:tmpl w:val="2B99473B"/>
    <w:lvl w:ilvl="0" w:tentative="0">
      <w:start w:val="1"/>
      <w:numFmt w:val="decimal"/>
      <w:pStyle w:val="162"/>
      <w:lvlText w:val="表6-%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5ED0082"/>
    <w:multiLevelType w:val="multilevel"/>
    <w:tmpl w:val="35ED0082"/>
    <w:lvl w:ilvl="0" w:tentative="0">
      <w:start w:val="1"/>
      <w:numFmt w:val="decimal"/>
      <w:pStyle w:val="114"/>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9343CB8"/>
    <w:multiLevelType w:val="multilevel"/>
    <w:tmpl w:val="39343CB8"/>
    <w:lvl w:ilvl="0" w:tentative="0">
      <w:start w:val="1"/>
      <w:numFmt w:val="decimal"/>
      <w:pStyle w:val="134"/>
      <w:lvlText w:val="表4-%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3C03A6"/>
    <w:multiLevelType w:val="multilevel"/>
    <w:tmpl w:val="3C3C03A6"/>
    <w:lvl w:ilvl="0" w:tentative="0">
      <w:start w:val="1"/>
      <w:numFmt w:val="decimal"/>
      <w:pStyle w:val="245"/>
      <w:lvlText w:val="表4.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AE4587"/>
    <w:multiLevelType w:val="singleLevel"/>
    <w:tmpl w:val="3FAE4587"/>
    <w:lvl w:ilvl="0" w:tentative="0">
      <w:start w:val="1"/>
      <w:numFmt w:val="decimal"/>
      <w:pStyle w:val="218"/>
      <w:lvlText w:val="%1."/>
      <w:lvlJc w:val="left"/>
      <w:pPr>
        <w:tabs>
          <w:tab w:val="left" w:pos="842"/>
        </w:tabs>
        <w:ind w:left="0" w:firstLine="482"/>
      </w:pPr>
      <w:rPr>
        <w:rFonts w:hint="eastAsia"/>
        <w:sz w:val="28"/>
        <w:szCs w:val="28"/>
      </w:rPr>
    </w:lvl>
  </w:abstractNum>
  <w:abstractNum w:abstractNumId="9">
    <w:nsid w:val="4B1B0534"/>
    <w:multiLevelType w:val="multilevel"/>
    <w:tmpl w:val="4B1B0534"/>
    <w:lvl w:ilvl="0" w:tentative="0">
      <w:start w:val="1"/>
      <w:numFmt w:val="decimal"/>
      <w:pStyle w:val="194"/>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1D3E5D"/>
    <w:multiLevelType w:val="multilevel"/>
    <w:tmpl w:val="501D3E5D"/>
    <w:lvl w:ilvl="0" w:tentative="0">
      <w:start w:val="1"/>
      <w:numFmt w:val="decimal"/>
      <w:pStyle w:val="142"/>
      <w:lvlText w:val="表5-%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4D7712"/>
    <w:multiLevelType w:val="multilevel"/>
    <w:tmpl w:val="5A4D7712"/>
    <w:lvl w:ilvl="0" w:tentative="0">
      <w:start w:val="1"/>
      <w:numFmt w:val="decimal"/>
      <w:pStyle w:val="198"/>
      <w:lvlText w:val="表1-%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8E427D"/>
    <w:multiLevelType w:val="multilevel"/>
    <w:tmpl w:val="6D8E427D"/>
    <w:lvl w:ilvl="0" w:tentative="0">
      <w:start w:val="1"/>
      <w:numFmt w:val="decimal"/>
      <w:pStyle w:val="216"/>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468D7B"/>
    <w:multiLevelType w:val="singleLevel"/>
    <w:tmpl w:val="74468D7B"/>
    <w:lvl w:ilvl="0" w:tentative="0">
      <w:start w:val="1"/>
      <w:numFmt w:val="decimal"/>
      <w:suff w:val="nothing"/>
      <w:lvlText w:val="%1、"/>
      <w:lvlJc w:val="left"/>
    </w:lvl>
  </w:abstractNum>
  <w:abstractNum w:abstractNumId="14">
    <w:nsid w:val="77139701"/>
    <w:multiLevelType w:val="singleLevel"/>
    <w:tmpl w:val="77139701"/>
    <w:lvl w:ilvl="0" w:tentative="0">
      <w:start w:val="3"/>
      <w:numFmt w:val="decimal"/>
      <w:suff w:val="nothing"/>
      <w:lvlText w:val="%1、"/>
      <w:lvlJc w:val="left"/>
    </w:lvl>
  </w:abstractNum>
  <w:abstractNum w:abstractNumId="15">
    <w:nsid w:val="7DD7664B"/>
    <w:multiLevelType w:val="multilevel"/>
    <w:tmpl w:val="7DD7664B"/>
    <w:lvl w:ilvl="0" w:tentative="0">
      <w:start w:val="1"/>
      <w:numFmt w:val="decimal"/>
      <w:pStyle w:val="186"/>
      <w:lvlText w:val="表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6"/>
  </w:num>
  <w:num w:numId="4">
    <w:abstractNumId w:val="10"/>
  </w:num>
  <w:num w:numId="5">
    <w:abstractNumId w:val="4"/>
  </w:num>
  <w:num w:numId="6">
    <w:abstractNumId w:val="2"/>
  </w:num>
  <w:num w:numId="7">
    <w:abstractNumId w:val="15"/>
  </w:num>
  <w:num w:numId="8">
    <w:abstractNumId w:val="9"/>
  </w:num>
  <w:num w:numId="9">
    <w:abstractNumId w:val="11"/>
  </w:num>
  <w:num w:numId="10">
    <w:abstractNumId w:val="12"/>
  </w:num>
  <w:num w:numId="11">
    <w:abstractNumId w:val="8"/>
  </w:num>
  <w:num w:numId="12">
    <w:abstractNumId w:val="7"/>
  </w:num>
  <w:num w:numId="13">
    <w:abstractNumId w:val="1"/>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C5"/>
    <w:rsid w:val="0000156B"/>
    <w:rsid w:val="000021AE"/>
    <w:rsid w:val="000023E7"/>
    <w:rsid w:val="00002492"/>
    <w:rsid w:val="00002A32"/>
    <w:rsid w:val="00002BFF"/>
    <w:rsid w:val="000032C4"/>
    <w:rsid w:val="00003306"/>
    <w:rsid w:val="0000363A"/>
    <w:rsid w:val="00003A8C"/>
    <w:rsid w:val="00003C32"/>
    <w:rsid w:val="00003F21"/>
    <w:rsid w:val="00004F58"/>
    <w:rsid w:val="00004FBE"/>
    <w:rsid w:val="0000535C"/>
    <w:rsid w:val="000056C0"/>
    <w:rsid w:val="00005BE6"/>
    <w:rsid w:val="0000625F"/>
    <w:rsid w:val="0000703D"/>
    <w:rsid w:val="00007372"/>
    <w:rsid w:val="00007593"/>
    <w:rsid w:val="0000772B"/>
    <w:rsid w:val="00007972"/>
    <w:rsid w:val="00007C58"/>
    <w:rsid w:val="00007E6B"/>
    <w:rsid w:val="00010E45"/>
    <w:rsid w:val="000113E9"/>
    <w:rsid w:val="000116BE"/>
    <w:rsid w:val="00011A97"/>
    <w:rsid w:val="00011CA5"/>
    <w:rsid w:val="00012162"/>
    <w:rsid w:val="0001275B"/>
    <w:rsid w:val="000129C1"/>
    <w:rsid w:val="00012AE8"/>
    <w:rsid w:val="00012B12"/>
    <w:rsid w:val="000132A1"/>
    <w:rsid w:val="0001347C"/>
    <w:rsid w:val="00013787"/>
    <w:rsid w:val="0001381B"/>
    <w:rsid w:val="000148EB"/>
    <w:rsid w:val="000152DD"/>
    <w:rsid w:val="00015BA5"/>
    <w:rsid w:val="00016832"/>
    <w:rsid w:val="00016945"/>
    <w:rsid w:val="000169EE"/>
    <w:rsid w:val="00016DA1"/>
    <w:rsid w:val="000170C3"/>
    <w:rsid w:val="000173BE"/>
    <w:rsid w:val="000177CD"/>
    <w:rsid w:val="00017EE2"/>
    <w:rsid w:val="000200D8"/>
    <w:rsid w:val="000202BD"/>
    <w:rsid w:val="00020432"/>
    <w:rsid w:val="000209D4"/>
    <w:rsid w:val="00020A4B"/>
    <w:rsid w:val="00021819"/>
    <w:rsid w:val="00021A64"/>
    <w:rsid w:val="00021BA0"/>
    <w:rsid w:val="00021D18"/>
    <w:rsid w:val="00022276"/>
    <w:rsid w:val="0002243E"/>
    <w:rsid w:val="000228BC"/>
    <w:rsid w:val="00022990"/>
    <w:rsid w:val="00022B09"/>
    <w:rsid w:val="00023116"/>
    <w:rsid w:val="00023591"/>
    <w:rsid w:val="00023916"/>
    <w:rsid w:val="000239A6"/>
    <w:rsid w:val="00023A38"/>
    <w:rsid w:val="00023F21"/>
    <w:rsid w:val="00023FC3"/>
    <w:rsid w:val="000241CF"/>
    <w:rsid w:val="00024725"/>
    <w:rsid w:val="00024C8D"/>
    <w:rsid w:val="00024DDF"/>
    <w:rsid w:val="00024E0D"/>
    <w:rsid w:val="00025001"/>
    <w:rsid w:val="0002513E"/>
    <w:rsid w:val="00025743"/>
    <w:rsid w:val="0002581B"/>
    <w:rsid w:val="00025966"/>
    <w:rsid w:val="00026444"/>
    <w:rsid w:val="00026664"/>
    <w:rsid w:val="00026752"/>
    <w:rsid w:val="00026B21"/>
    <w:rsid w:val="00026BA4"/>
    <w:rsid w:val="000270E8"/>
    <w:rsid w:val="00027676"/>
    <w:rsid w:val="000276D0"/>
    <w:rsid w:val="000276DB"/>
    <w:rsid w:val="00027BC1"/>
    <w:rsid w:val="00027DC1"/>
    <w:rsid w:val="00027FC0"/>
    <w:rsid w:val="000303E7"/>
    <w:rsid w:val="00030BD7"/>
    <w:rsid w:val="00030F54"/>
    <w:rsid w:val="00031036"/>
    <w:rsid w:val="0003106D"/>
    <w:rsid w:val="00031348"/>
    <w:rsid w:val="00031787"/>
    <w:rsid w:val="00031A55"/>
    <w:rsid w:val="00031F4E"/>
    <w:rsid w:val="0003258B"/>
    <w:rsid w:val="0003264E"/>
    <w:rsid w:val="00032913"/>
    <w:rsid w:val="00032CC1"/>
    <w:rsid w:val="0003362A"/>
    <w:rsid w:val="000337AF"/>
    <w:rsid w:val="0003382D"/>
    <w:rsid w:val="0003389C"/>
    <w:rsid w:val="000339C2"/>
    <w:rsid w:val="00033D5B"/>
    <w:rsid w:val="00033DF3"/>
    <w:rsid w:val="00033FEE"/>
    <w:rsid w:val="00034965"/>
    <w:rsid w:val="00034FE5"/>
    <w:rsid w:val="000352AF"/>
    <w:rsid w:val="0003532E"/>
    <w:rsid w:val="00035C9F"/>
    <w:rsid w:val="00036135"/>
    <w:rsid w:val="00036CAB"/>
    <w:rsid w:val="00036E81"/>
    <w:rsid w:val="00036F84"/>
    <w:rsid w:val="00037253"/>
    <w:rsid w:val="00037784"/>
    <w:rsid w:val="00037EA3"/>
    <w:rsid w:val="00037F22"/>
    <w:rsid w:val="00040351"/>
    <w:rsid w:val="000404D9"/>
    <w:rsid w:val="0004106E"/>
    <w:rsid w:val="00041528"/>
    <w:rsid w:val="0004172C"/>
    <w:rsid w:val="0004196F"/>
    <w:rsid w:val="00041A6D"/>
    <w:rsid w:val="000422A9"/>
    <w:rsid w:val="0004262A"/>
    <w:rsid w:val="00042870"/>
    <w:rsid w:val="00042B27"/>
    <w:rsid w:val="000439CA"/>
    <w:rsid w:val="0004412F"/>
    <w:rsid w:val="00044552"/>
    <w:rsid w:val="00044580"/>
    <w:rsid w:val="0004459F"/>
    <w:rsid w:val="00044A97"/>
    <w:rsid w:val="00045280"/>
    <w:rsid w:val="00045419"/>
    <w:rsid w:val="00045431"/>
    <w:rsid w:val="00045658"/>
    <w:rsid w:val="00045882"/>
    <w:rsid w:val="0004615E"/>
    <w:rsid w:val="000461C0"/>
    <w:rsid w:val="00046386"/>
    <w:rsid w:val="00046702"/>
    <w:rsid w:val="00046788"/>
    <w:rsid w:val="000469C7"/>
    <w:rsid w:val="00046ACB"/>
    <w:rsid w:val="00046DBB"/>
    <w:rsid w:val="00047032"/>
    <w:rsid w:val="00047510"/>
    <w:rsid w:val="00047B52"/>
    <w:rsid w:val="00047E05"/>
    <w:rsid w:val="0005142F"/>
    <w:rsid w:val="0005189E"/>
    <w:rsid w:val="000518B1"/>
    <w:rsid w:val="00051BD1"/>
    <w:rsid w:val="00051E3F"/>
    <w:rsid w:val="0005249C"/>
    <w:rsid w:val="000524A8"/>
    <w:rsid w:val="00052854"/>
    <w:rsid w:val="00052BBB"/>
    <w:rsid w:val="000531CF"/>
    <w:rsid w:val="00053257"/>
    <w:rsid w:val="00053441"/>
    <w:rsid w:val="000536A3"/>
    <w:rsid w:val="00053AB7"/>
    <w:rsid w:val="00053B5A"/>
    <w:rsid w:val="00053BF0"/>
    <w:rsid w:val="00054002"/>
    <w:rsid w:val="00054018"/>
    <w:rsid w:val="000544FC"/>
    <w:rsid w:val="00054E42"/>
    <w:rsid w:val="000551A0"/>
    <w:rsid w:val="00055219"/>
    <w:rsid w:val="00055745"/>
    <w:rsid w:val="000557F0"/>
    <w:rsid w:val="00055A8D"/>
    <w:rsid w:val="00055F64"/>
    <w:rsid w:val="0005655C"/>
    <w:rsid w:val="000566F9"/>
    <w:rsid w:val="000569E1"/>
    <w:rsid w:val="00056A8C"/>
    <w:rsid w:val="00056E89"/>
    <w:rsid w:val="000572D8"/>
    <w:rsid w:val="0005772A"/>
    <w:rsid w:val="00057772"/>
    <w:rsid w:val="00057D64"/>
    <w:rsid w:val="00057D7C"/>
    <w:rsid w:val="00057E08"/>
    <w:rsid w:val="00057FDC"/>
    <w:rsid w:val="00060066"/>
    <w:rsid w:val="00060517"/>
    <w:rsid w:val="00060676"/>
    <w:rsid w:val="000607E6"/>
    <w:rsid w:val="00060A80"/>
    <w:rsid w:val="000610D6"/>
    <w:rsid w:val="0006137F"/>
    <w:rsid w:val="0006148C"/>
    <w:rsid w:val="00061B8E"/>
    <w:rsid w:val="0006218D"/>
    <w:rsid w:val="00062559"/>
    <w:rsid w:val="00062658"/>
    <w:rsid w:val="000626C4"/>
    <w:rsid w:val="00063222"/>
    <w:rsid w:val="00063686"/>
    <w:rsid w:val="00063B95"/>
    <w:rsid w:val="00063BF3"/>
    <w:rsid w:val="00064241"/>
    <w:rsid w:val="000642DE"/>
    <w:rsid w:val="00064B34"/>
    <w:rsid w:val="00065F1D"/>
    <w:rsid w:val="000660EE"/>
    <w:rsid w:val="0006651E"/>
    <w:rsid w:val="00066715"/>
    <w:rsid w:val="00066B7D"/>
    <w:rsid w:val="00067241"/>
    <w:rsid w:val="00067C8F"/>
    <w:rsid w:val="00070025"/>
    <w:rsid w:val="000703EF"/>
    <w:rsid w:val="000707AB"/>
    <w:rsid w:val="00070FB4"/>
    <w:rsid w:val="00071461"/>
    <w:rsid w:val="000714AE"/>
    <w:rsid w:val="0007182C"/>
    <w:rsid w:val="00071975"/>
    <w:rsid w:val="00071CDF"/>
    <w:rsid w:val="0007226B"/>
    <w:rsid w:val="00072511"/>
    <w:rsid w:val="000729D2"/>
    <w:rsid w:val="00072A5C"/>
    <w:rsid w:val="00072AAB"/>
    <w:rsid w:val="00072BF7"/>
    <w:rsid w:val="000731FC"/>
    <w:rsid w:val="00073444"/>
    <w:rsid w:val="00073455"/>
    <w:rsid w:val="00074E00"/>
    <w:rsid w:val="00075168"/>
    <w:rsid w:val="00075BAD"/>
    <w:rsid w:val="00075E9C"/>
    <w:rsid w:val="00076441"/>
    <w:rsid w:val="0007696C"/>
    <w:rsid w:val="00076F75"/>
    <w:rsid w:val="00077B20"/>
    <w:rsid w:val="000804E0"/>
    <w:rsid w:val="0008057B"/>
    <w:rsid w:val="00080630"/>
    <w:rsid w:val="00080DFE"/>
    <w:rsid w:val="000812EF"/>
    <w:rsid w:val="00081A43"/>
    <w:rsid w:val="00081A87"/>
    <w:rsid w:val="00081BBA"/>
    <w:rsid w:val="00082221"/>
    <w:rsid w:val="00082AF3"/>
    <w:rsid w:val="0008307E"/>
    <w:rsid w:val="000839FE"/>
    <w:rsid w:val="00083E23"/>
    <w:rsid w:val="00083EE2"/>
    <w:rsid w:val="00084411"/>
    <w:rsid w:val="00084BDD"/>
    <w:rsid w:val="000853F5"/>
    <w:rsid w:val="000854E2"/>
    <w:rsid w:val="0008564D"/>
    <w:rsid w:val="000856D3"/>
    <w:rsid w:val="00085A07"/>
    <w:rsid w:val="00085AE5"/>
    <w:rsid w:val="00085ED2"/>
    <w:rsid w:val="0008658C"/>
    <w:rsid w:val="0008682A"/>
    <w:rsid w:val="000869F2"/>
    <w:rsid w:val="00086F1A"/>
    <w:rsid w:val="00086FBB"/>
    <w:rsid w:val="00087312"/>
    <w:rsid w:val="000874A1"/>
    <w:rsid w:val="00087666"/>
    <w:rsid w:val="00087D79"/>
    <w:rsid w:val="0009024B"/>
    <w:rsid w:val="0009049E"/>
    <w:rsid w:val="0009055F"/>
    <w:rsid w:val="0009078C"/>
    <w:rsid w:val="00090CF7"/>
    <w:rsid w:val="00090D99"/>
    <w:rsid w:val="00090E90"/>
    <w:rsid w:val="00090FE2"/>
    <w:rsid w:val="00091CA6"/>
    <w:rsid w:val="00091FD3"/>
    <w:rsid w:val="000925D3"/>
    <w:rsid w:val="000928BF"/>
    <w:rsid w:val="000932D0"/>
    <w:rsid w:val="0009363A"/>
    <w:rsid w:val="00093FC6"/>
    <w:rsid w:val="0009405F"/>
    <w:rsid w:val="0009427E"/>
    <w:rsid w:val="000942EF"/>
    <w:rsid w:val="0009439C"/>
    <w:rsid w:val="00094E50"/>
    <w:rsid w:val="00094FEC"/>
    <w:rsid w:val="00095A71"/>
    <w:rsid w:val="00096073"/>
    <w:rsid w:val="00096356"/>
    <w:rsid w:val="0009664C"/>
    <w:rsid w:val="00096FAF"/>
    <w:rsid w:val="00097408"/>
    <w:rsid w:val="00097595"/>
    <w:rsid w:val="00097A52"/>
    <w:rsid w:val="00097C11"/>
    <w:rsid w:val="000A00EC"/>
    <w:rsid w:val="000A038B"/>
    <w:rsid w:val="000A0441"/>
    <w:rsid w:val="000A09A8"/>
    <w:rsid w:val="000A0A42"/>
    <w:rsid w:val="000A0A4E"/>
    <w:rsid w:val="000A0D50"/>
    <w:rsid w:val="000A0E2D"/>
    <w:rsid w:val="000A10FC"/>
    <w:rsid w:val="000A178B"/>
    <w:rsid w:val="000A1C1F"/>
    <w:rsid w:val="000A1CFB"/>
    <w:rsid w:val="000A1F44"/>
    <w:rsid w:val="000A206D"/>
    <w:rsid w:val="000A20AA"/>
    <w:rsid w:val="000A284A"/>
    <w:rsid w:val="000A2CB4"/>
    <w:rsid w:val="000A33DC"/>
    <w:rsid w:val="000A34DB"/>
    <w:rsid w:val="000A393F"/>
    <w:rsid w:val="000A394F"/>
    <w:rsid w:val="000A3BC0"/>
    <w:rsid w:val="000A3C1F"/>
    <w:rsid w:val="000A41AE"/>
    <w:rsid w:val="000A41B4"/>
    <w:rsid w:val="000A477E"/>
    <w:rsid w:val="000A48DF"/>
    <w:rsid w:val="000A4AB6"/>
    <w:rsid w:val="000A4BDE"/>
    <w:rsid w:val="000A4E99"/>
    <w:rsid w:val="000A5141"/>
    <w:rsid w:val="000A5691"/>
    <w:rsid w:val="000A65C5"/>
    <w:rsid w:val="000A6A88"/>
    <w:rsid w:val="000A6E16"/>
    <w:rsid w:val="000A77CB"/>
    <w:rsid w:val="000A7A3B"/>
    <w:rsid w:val="000A7A96"/>
    <w:rsid w:val="000A7F45"/>
    <w:rsid w:val="000A7FBF"/>
    <w:rsid w:val="000B01E6"/>
    <w:rsid w:val="000B046D"/>
    <w:rsid w:val="000B0650"/>
    <w:rsid w:val="000B075A"/>
    <w:rsid w:val="000B0B41"/>
    <w:rsid w:val="000B198E"/>
    <w:rsid w:val="000B2207"/>
    <w:rsid w:val="000B27D4"/>
    <w:rsid w:val="000B28F6"/>
    <w:rsid w:val="000B2A1C"/>
    <w:rsid w:val="000B3095"/>
    <w:rsid w:val="000B3B2B"/>
    <w:rsid w:val="000B407A"/>
    <w:rsid w:val="000B45F6"/>
    <w:rsid w:val="000B47A5"/>
    <w:rsid w:val="000B4C44"/>
    <w:rsid w:val="000B533D"/>
    <w:rsid w:val="000B5433"/>
    <w:rsid w:val="000B584D"/>
    <w:rsid w:val="000B5BB7"/>
    <w:rsid w:val="000B5DA9"/>
    <w:rsid w:val="000B6155"/>
    <w:rsid w:val="000B626B"/>
    <w:rsid w:val="000B6365"/>
    <w:rsid w:val="000B64C2"/>
    <w:rsid w:val="000B661A"/>
    <w:rsid w:val="000B6BED"/>
    <w:rsid w:val="000B7329"/>
    <w:rsid w:val="000B76AA"/>
    <w:rsid w:val="000B7F8D"/>
    <w:rsid w:val="000C00F5"/>
    <w:rsid w:val="000C043F"/>
    <w:rsid w:val="000C0694"/>
    <w:rsid w:val="000C08CD"/>
    <w:rsid w:val="000C0A3E"/>
    <w:rsid w:val="000C0B71"/>
    <w:rsid w:val="000C1E9C"/>
    <w:rsid w:val="000C1ECD"/>
    <w:rsid w:val="000C2A5A"/>
    <w:rsid w:val="000C3705"/>
    <w:rsid w:val="000C371F"/>
    <w:rsid w:val="000C3B05"/>
    <w:rsid w:val="000C3C0C"/>
    <w:rsid w:val="000C404A"/>
    <w:rsid w:val="000C4088"/>
    <w:rsid w:val="000C42B3"/>
    <w:rsid w:val="000C4445"/>
    <w:rsid w:val="000C4A9E"/>
    <w:rsid w:val="000C4D2C"/>
    <w:rsid w:val="000C4F39"/>
    <w:rsid w:val="000C4FD9"/>
    <w:rsid w:val="000C50B0"/>
    <w:rsid w:val="000C5399"/>
    <w:rsid w:val="000C65EE"/>
    <w:rsid w:val="000C675D"/>
    <w:rsid w:val="000C78FE"/>
    <w:rsid w:val="000D0098"/>
    <w:rsid w:val="000D02E5"/>
    <w:rsid w:val="000D03DD"/>
    <w:rsid w:val="000D0702"/>
    <w:rsid w:val="000D1287"/>
    <w:rsid w:val="000D17A0"/>
    <w:rsid w:val="000D1E9E"/>
    <w:rsid w:val="000D2380"/>
    <w:rsid w:val="000D238D"/>
    <w:rsid w:val="000D2A57"/>
    <w:rsid w:val="000D2AB0"/>
    <w:rsid w:val="000D2E91"/>
    <w:rsid w:val="000D3132"/>
    <w:rsid w:val="000D32B6"/>
    <w:rsid w:val="000D376E"/>
    <w:rsid w:val="000D38A0"/>
    <w:rsid w:val="000D3D86"/>
    <w:rsid w:val="000D3DD9"/>
    <w:rsid w:val="000D3DDF"/>
    <w:rsid w:val="000D4136"/>
    <w:rsid w:val="000D4674"/>
    <w:rsid w:val="000D4A85"/>
    <w:rsid w:val="000D4D2B"/>
    <w:rsid w:val="000D4DE4"/>
    <w:rsid w:val="000D4EB8"/>
    <w:rsid w:val="000D52AE"/>
    <w:rsid w:val="000D55D1"/>
    <w:rsid w:val="000D5996"/>
    <w:rsid w:val="000D5EBB"/>
    <w:rsid w:val="000D6057"/>
    <w:rsid w:val="000D6943"/>
    <w:rsid w:val="000D6BFB"/>
    <w:rsid w:val="000D6D99"/>
    <w:rsid w:val="000D6FC0"/>
    <w:rsid w:val="000D7231"/>
    <w:rsid w:val="000D7805"/>
    <w:rsid w:val="000D7E59"/>
    <w:rsid w:val="000E0760"/>
    <w:rsid w:val="000E0FE1"/>
    <w:rsid w:val="000E10A6"/>
    <w:rsid w:val="000E24F4"/>
    <w:rsid w:val="000E262B"/>
    <w:rsid w:val="000E2D6C"/>
    <w:rsid w:val="000E3085"/>
    <w:rsid w:val="000E389F"/>
    <w:rsid w:val="000E3DB1"/>
    <w:rsid w:val="000E435F"/>
    <w:rsid w:val="000E52B7"/>
    <w:rsid w:val="000E5916"/>
    <w:rsid w:val="000E5979"/>
    <w:rsid w:val="000E5B87"/>
    <w:rsid w:val="000E6FFA"/>
    <w:rsid w:val="000E72C6"/>
    <w:rsid w:val="000E73B2"/>
    <w:rsid w:val="000E752E"/>
    <w:rsid w:val="000E7635"/>
    <w:rsid w:val="000E7757"/>
    <w:rsid w:val="000E7DF9"/>
    <w:rsid w:val="000E7F98"/>
    <w:rsid w:val="000F037F"/>
    <w:rsid w:val="000F03D1"/>
    <w:rsid w:val="000F0546"/>
    <w:rsid w:val="000F0EA1"/>
    <w:rsid w:val="000F1053"/>
    <w:rsid w:val="000F1575"/>
    <w:rsid w:val="000F1B10"/>
    <w:rsid w:val="000F1F8D"/>
    <w:rsid w:val="000F23E2"/>
    <w:rsid w:val="000F25D7"/>
    <w:rsid w:val="000F270B"/>
    <w:rsid w:val="000F3008"/>
    <w:rsid w:val="000F3124"/>
    <w:rsid w:val="000F3F30"/>
    <w:rsid w:val="000F43FD"/>
    <w:rsid w:val="000F4ED9"/>
    <w:rsid w:val="000F53E1"/>
    <w:rsid w:val="000F58B5"/>
    <w:rsid w:val="000F5E5C"/>
    <w:rsid w:val="000F6588"/>
    <w:rsid w:val="000F65F1"/>
    <w:rsid w:val="000F6DEB"/>
    <w:rsid w:val="000F6EE6"/>
    <w:rsid w:val="000F73D0"/>
    <w:rsid w:val="000F751C"/>
    <w:rsid w:val="000F78F7"/>
    <w:rsid w:val="000F799E"/>
    <w:rsid w:val="000F7AA9"/>
    <w:rsid w:val="00100363"/>
    <w:rsid w:val="00100482"/>
    <w:rsid w:val="00100678"/>
    <w:rsid w:val="00100A75"/>
    <w:rsid w:val="00100B01"/>
    <w:rsid w:val="00100FD3"/>
    <w:rsid w:val="0010147F"/>
    <w:rsid w:val="00101C4E"/>
    <w:rsid w:val="00101D1E"/>
    <w:rsid w:val="001022A6"/>
    <w:rsid w:val="0010278E"/>
    <w:rsid w:val="00102E5B"/>
    <w:rsid w:val="00103250"/>
    <w:rsid w:val="00104ACB"/>
    <w:rsid w:val="00104C91"/>
    <w:rsid w:val="00104D52"/>
    <w:rsid w:val="0010569C"/>
    <w:rsid w:val="00105768"/>
    <w:rsid w:val="00105BB3"/>
    <w:rsid w:val="00105C72"/>
    <w:rsid w:val="00105CEC"/>
    <w:rsid w:val="00105E0A"/>
    <w:rsid w:val="00106306"/>
    <w:rsid w:val="00106547"/>
    <w:rsid w:val="00106B6C"/>
    <w:rsid w:val="00107063"/>
    <w:rsid w:val="0010711F"/>
    <w:rsid w:val="00107DF2"/>
    <w:rsid w:val="0011006E"/>
    <w:rsid w:val="00110150"/>
    <w:rsid w:val="00110B83"/>
    <w:rsid w:val="00111033"/>
    <w:rsid w:val="00111317"/>
    <w:rsid w:val="0011156D"/>
    <w:rsid w:val="0011156E"/>
    <w:rsid w:val="00111E03"/>
    <w:rsid w:val="001121C6"/>
    <w:rsid w:val="001123D9"/>
    <w:rsid w:val="00112893"/>
    <w:rsid w:val="00112D2F"/>
    <w:rsid w:val="001130DA"/>
    <w:rsid w:val="0011367E"/>
    <w:rsid w:val="00114033"/>
    <w:rsid w:val="001149E7"/>
    <w:rsid w:val="001153A9"/>
    <w:rsid w:val="00115A4C"/>
    <w:rsid w:val="00115AEE"/>
    <w:rsid w:val="0011600D"/>
    <w:rsid w:val="001164A3"/>
    <w:rsid w:val="00116E0A"/>
    <w:rsid w:val="00117059"/>
    <w:rsid w:val="001178CE"/>
    <w:rsid w:val="00117C16"/>
    <w:rsid w:val="00120041"/>
    <w:rsid w:val="001200E8"/>
    <w:rsid w:val="00120859"/>
    <w:rsid w:val="001216FA"/>
    <w:rsid w:val="00121A46"/>
    <w:rsid w:val="00121DB5"/>
    <w:rsid w:val="00121EC5"/>
    <w:rsid w:val="00122629"/>
    <w:rsid w:val="00122DE9"/>
    <w:rsid w:val="0012315B"/>
    <w:rsid w:val="0012412B"/>
    <w:rsid w:val="00124D9D"/>
    <w:rsid w:val="001253B3"/>
    <w:rsid w:val="00125429"/>
    <w:rsid w:val="001257AD"/>
    <w:rsid w:val="00125C97"/>
    <w:rsid w:val="00126158"/>
    <w:rsid w:val="0012644B"/>
    <w:rsid w:val="0012645E"/>
    <w:rsid w:val="0012675C"/>
    <w:rsid w:val="00126811"/>
    <w:rsid w:val="00126B55"/>
    <w:rsid w:val="00126BBF"/>
    <w:rsid w:val="00126D73"/>
    <w:rsid w:val="001275CA"/>
    <w:rsid w:val="001278F3"/>
    <w:rsid w:val="0012797E"/>
    <w:rsid w:val="001300DA"/>
    <w:rsid w:val="0013013E"/>
    <w:rsid w:val="00130352"/>
    <w:rsid w:val="00130C25"/>
    <w:rsid w:val="001312DA"/>
    <w:rsid w:val="00131337"/>
    <w:rsid w:val="001314A1"/>
    <w:rsid w:val="00131695"/>
    <w:rsid w:val="00132104"/>
    <w:rsid w:val="00132273"/>
    <w:rsid w:val="001335D6"/>
    <w:rsid w:val="00133928"/>
    <w:rsid w:val="00133B09"/>
    <w:rsid w:val="00133E4F"/>
    <w:rsid w:val="00133EE2"/>
    <w:rsid w:val="00133F21"/>
    <w:rsid w:val="00134D4D"/>
    <w:rsid w:val="00135312"/>
    <w:rsid w:val="0013586A"/>
    <w:rsid w:val="00135D25"/>
    <w:rsid w:val="001360BE"/>
    <w:rsid w:val="00136EDB"/>
    <w:rsid w:val="00137285"/>
    <w:rsid w:val="00137719"/>
    <w:rsid w:val="00137923"/>
    <w:rsid w:val="0014046F"/>
    <w:rsid w:val="001408B3"/>
    <w:rsid w:val="00140A17"/>
    <w:rsid w:val="00140BAA"/>
    <w:rsid w:val="00140F0C"/>
    <w:rsid w:val="0014107F"/>
    <w:rsid w:val="001414B6"/>
    <w:rsid w:val="001414DE"/>
    <w:rsid w:val="00141723"/>
    <w:rsid w:val="00141B92"/>
    <w:rsid w:val="00141D38"/>
    <w:rsid w:val="0014226B"/>
    <w:rsid w:val="00142659"/>
    <w:rsid w:val="001429E1"/>
    <w:rsid w:val="00142BB5"/>
    <w:rsid w:val="00142E07"/>
    <w:rsid w:val="00143261"/>
    <w:rsid w:val="00143995"/>
    <w:rsid w:val="00143A06"/>
    <w:rsid w:val="00143C0C"/>
    <w:rsid w:val="00143F8C"/>
    <w:rsid w:val="00144097"/>
    <w:rsid w:val="0014432E"/>
    <w:rsid w:val="001443E7"/>
    <w:rsid w:val="00144489"/>
    <w:rsid w:val="001454C3"/>
    <w:rsid w:val="00145672"/>
    <w:rsid w:val="00145B39"/>
    <w:rsid w:val="00145C87"/>
    <w:rsid w:val="00145FFB"/>
    <w:rsid w:val="0014685A"/>
    <w:rsid w:val="00146AD0"/>
    <w:rsid w:val="00146D41"/>
    <w:rsid w:val="0014712A"/>
    <w:rsid w:val="0014786F"/>
    <w:rsid w:val="00150043"/>
    <w:rsid w:val="00150848"/>
    <w:rsid w:val="00150A2D"/>
    <w:rsid w:val="00150B47"/>
    <w:rsid w:val="00150D49"/>
    <w:rsid w:val="00150F33"/>
    <w:rsid w:val="00151611"/>
    <w:rsid w:val="00151750"/>
    <w:rsid w:val="001517B8"/>
    <w:rsid w:val="00151ABD"/>
    <w:rsid w:val="00151FEF"/>
    <w:rsid w:val="001521F2"/>
    <w:rsid w:val="001523F2"/>
    <w:rsid w:val="00152A0F"/>
    <w:rsid w:val="001532B4"/>
    <w:rsid w:val="00153391"/>
    <w:rsid w:val="0015346E"/>
    <w:rsid w:val="00153728"/>
    <w:rsid w:val="00153C3F"/>
    <w:rsid w:val="00153EB6"/>
    <w:rsid w:val="00154C97"/>
    <w:rsid w:val="00154E13"/>
    <w:rsid w:val="001556A6"/>
    <w:rsid w:val="001557DF"/>
    <w:rsid w:val="00155EAC"/>
    <w:rsid w:val="001564C7"/>
    <w:rsid w:val="001569D1"/>
    <w:rsid w:val="00157613"/>
    <w:rsid w:val="00157FC0"/>
    <w:rsid w:val="001600F9"/>
    <w:rsid w:val="00160488"/>
    <w:rsid w:val="00160A60"/>
    <w:rsid w:val="00160BE8"/>
    <w:rsid w:val="00161EF7"/>
    <w:rsid w:val="001625F3"/>
    <w:rsid w:val="00162BDC"/>
    <w:rsid w:val="00163494"/>
    <w:rsid w:val="00163C9F"/>
    <w:rsid w:val="00163FA2"/>
    <w:rsid w:val="00163FA6"/>
    <w:rsid w:val="0016490F"/>
    <w:rsid w:val="00164988"/>
    <w:rsid w:val="00164A98"/>
    <w:rsid w:val="00164FE2"/>
    <w:rsid w:val="001654BF"/>
    <w:rsid w:val="001654C3"/>
    <w:rsid w:val="00165BC0"/>
    <w:rsid w:val="00165F80"/>
    <w:rsid w:val="0016643C"/>
    <w:rsid w:val="00167376"/>
    <w:rsid w:val="0016741D"/>
    <w:rsid w:val="001676ED"/>
    <w:rsid w:val="00167937"/>
    <w:rsid w:val="00167BE2"/>
    <w:rsid w:val="00167FD4"/>
    <w:rsid w:val="001704B2"/>
    <w:rsid w:val="0017060B"/>
    <w:rsid w:val="00170DCD"/>
    <w:rsid w:val="00170EC9"/>
    <w:rsid w:val="001717C3"/>
    <w:rsid w:val="0017193F"/>
    <w:rsid w:val="00171A28"/>
    <w:rsid w:val="00172A27"/>
    <w:rsid w:val="00172A6C"/>
    <w:rsid w:val="001731D2"/>
    <w:rsid w:val="00173258"/>
    <w:rsid w:val="001735F0"/>
    <w:rsid w:val="00173D7A"/>
    <w:rsid w:val="00173E18"/>
    <w:rsid w:val="001741F3"/>
    <w:rsid w:val="0017453F"/>
    <w:rsid w:val="00174B40"/>
    <w:rsid w:val="00174B5D"/>
    <w:rsid w:val="00174F76"/>
    <w:rsid w:val="00175086"/>
    <w:rsid w:val="00175369"/>
    <w:rsid w:val="00175383"/>
    <w:rsid w:val="00175994"/>
    <w:rsid w:val="00175CAA"/>
    <w:rsid w:val="00175CC5"/>
    <w:rsid w:val="00175D60"/>
    <w:rsid w:val="00176109"/>
    <w:rsid w:val="0017621B"/>
    <w:rsid w:val="00176F1F"/>
    <w:rsid w:val="00177864"/>
    <w:rsid w:val="00177A8A"/>
    <w:rsid w:val="00177BE6"/>
    <w:rsid w:val="00177CC6"/>
    <w:rsid w:val="00177E06"/>
    <w:rsid w:val="001801A7"/>
    <w:rsid w:val="00180200"/>
    <w:rsid w:val="0018027F"/>
    <w:rsid w:val="001803DF"/>
    <w:rsid w:val="00180984"/>
    <w:rsid w:val="00181B73"/>
    <w:rsid w:val="00181FA1"/>
    <w:rsid w:val="00182321"/>
    <w:rsid w:val="00182CA8"/>
    <w:rsid w:val="00182CB2"/>
    <w:rsid w:val="00183051"/>
    <w:rsid w:val="0018345B"/>
    <w:rsid w:val="001834EA"/>
    <w:rsid w:val="0018359E"/>
    <w:rsid w:val="001836D9"/>
    <w:rsid w:val="00184141"/>
    <w:rsid w:val="001842E3"/>
    <w:rsid w:val="00184301"/>
    <w:rsid w:val="001844F4"/>
    <w:rsid w:val="00184619"/>
    <w:rsid w:val="001847D4"/>
    <w:rsid w:val="00185A25"/>
    <w:rsid w:val="00185CC3"/>
    <w:rsid w:val="0018600A"/>
    <w:rsid w:val="0018601A"/>
    <w:rsid w:val="001861DD"/>
    <w:rsid w:val="0018625C"/>
    <w:rsid w:val="001866B1"/>
    <w:rsid w:val="001866F5"/>
    <w:rsid w:val="0018687B"/>
    <w:rsid w:val="0018696C"/>
    <w:rsid w:val="00186C0C"/>
    <w:rsid w:val="00187C32"/>
    <w:rsid w:val="00187DFA"/>
    <w:rsid w:val="00187F9D"/>
    <w:rsid w:val="00190030"/>
    <w:rsid w:val="00190EBF"/>
    <w:rsid w:val="0019114A"/>
    <w:rsid w:val="0019144B"/>
    <w:rsid w:val="00191D22"/>
    <w:rsid w:val="001923F0"/>
    <w:rsid w:val="001927E3"/>
    <w:rsid w:val="0019286F"/>
    <w:rsid w:val="00192AB4"/>
    <w:rsid w:val="00192CE3"/>
    <w:rsid w:val="001932C6"/>
    <w:rsid w:val="00193877"/>
    <w:rsid w:val="00193A50"/>
    <w:rsid w:val="001943FC"/>
    <w:rsid w:val="00194635"/>
    <w:rsid w:val="00194682"/>
    <w:rsid w:val="001946B8"/>
    <w:rsid w:val="0019498B"/>
    <w:rsid w:val="001949DF"/>
    <w:rsid w:val="0019549B"/>
    <w:rsid w:val="001954E0"/>
    <w:rsid w:val="00195D24"/>
    <w:rsid w:val="00195DD2"/>
    <w:rsid w:val="001961AE"/>
    <w:rsid w:val="0019688F"/>
    <w:rsid w:val="00196D2D"/>
    <w:rsid w:val="0019737F"/>
    <w:rsid w:val="0019748E"/>
    <w:rsid w:val="001974B5"/>
    <w:rsid w:val="00197CB1"/>
    <w:rsid w:val="00197D8B"/>
    <w:rsid w:val="001A0065"/>
    <w:rsid w:val="001A0298"/>
    <w:rsid w:val="001A05B9"/>
    <w:rsid w:val="001A0DC8"/>
    <w:rsid w:val="001A11C6"/>
    <w:rsid w:val="001A143F"/>
    <w:rsid w:val="001A2625"/>
    <w:rsid w:val="001A267E"/>
    <w:rsid w:val="001A28AF"/>
    <w:rsid w:val="001A2AB9"/>
    <w:rsid w:val="001A2C7A"/>
    <w:rsid w:val="001A2F1C"/>
    <w:rsid w:val="001A30F7"/>
    <w:rsid w:val="001A331F"/>
    <w:rsid w:val="001A3483"/>
    <w:rsid w:val="001A39D2"/>
    <w:rsid w:val="001A3DD8"/>
    <w:rsid w:val="001A4020"/>
    <w:rsid w:val="001A45CC"/>
    <w:rsid w:val="001A47B8"/>
    <w:rsid w:val="001A5488"/>
    <w:rsid w:val="001A5824"/>
    <w:rsid w:val="001A5F6C"/>
    <w:rsid w:val="001A62B1"/>
    <w:rsid w:val="001A64C8"/>
    <w:rsid w:val="001A662F"/>
    <w:rsid w:val="001A6C60"/>
    <w:rsid w:val="001A6CD3"/>
    <w:rsid w:val="001A6F46"/>
    <w:rsid w:val="001A7028"/>
    <w:rsid w:val="001B003F"/>
    <w:rsid w:val="001B0423"/>
    <w:rsid w:val="001B060C"/>
    <w:rsid w:val="001B0772"/>
    <w:rsid w:val="001B0824"/>
    <w:rsid w:val="001B0FAA"/>
    <w:rsid w:val="001B1158"/>
    <w:rsid w:val="001B12CB"/>
    <w:rsid w:val="001B134D"/>
    <w:rsid w:val="001B1565"/>
    <w:rsid w:val="001B1CD8"/>
    <w:rsid w:val="001B20D9"/>
    <w:rsid w:val="001B2467"/>
    <w:rsid w:val="001B29F0"/>
    <w:rsid w:val="001B2A46"/>
    <w:rsid w:val="001B2EC0"/>
    <w:rsid w:val="001B2FDB"/>
    <w:rsid w:val="001B3616"/>
    <w:rsid w:val="001B39D8"/>
    <w:rsid w:val="001B3A2B"/>
    <w:rsid w:val="001B3EF1"/>
    <w:rsid w:val="001B4168"/>
    <w:rsid w:val="001B4491"/>
    <w:rsid w:val="001B47AC"/>
    <w:rsid w:val="001B4A23"/>
    <w:rsid w:val="001B4A42"/>
    <w:rsid w:val="001B5138"/>
    <w:rsid w:val="001B56AE"/>
    <w:rsid w:val="001B56EA"/>
    <w:rsid w:val="001B5B58"/>
    <w:rsid w:val="001B5E10"/>
    <w:rsid w:val="001B6322"/>
    <w:rsid w:val="001B6430"/>
    <w:rsid w:val="001B6488"/>
    <w:rsid w:val="001B68DB"/>
    <w:rsid w:val="001B6CFC"/>
    <w:rsid w:val="001B6D0E"/>
    <w:rsid w:val="001B7424"/>
    <w:rsid w:val="001B77CD"/>
    <w:rsid w:val="001B7A9D"/>
    <w:rsid w:val="001B7BF1"/>
    <w:rsid w:val="001B7CE5"/>
    <w:rsid w:val="001C0ABB"/>
    <w:rsid w:val="001C13AD"/>
    <w:rsid w:val="001C161D"/>
    <w:rsid w:val="001C19CA"/>
    <w:rsid w:val="001C1E52"/>
    <w:rsid w:val="001C2C3C"/>
    <w:rsid w:val="001C33D7"/>
    <w:rsid w:val="001C38DB"/>
    <w:rsid w:val="001C3A76"/>
    <w:rsid w:val="001C3BBA"/>
    <w:rsid w:val="001C3CD6"/>
    <w:rsid w:val="001C418F"/>
    <w:rsid w:val="001C529F"/>
    <w:rsid w:val="001C573B"/>
    <w:rsid w:val="001C5933"/>
    <w:rsid w:val="001C5D14"/>
    <w:rsid w:val="001C5E57"/>
    <w:rsid w:val="001C5F8F"/>
    <w:rsid w:val="001C628E"/>
    <w:rsid w:val="001C6914"/>
    <w:rsid w:val="001C6E52"/>
    <w:rsid w:val="001C71A5"/>
    <w:rsid w:val="001C7AAB"/>
    <w:rsid w:val="001C7CE3"/>
    <w:rsid w:val="001C7F6F"/>
    <w:rsid w:val="001D03A9"/>
    <w:rsid w:val="001D049E"/>
    <w:rsid w:val="001D0858"/>
    <w:rsid w:val="001D10A6"/>
    <w:rsid w:val="001D1A89"/>
    <w:rsid w:val="001D1B93"/>
    <w:rsid w:val="001D1D54"/>
    <w:rsid w:val="001D207F"/>
    <w:rsid w:val="001D2A53"/>
    <w:rsid w:val="001D2B76"/>
    <w:rsid w:val="001D2D01"/>
    <w:rsid w:val="001D3085"/>
    <w:rsid w:val="001D30D3"/>
    <w:rsid w:val="001D31CE"/>
    <w:rsid w:val="001D3BF8"/>
    <w:rsid w:val="001D3C46"/>
    <w:rsid w:val="001D3C74"/>
    <w:rsid w:val="001D414F"/>
    <w:rsid w:val="001D44AA"/>
    <w:rsid w:val="001D469A"/>
    <w:rsid w:val="001D5061"/>
    <w:rsid w:val="001D596A"/>
    <w:rsid w:val="001D59AB"/>
    <w:rsid w:val="001D5CB4"/>
    <w:rsid w:val="001D5D22"/>
    <w:rsid w:val="001D5FE8"/>
    <w:rsid w:val="001D624C"/>
    <w:rsid w:val="001D67D7"/>
    <w:rsid w:val="001D6C50"/>
    <w:rsid w:val="001D6CFA"/>
    <w:rsid w:val="001D7316"/>
    <w:rsid w:val="001D7370"/>
    <w:rsid w:val="001D782F"/>
    <w:rsid w:val="001D7A96"/>
    <w:rsid w:val="001D7DD4"/>
    <w:rsid w:val="001E0090"/>
    <w:rsid w:val="001E0DBD"/>
    <w:rsid w:val="001E0FB6"/>
    <w:rsid w:val="001E109C"/>
    <w:rsid w:val="001E2090"/>
    <w:rsid w:val="001E26B2"/>
    <w:rsid w:val="001E2727"/>
    <w:rsid w:val="001E2989"/>
    <w:rsid w:val="001E298F"/>
    <w:rsid w:val="001E2EAA"/>
    <w:rsid w:val="001E2F06"/>
    <w:rsid w:val="001E311D"/>
    <w:rsid w:val="001E3264"/>
    <w:rsid w:val="001E32DF"/>
    <w:rsid w:val="001E3431"/>
    <w:rsid w:val="001E3626"/>
    <w:rsid w:val="001E42D9"/>
    <w:rsid w:val="001E434C"/>
    <w:rsid w:val="001E4676"/>
    <w:rsid w:val="001E4926"/>
    <w:rsid w:val="001E528C"/>
    <w:rsid w:val="001E5462"/>
    <w:rsid w:val="001E592A"/>
    <w:rsid w:val="001E5FF6"/>
    <w:rsid w:val="001E6205"/>
    <w:rsid w:val="001E640B"/>
    <w:rsid w:val="001E650D"/>
    <w:rsid w:val="001E6706"/>
    <w:rsid w:val="001E695B"/>
    <w:rsid w:val="001E6C81"/>
    <w:rsid w:val="001E6D9D"/>
    <w:rsid w:val="001E7865"/>
    <w:rsid w:val="001F054D"/>
    <w:rsid w:val="001F05E2"/>
    <w:rsid w:val="001F076C"/>
    <w:rsid w:val="001F07D3"/>
    <w:rsid w:val="001F0A8C"/>
    <w:rsid w:val="001F0F5F"/>
    <w:rsid w:val="001F1048"/>
    <w:rsid w:val="001F13F3"/>
    <w:rsid w:val="001F140B"/>
    <w:rsid w:val="001F20C3"/>
    <w:rsid w:val="001F2864"/>
    <w:rsid w:val="001F2AEC"/>
    <w:rsid w:val="001F2C4B"/>
    <w:rsid w:val="001F2CB1"/>
    <w:rsid w:val="001F2DE7"/>
    <w:rsid w:val="001F2EAA"/>
    <w:rsid w:val="001F3041"/>
    <w:rsid w:val="001F3B05"/>
    <w:rsid w:val="001F3D34"/>
    <w:rsid w:val="001F3F64"/>
    <w:rsid w:val="001F43C5"/>
    <w:rsid w:val="001F441A"/>
    <w:rsid w:val="001F4465"/>
    <w:rsid w:val="001F479A"/>
    <w:rsid w:val="001F54F5"/>
    <w:rsid w:val="001F5514"/>
    <w:rsid w:val="001F5A2E"/>
    <w:rsid w:val="001F5C13"/>
    <w:rsid w:val="001F6086"/>
    <w:rsid w:val="001F66D5"/>
    <w:rsid w:val="001F68F9"/>
    <w:rsid w:val="001F6956"/>
    <w:rsid w:val="001F6A9A"/>
    <w:rsid w:val="001F7051"/>
    <w:rsid w:val="001F79B8"/>
    <w:rsid w:val="001F7BAB"/>
    <w:rsid w:val="00200272"/>
    <w:rsid w:val="0020044F"/>
    <w:rsid w:val="002006EE"/>
    <w:rsid w:val="00200827"/>
    <w:rsid w:val="00200AA6"/>
    <w:rsid w:val="0020149C"/>
    <w:rsid w:val="00201850"/>
    <w:rsid w:val="00201B15"/>
    <w:rsid w:val="00201F4B"/>
    <w:rsid w:val="002023E5"/>
    <w:rsid w:val="00202814"/>
    <w:rsid w:val="00202F37"/>
    <w:rsid w:val="002033CE"/>
    <w:rsid w:val="002040E6"/>
    <w:rsid w:val="0020460E"/>
    <w:rsid w:val="00204B5F"/>
    <w:rsid w:val="00204EB4"/>
    <w:rsid w:val="00205675"/>
    <w:rsid w:val="00205C90"/>
    <w:rsid w:val="00205D74"/>
    <w:rsid w:val="00205DF2"/>
    <w:rsid w:val="00205E8A"/>
    <w:rsid w:val="0020619C"/>
    <w:rsid w:val="0020646D"/>
    <w:rsid w:val="00206B6E"/>
    <w:rsid w:val="00206DC1"/>
    <w:rsid w:val="0020702F"/>
    <w:rsid w:val="002070A5"/>
    <w:rsid w:val="002078CC"/>
    <w:rsid w:val="0021011B"/>
    <w:rsid w:val="00210145"/>
    <w:rsid w:val="0021063B"/>
    <w:rsid w:val="0021099C"/>
    <w:rsid w:val="00210BAF"/>
    <w:rsid w:val="00210F00"/>
    <w:rsid w:val="002114DB"/>
    <w:rsid w:val="002117AD"/>
    <w:rsid w:val="0021254D"/>
    <w:rsid w:val="002126CC"/>
    <w:rsid w:val="00212871"/>
    <w:rsid w:val="002128C4"/>
    <w:rsid w:val="00212DD2"/>
    <w:rsid w:val="0021300A"/>
    <w:rsid w:val="0021304A"/>
    <w:rsid w:val="002134BD"/>
    <w:rsid w:val="002138F9"/>
    <w:rsid w:val="00213901"/>
    <w:rsid w:val="00213C24"/>
    <w:rsid w:val="002145C9"/>
    <w:rsid w:val="002146AF"/>
    <w:rsid w:val="0021493C"/>
    <w:rsid w:val="00214957"/>
    <w:rsid w:val="00214F65"/>
    <w:rsid w:val="00215363"/>
    <w:rsid w:val="002153B6"/>
    <w:rsid w:val="002154A0"/>
    <w:rsid w:val="002157FD"/>
    <w:rsid w:val="00215CE0"/>
    <w:rsid w:val="00215DFB"/>
    <w:rsid w:val="00216275"/>
    <w:rsid w:val="002162E8"/>
    <w:rsid w:val="002164FC"/>
    <w:rsid w:val="00216B1E"/>
    <w:rsid w:val="00217672"/>
    <w:rsid w:val="002176E8"/>
    <w:rsid w:val="00217ACB"/>
    <w:rsid w:val="00217AFF"/>
    <w:rsid w:val="00217DF3"/>
    <w:rsid w:val="00217E44"/>
    <w:rsid w:val="002201A9"/>
    <w:rsid w:val="002202CB"/>
    <w:rsid w:val="00220338"/>
    <w:rsid w:val="0022093D"/>
    <w:rsid w:val="00220AFD"/>
    <w:rsid w:val="00221111"/>
    <w:rsid w:val="00221461"/>
    <w:rsid w:val="00221ACD"/>
    <w:rsid w:val="00221C09"/>
    <w:rsid w:val="0022205E"/>
    <w:rsid w:val="0022249B"/>
    <w:rsid w:val="002233D1"/>
    <w:rsid w:val="00223535"/>
    <w:rsid w:val="00223610"/>
    <w:rsid w:val="00223C41"/>
    <w:rsid w:val="00223D7A"/>
    <w:rsid w:val="002245F2"/>
    <w:rsid w:val="00224EB1"/>
    <w:rsid w:val="002259D1"/>
    <w:rsid w:val="00225B8A"/>
    <w:rsid w:val="00225DC5"/>
    <w:rsid w:val="00225ECC"/>
    <w:rsid w:val="00226073"/>
    <w:rsid w:val="00226748"/>
    <w:rsid w:val="00227142"/>
    <w:rsid w:val="00227432"/>
    <w:rsid w:val="002274AB"/>
    <w:rsid w:val="002279B0"/>
    <w:rsid w:val="00227D5F"/>
    <w:rsid w:val="00230236"/>
    <w:rsid w:val="00230272"/>
    <w:rsid w:val="00230311"/>
    <w:rsid w:val="00230407"/>
    <w:rsid w:val="00230A36"/>
    <w:rsid w:val="00230B0A"/>
    <w:rsid w:val="00230F4D"/>
    <w:rsid w:val="00231196"/>
    <w:rsid w:val="00231642"/>
    <w:rsid w:val="002316FE"/>
    <w:rsid w:val="00231710"/>
    <w:rsid w:val="00231EDC"/>
    <w:rsid w:val="00232A23"/>
    <w:rsid w:val="00232A57"/>
    <w:rsid w:val="00232AE8"/>
    <w:rsid w:val="00232CF3"/>
    <w:rsid w:val="00232F22"/>
    <w:rsid w:val="00233CBA"/>
    <w:rsid w:val="002345BC"/>
    <w:rsid w:val="00234DAF"/>
    <w:rsid w:val="002350F7"/>
    <w:rsid w:val="0023526A"/>
    <w:rsid w:val="00235731"/>
    <w:rsid w:val="00235A2F"/>
    <w:rsid w:val="00235FE9"/>
    <w:rsid w:val="0023692A"/>
    <w:rsid w:val="0023722B"/>
    <w:rsid w:val="00237935"/>
    <w:rsid w:val="00237B67"/>
    <w:rsid w:val="00237C47"/>
    <w:rsid w:val="00240B3C"/>
    <w:rsid w:val="00240CA1"/>
    <w:rsid w:val="00240ED5"/>
    <w:rsid w:val="002412C3"/>
    <w:rsid w:val="002415AF"/>
    <w:rsid w:val="0024172D"/>
    <w:rsid w:val="00241D48"/>
    <w:rsid w:val="00242546"/>
    <w:rsid w:val="00242AFA"/>
    <w:rsid w:val="00242EF1"/>
    <w:rsid w:val="0024333C"/>
    <w:rsid w:val="00243384"/>
    <w:rsid w:val="002433A3"/>
    <w:rsid w:val="0024381E"/>
    <w:rsid w:val="00243A5C"/>
    <w:rsid w:val="00243C28"/>
    <w:rsid w:val="00243DAA"/>
    <w:rsid w:val="00243DEE"/>
    <w:rsid w:val="00243F5C"/>
    <w:rsid w:val="002445F3"/>
    <w:rsid w:val="00244682"/>
    <w:rsid w:val="00244EDF"/>
    <w:rsid w:val="002450DA"/>
    <w:rsid w:val="0024530E"/>
    <w:rsid w:val="00245953"/>
    <w:rsid w:val="00245E45"/>
    <w:rsid w:val="00246116"/>
    <w:rsid w:val="00246238"/>
    <w:rsid w:val="00246302"/>
    <w:rsid w:val="00246A1D"/>
    <w:rsid w:val="00247116"/>
    <w:rsid w:val="0024747A"/>
    <w:rsid w:val="002478A3"/>
    <w:rsid w:val="00247B7A"/>
    <w:rsid w:val="00247BC8"/>
    <w:rsid w:val="00247BEB"/>
    <w:rsid w:val="00247E6E"/>
    <w:rsid w:val="002503F3"/>
    <w:rsid w:val="0025092B"/>
    <w:rsid w:val="00250BCD"/>
    <w:rsid w:val="00251F8D"/>
    <w:rsid w:val="00252AB1"/>
    <w:rsid w:val="00252AB4"/>
    <w:rsid w:val="00252B19"/>
    <w:rsid w:val="0025351D"/>
    <w:rsid w:val="002535CF"/>
    <w:rsid w:val="002537BF"/>
    <w:rsid w:val="00253980"/>
    <w:rsid w:val="00253A2A"/>
    <w:rsid w:val="00254241"/>
    <w:rsid w:val="0025430D"/>
    <w:rsid w:val="00254505"/>
    <w:rsid w:val="00254804"/>
    <w:rsid w:val="00254C2B"/>
    <w:rsid w:val="00255170"/>
    <w:rsid w:val="002551D8"/>
    <w:rsid w:val="00255395"/>
    <w:rsid w:val="0025561D"/>
    <w:rsid w:val="00256321"/>
    <w:rsid w:val="0025659C"/>
    <w:rsid w:val="002568EF"/>
    <w:rsid w:val="00256ED6"/>
    <w:rsid w:val="00256F74"/>
    <w:rsid w:val="00256FDD"/>
    <w:rsid w:val="002571EB"/>
    <w:rsid w:val="00257565"/>
    <w:rsid w:val="002575DE"/>
    <w:rsid w:val="00257635"/>
    <w:rsid w:val="00257BD2"/>
    <w:rsid w:val="00257D22"/>
    <w:rsid w:val="002600DE"/>
    <w:rsid w:val="00260618"/>
    <w:rsid w:val="002609D1"/>
    <w:rsid w:val="00260C29"/>
    <w:rsid w:val="002612B2"/>
    <w:rsid w:val="00261A05"/>
    <w:rsid w:val="00261A2F"/>
    <w:rsid w:val="00261D31"/>
    <w:rsid w:val="0026245F"/>
    <w:rsid w:val="00262460"/>
    <w:rsid w:val="00262483"/>
    <w:rsid w:val="00262698"/>
    <w:rsid w:val="002629BC"/>
    <w:rsid w:val="00262D2D"/>
    <w:rsid w:val="00262E57"/>
    <w:rsid w:val="0026301B"/>
    <w:rsid w:val="002636B1"/>
    <w:rsid w:val="0026389C"/>
    <w:rsid w:val="00263CEA"/>
    <w:rsid w:val="00263D5E"/>
    <w:rsid w:val="0026432E"/>
    <w:rsid w:val="0026477A"/>
    <w:rsid w:val="00264AF5"/>
    <w:rsid w:val="00264B85"/>
    <w:rsid w:val="002659A1"/>
    <w:rsid w:val="00265C34"/>
    <w:rsid w:val="00266012"/>
    <w:rsid w:val="002662CF"/>
    <w:rsid w:val="0026641A"/>
    <w:rsid w:val="0026668C"/>
    <w:rsid w:val="0026692F"/>
    <w:rsid w:val="00266DD9"/>
    <w:rsid w:val="00266E6E"/>
    <w:rsid w:val="00266FE1"/>
    <w:rsid w:val="00267181"/>
    <w:rsid w:val="0026758E"/>
    <w:rsid w:val="00267A5E"/>
    <w:rsid w:val="00267AB8"/>
    <w:rsid w:val="00267E89"/>
    <w:rsid w:val="00270C0A"/>
    <w:rsid w:val="00270C95"/>
    <w:rsid w:val="00270FBE"/>
    <w:rsid w:val="002711AD"/>
    <w:rsid w:val="0027124D"/>
    <w:rsid w:val="00271355"/>
    <w:rsid w:val="0027135D"/>
    <w:rsid w:val="00271631"/>
    <w:rsid w:val="00271A9B"/>
    <w:rsid w:val="00271C97"/>
    <w:rsid w:val="00271CFD"/>
    <w:rsid w:val="00271E2E"/>
    <w:rsid w:val="002724B3"/>
    <w:rsid w:val="00272855"/>
    <w:rsid w:val="00272F89"/>
    <w:rsid w:val="00273198"/>
    <w:rsid w:val="0027348C"/>
    <w:rsid w:val="002743B8"/>
    <w:rsid w:val="00274643"/>
    <w:rsid w:val="002748A5"/>
    <w:rsid w:val="00274D7D"/>
    <w:rsid w:val="00274EE1"/>
    <w:rsid w:val="00275411"/>
    <w:rsid w:val="0027565E"/>
    <w:rsid w:val="00275E9D"/>
    <w:rsid w:val="00276716"/>
    <w:rsid w:val="00276785"/>
    <w:rsid w:val="00276FF6"/>
    <w:rsid w:val="00277D1E"/>
    <w:rsid w:val="002802A6"/>
    <w:rsid w:val="00280459"/>
    <w:rsid w:val="00280B8A"/>
    <w:rsid w:val="00280DC3"/>
    <w:rsid w:val="00280E5D"/>
    <w:rsid w:val="00280F82"/>
    <w:rsid w:val="002817A6"/>
    <w:rsid w:val="002819D2"/>
    <w:rsid w:val="00281A26"/>
    <w:rsid w:val="00281C10"/>
    <w:rsid w:val="00282161"/>
    <w:rsid w:val="00282556"/>
    <w:rsid w:val="002828BF"/>
    <w:rsid w:val="00282BF3"/>
    <w:rsid w:val="00282F53"/>
    <w:rsid w:val="0028323D"/>
    <w:rsid w:val="00283495"/>
    <w:rsid w:val="00283629"/>
    <w:rsid w:val="002837B9"/>
    <w:rsid w:val="002838F2"/>
    <w:rsid w:val="00283A07"/>
    <w:rsid w:val="00283ADC"/>
    <w:rsid w:val="00283C3D"/>
    <w:rsid w:val="00284B2E"/>
    <w:rsid w:val="00284B54"/>
    <w:rsid w:val="00284C49"/>
    <w:rsid w:val="00284C73"/>
    <w:rsid w:val="00284D67"/>
    <w:rsid w:val="0028564D"/>
    <w:rsid w:val="00285838"/>
    <w:rsid w:val="00285A04"/>
    <w:rsid w:val="00285DCB"/>
    <w:rsid w:val="002861C4"/>
    <w:rsid w:val="00286EEE"/>
    <w:rsid w:val="00287208"/>
    <w:rsid w:val="00287383"/>
    <w:rsid w:val="00287471"/>
    <w:rsid w:val="00287552"/>
    <w:rsid w:val="00287891"/>
    <w:rsid w:val="00290632"/>
    <w:rsid w:val="00290C89"/>
    <w:rsid w:val="00290D0F"/>
    <w:rsid w:val="00290DBD"/>
    <w:rsid w:val="0029120D"/>
    <w:rsid w:val="002912E6"/>
    <w:rsid w:val="00291984"/>
    <w:rsid w:val="002921E9"/>
    <w:rsid w:val="002922C7"/>
    <w:rsid w:val="002923DB"/>
    <w:rsid w:val="00292504"/>
    <w:rsid w:val="00292A81"/>
    <w:rsid w:val="00293389"/>
    <w:rsid w:val="00293715"/>
    <w:rsid w:val="00293EF5"/>
    <w:rsid w:val="00293F8E"/>
    <w:rsid w:val="0029430F"/>
    <w:rsid w:val="002943B0"/>
    <w:rsid w:val="002951B9"/>
    <w:rsid w:val="0029533C"/>
    <w:rsid w:val="0029541F"/>
    <w:rsid w:val="002957CA"/>
    <w:rsid w:val="00295B2A"/>
    <w:rsid w:val="00295B44"/>
    <w:rsid w:val="00295D3E"/>
    <w:rsid w:val="00295EE7"/>
    <w:rsid w:val="00295F47"/>
    <w:rsid w:val="00296059"/>
    <w:rsid w:val="0029639E"/>
    <w:rsid w:val="0029647B"/>
    <w:rsid w:val="00296AD0"/>
    <w:rsid w:val="00296F2E"/>
    <w:rsid w:val="002972F9"/>
    <w:rsid w:val="00297535"/>
    <w:rsid w:val="00297A49"/>
    <w:rsid w:val="00297E8D"/>
    <w:rsid w:val="002A0162"/>
    <w:rsid w:val="002A01A0"/>
    <w:rsid w:val="002A022C"/>
    <w:rsid w:val="002A04D9"/>
    <w:rsid w:val="002A0641"/>
    <w:rsid w:val="002A12BE"/>
    <w:rsid w:val="002A1632"/>
    <w:rsid w:val="002A1752"/>
    <w:rsid w:val="002A17DD"/>
    <w:rsid w:val="002A215A"/>
    <w:rsid w:val="002A2231"/>
    <w:rsid w:val="002A309A"/>
    <w:rsid w:val="002A3AE1"/>
    <w:rsid w:val="002A3D17"/>
    <w:rsid w:val="002A410B"/>
    <w:rsid w:val="002A4561"/>
    <w:rsid w:val="002A4688"/>
    <w:rsid w:val="002A47EC"/>
    <w:rsid w:val="002A4850"/>
    <w:rsid w:val="002A48D1"/>
    <w:rsid w:val="002A49E8"/>
    <w:rsid w:val="002A4C16"/>
    <w:rsid w:val="002A5147"/>
    <w:rsid w:val="002A5223"/>
    <w:rsid w:val="002A5245"/>
    <w:rsid w:val="002A5406"/>
    <w:rsid w:val="002A5433"/>
    <w:rsid w:val="002A5C5B"/>
    <w:rsid w:val="002A61FF"/>
    <w:rsid w:val="002A637D"/>
    <w:rsid w:val="002A6401"/>
    <w:rsid w:val="002A65DE"/>
    <w:rsid w:val="002A6A45"/>
    <w:rsid w:val="002A6B36"/>
    <w:rsid w:val="002A6D97"/>
    <w:rsid w:val="002A710E"/>
    <w:rsid w:val="002A71F5"/>
    <w:rsid w:val="002A72A5"/>
    <w:rsid w:val="002B02F7"/>
    <w:rsid w:val="002B05A5"/>
    <w:rsid w:val="002B05D2"/>
    <w:rsid w:val="002B078D"/>
    <w:rsid w:val="002B1211"/>
    <w:rsid w:val="002B1238"/>
    <w:rsid w:val="002B239C"/>
    <w:rsid w:val="002B2662"/>
    <w:rsid w:val="002B285F"/>
    <w:rsid w:val="002B2D0D"/>
    <w:rsid w:val="002B2D57"/>
    <w:rsid w:val="002B2E3D"/>
    <w:rsid w:val="002B2F55"/>
    <w:rsid w:val="002B393B"/>
    <w:rsid w:val="002B3AA0"/>
    <w:rsid w:val="002B4CFD"/>
    <w:rsid w:val="002B4E38"/>
    <w:rsid w:val="002B5157"/>
    <w:rsid w:val="002B540E"/>
    <w:rsid w:val="002B558C"/>
    <w:rsid w:val="002B55B1"/>
    <w:rsid w:val="002B5879"/>
    <w:rsid w:val="002B5BB3"/>
    <w:rsid w:val="002B5D90"/>
    <w:rsid w:val="002B66FC"/>
    <w:rsid w:val="002B6B99"/>
    <w:rsid w:val="002B7177"/>
    <w:rsid w:val="002B7689"/>
    <w:rsid w:val="002B7CFB"/>
    <w:rsid w:val="002B7D44"/>
    <w:rsid w:val="002B7EB2"/>
    <w:rsid w:val="002C0298"/>
    <w:rsid w:val="002C0B9D"/>
    <w:rsid w:val="002C0E23"/>
    <w:rsid w:val="002C1255"/>
    <w:rsid w:val="002C1B03"/>
    <w:rsid w:val="002C1C93"/>
    <w:rsid w:val="002C1CDA"/>
    <w:rsid w:val="002C1F61"/>
    <w:rsid w:val="002C1FA5"/>
    <w:rsid w:val="002C233B"/>
    <w:rsid w:val="002C25A4"/>
    <w:rsid w:val="002C264F"/>
    <w:rsid w:val="002C28F1"/>
    <w:rsid w:val="002C2C77"/>
    <w:rsid w:val="002C31C9"/>
    <w:rsid w:val="002C32BF"/>
    <w:rsid w:val="002C3422"/>
    <w:rsid w:val="002C3AD3"/>
    <w:rsid w:val="002C3E76"/>
    <w:rsid w:val="002C3EE0"/>
    <w:rsid w:val="002C3FA4"/>
    <w:rsid w:val="002C3FE9"/>
    <w:rsid w:val="002C40CA"/>
    <w:rsid w:val="002C497D"/>
    <w:rsid w:val="002C4A32"/>
    <w:rsid w:val="002C4E59"/>
    <w:rsid w:val="002C5147"/>
    <w:rsid w:val="002C5459"/>
    <w:rsid w:val="002C667F"/>
    <w:rsid w:val="002C6B85"/>
    <w:rsid w:val="002C6CEA"/>
    <w:rsid w:val="002C6FA1"/>
    <w:rsid w:val="002C7749"/>
    <w:rsid w:val="002C794A"/>
    <w:rsid w:val="002C7A3C"/>
    <w:rsid w:val="002C7F4C"/>
    <w:rsid w:val="002D0288"/>
    <w:rsid w:val="002D042F"/>
    <w:rsid w:val="002D0539"/>
    <w:rsid w:val="002D09D4"/>
    <w:rsid w:val="002D0CDB"/>
    <w:rsid w:val="002D1171"/>
    <w:rsid w:val="002D16D4"/>
    <w:rsid w:val="002D1770"/>
    <w:rsid w:val="002D18C9"/>
    <w:rsid w:val="002D1935"/>
    <w:rsid w:val="002D1DBF"/>
    <w:rsid w:val="002D218D"/>
    <w:rsid w:val="002D27FB"/>
    <w:rsid w:val="002D2A5E"/>
    <w:rsid w:val="002D3082"/>
    <w:rsid w:val="002D388B"/>
    <w:rsid w:val="002D38F7"/>
    <w:rsid w:val="002D3AD2"/>
    <w:rsid w:val="002D44E4"/>
    <w:rsid w:val="002D4CC0"/>
    <w:rsid w:val="002D4D99"/>
    <w:rsid w:val="002D5972"/>
    <w:rsid w:val="002D5B65"/>
    <w:rsid w:val="002D5CD8"/>
    <w:rsid w:val="002D5E26"/>
    <w:rsid w:val="002D5FAF"/>
    <w:rsid w:val="002D60F6"/>
    <w:rsid w:val="002D666B"/>
    <w:rsid w:val="002D68CA"/>
    <w:rsid w:val="002D6CDF"/>
    <w:rsid w:val="002D6EBA"/>
    <w:rsid w:val="002D74E2"/>
    <w:rsid w:val="002D74EA"/>
    <w:rsid w:val="002D7526"/>
    <w:rsid w:val="002D7821"/>
    <w:rsid w:val="002D7CAB"/>
    <w:rsid w:val="002E02CF"/>
    <w:rsid w:val="002E08A1"/>
    <w:rsid w:val="002E14F8"/>
    <w:rsid w:val="002E157F"/>
    <w:rsid w:val="002E2034"/>
    <w:rsid w:val="002E28CF"/>
    <w:rsid w:val="002E2C48"/>
    <w:rsid w:val="002E301F"/>
    <w:rsid w:val="002E3053"/>
    <w:rsid w:val="002E33E5"/>
    <w:rsid w:val="002E34BF"/>
    <w:rsid w:val="002E3C12"/>
    <w:rsid w:val="002E3DC4"/>
    <w:rsid w:val="002E40FE"/>
    <w:rsid w:val="002E479F"/>
    <w:rsid w:val="002E49BE"/>
    <w:rsid w:val="002E569D"/>
    <w:rsid w:val="002E5A25"/>
    <w:rsid w:val="002E5C0F"/>
    <w:rsid w:val="002E5CF7"/>
    <w:rsid w:val="002E6377"/>
    <w:rsid w:val="002E678A"/>
    <w:rsid w:val="002E67FB"/>
    <w:rsid w:val="002E6921"/>
    <w:rsid w:val="002E701C"/>
    <w:rsid w:val="002E7024"/>
    <w:rsid w:val="002E759B"/>
    <w:rsid w:val="002E7F50"/>
    <w:rsid w:val="002F082A"/>
    <w:rsid w:val="002F0BA9"/>
    <w:rsid w:val="002F0D39"/>
    <w:rsid w:val="002F0F3A"/>
    <w:rsid w:val="002F0FFA"/>
    <w:rsid w:val="002F1038"/>
    <w:rsid w:val="002F1361"/>
    <w:rsid w:val="002F1616"/>
    <w:rsid w:val="002F1D82"/>
    <w:rsid w:val="002F1EE3"/>
    <w:rsid w:val="002F240A"/>
    <w:rsid w:val="002F2713"/>
    <w:rsid w:val="002F27B8"/>
    <w:rsid w:val="002F3133"/>
    <w:rsid w:val="002F317E"/>
    <w:rsid w:val="002F376F"/>
    <w:rsid w:val="002F3965"/>
    <w:rsid w:val="002F43EC"/>
    <w:rsid w:val="002F4933"/>
    <w:rsid w:val="002F507D"/>
    <w:rsid w:val="002F53BB"/>
    <w:rsid w:val="002F55B9"/>
    <w:rsid w:val="002F5E4C"/>
    <w:rsid w:val="002F5EF2"/>
    <w:rsid w:val="002F644A"/>
    <w:rsid w:val="002F6B3C"/>
    <w:rsid w:val="002F6C45"/>
    <w:rsid w:val="002F6D8D"/>
    <w:rsid w:val="002F75B7"/>
    <w:rsid w:val="002F76F9"/>
    <w:rsid w:val="002F78FB"/>
    <w:rsid w:val="003003BC"/>
    <w:rsid w:val="0030048A"/>
    <w:rsid w:val="00300B90"/>
    <w:rsid w:val="003012C5"/>
    <w:rsid w:val="00301C4F"/>
    <w:rsid w:val="00301EC4"/>
    <w:rsid w:val="00302AC3"/>
    <w:rsid w:val="0030312B"/>
    <w:rsid w:val="0030322B"/>
    <w:rsid w:val="00303478"/>
    <w:rsid w:val="00303547"/>
    <w:rsid w:val="003042DB"/>
    <w:rsid w:val="003044ED"/>
    <w:rsid w:val="003045B5"/>
    <w:rsid w:val="003047D1"/>
    <w:rsid w:val="00304D52"/>
    <w:rsid w:val="00305408"/>
    <w:rsid w:val="00306FEE"/>
    <w:rsid w:val="00307478"/>
    <w:rsid w:val="0030790D"/>
    <w:rsid w:val="003079F4"/>
    <w:rsid w:val="00307AB4"/>
    <w:rsid w:val="00307B4A"/>
    <w:rsid w:val="003100FA"/>
    <w:rsid w:val="00310393"/>
    <w:rsid w:val="00310812"/>
    <w:rsid w:val="00310AFC"/>
    <w:rsid w:val="00310DFF"/>
    <w:rsid w:val="00310EF2"/>
    <w:rsid w:val="00310FDC"/>
    <w:rsid w:val="003110EF"/>
    <w:rsid w:val="003118BF"/>
    <w:rsid w:val="00311B5F"/>
    <w:rsid w:val="00311FBA"/>
    <w:rsid w:val="00312D6F"/>
    <w:rsid w:val="0031301B"/>
    <w:rsid w:val="003130AC"/>
    <w:rsid w:val="00313470"/>
    <w:rsid w:val="00313923"/>
    <w:rsid w:val="00313A4B"/>
    <w:rsid w:val="00313F43"/>
    <w:rsid w:val="0031420B"/>
    <w:rsid w:val="00314DDF"/>
    <w:rsid w:val="00314E03"/>
    <w:rsid w:val="0031511E"/>
    <w:rsid w:val="00315ABE"/>
    <w:rsid w:val="00315C12"/>
    <w:rsid w:val="00315D8A"/>
    <w:rsid w:val="00315E5A"/>
    <w:rsid w:val="003161A9"/>
    <w:rsid w:val="003162DE"/>
    <w:rsid w:val="0031634B"/>
    <w:rsid w:val="0031645B"/>
    <w:rsid w:val="003169CB"/>
    <w:rsid w:val="00316C5D"/>
    <w:rsid w:val="00316DA1"/>
    <w:rsid w:val="00317169"/>
    <w:rsid w:val="00317BE3"/>
    <w:rsid w:val="00317DE2"/>
    <w:rsid w:val="00320150"/>
    <w:rsid w:val="003205E4"/>
    <w:rsid w:val="00320B8B"/>
    <w:rsid w:val="00321B1F"/>
    <w:rsid w:val="00321FCB"/>
    <w:rsid w:val="003220A3"/>
    <w:rsid w:val="00322299"/>
    <w:rsid w:val="0032280C"/>
    <w:rsid w:val="003228DD"/>
    <w:rsid w:val="00322A22"/>
    <w:rsid w:val="00322A5C"/>
    <w:rsid w:val="00322B05"/>
    <w:rsid w:val="0032313D"/>
    <w:rsid w:val="00323506"/>
    <w:rsid w:val="0032417A"/>
    <w:rsid w:val="00324769"/>
    <w:rsid w:val="00324CA4"/>
    <w:rsid w:val="00325023"/>
    <w:rsid w:val="003252D7"/>
    <w:rsid w:val="003258F6"/>
    <w:rsid w:val="00325F06"/>
    <w:rsid w:val="00326583"/>
    <w:rsid w:val="00326637"/>
    <w:rsid w:val="00326E1A"/>
    <w:rsid w:val="00326FF9"/>
    <w:rsid w:val="0032772C"/>
    <w:rsid w:val="0032782D"/>
    <w:rsid w:val="00327E22"/>
    <w:rsid w:val="00330BCE"/>
    <w:rsid w:val="0033158E"/>
    <w:rsid w:val="003320B5"/>
    <w:rsid w:val="003330C9"/>
    <w:rsid w:val="003332DC"/>
    <w:rsid w:val="00333F68"/>
    <w:rsid w:val="00333FE0"/>
    <w:rsid w:val="00334698"/>
    <w:rsid w:val="00334A78"/>
    <w:rsid w:val="00334AA0"/>
    <w:rsid w:val="0033514B"/>
    <w:rsid w:val="0033547E"/>
    <w:rsid w:val="00335844"/>
    <w:rsid w:val="00335958"/>
    <w:rsid w:val="0033617A"/>
    <w:rsid w:val="003365D9"/>
    <w:rsid w:val="00336965"/>
    <w:rsid w:val="00336AC2"/>
    <w:rsid w:val="003370DD"/>
    <w:rsid w:val="0033741F"/>
    <w:rsid w:val="003375A5"/>
    <w:rsid w:val="003375E2"/>
    <w:rsid w:val="003401B2"/>
    <w:rsid w:val="00340502"/>
    <w:rsid w:val="00340531"/>
    <w:rsid w:val="00341294"/>
    <w:rsid w:val="00341561"/>
    <w:rsid w:val="0034163C"/>
    <w:rsid w:val="00341B20"/>
    <w:rsid w:val="003421BE"/>
    <w:rsid w:val="00342389"/>
    <w:rsid w:val="003425C2"/>
    <w:rsid w:val="00342B63"/>
    <w:rsid w:val="00342D52"/>
    <w:rsid w:val="00342FBC"/>
    <w:rsid w:val="0034348C"/>
    <w:rsid w:val="003436AF"/>
    <w:rsid w:val="00343F49"/>
    <w:rsid w:val="003445A1"/>
    <w:rsid w:val="003445EA"/>
    <w:rsid w:val="0034484B"/>
    <w:rsid w:val="0034491F"/>
    <w:rsid w:val="00344BE8"/>
    <w:rsid w:val="003450D2"/>
    <w:rsid w:val="003451F0"/>
    <w:rsid w:val="003454D9"/>
    <w:rsid w:val="00345520"/>
    <w:rsid w:val="00345845"/>
    <w:rsid w:val="00345932"/>
    <w:rsid w:val="00345F62"/>
    <w:rsid w:val="003462C5"/>
    <w:rsid w:val="00346CD1"/>
    <w:rsid w:val="003476F3"/>
    <w:rsid w:val="00347ACC"/>
    <w:rsid w:val="0035037F"/>
    <w:rsid w:val="00350B86"/>
    <w:rsid w:val="00351023"/>
    <w:rsid w:val="0035162F"/>
    <w:rsid w:val="00351A03"/>
    <w:rsid w:val="00351AA5"/>
    <w:rsid w:val="00351BCF"/>
    <w:rsid w:val="0035259A"/>
    <w:rsid w:val="0035260A"/>
    <w:rsid w:val="00352B48"/>
    <w:rsid w:val="00352DC9"/>
    <w:rsid w:val="00352FC7"/>
    <w:rsid w:val="00353011"/>
    <w:rsid w:val="00353416"/>
    <w:rsid w:val="0035358C"/>
    <w:rsid w:val="0035386D"/>
    <w:rsid w:val="00353BA6"/>
    <w:rsid w:val="003546F5"/>
    <w:rsid w:val="0035482D"/>
    <w:rsid w:val="00354BFF"/>
    <w:rsid w:val="00355570"/>
    <w:rsid w:val="0035566C"/>
    <w:rsid w:val="00356008"/>
    <w:rsid w:val="00356815"/>
    <w:rsid w:val="0035686B"/>
    <w:rsid w:val="00356A8F"/>
    <w:rsid w:val="00356F8D"/>
    <w:rsid w:val="00357687"/>
    <w:rsid w:val="0035770E"/>
    <w:rsid w:val="00357D04"/>
    <w:rsid w:val="00357E00"/>
    <w:rsid w:val="00360142"/>
    <w:rsid w:val="00360334"/>
    <w:rsid w:val="00360849"/>
    <w:rsid w:val="00360A2C"/>
    <w:rsid w:val="00360E7C"/>
    <w:rsid w:val="00361085"/>
    <w:rsid w:val="00361F91"/>
    <w:rsid w:val="0036207A"/>
    <w:rsid w:val="003623AD"/>
    <w:rsid w:val="00362527"/>
    <w:rsid w:val="00362C5C"/>
    <w:rsid w:val="00362D76"/>
    <w:rsid w:val="003632E2"/>
    <w:rsid w:val="0036356F"/>
    <w:rsid w:val="00363D55"/>
    <w:rsid w:val="00363E36"/>
    <w:rsid w:val="003642F3"/>
    <w:rsid w:val="00364746"/>
    <w:rsid w:val="003649E2"/>
    <w:rsid w:val="00364C06"/>
    <w:rsid w:val="00364C0C"/>
    <w:rsid w:val="00365773"/>
    <w:rsid w:val="00365A1E"/>
    <w:rsid w:val="00365A6D"/>
    <w:rsid w:val="00365BA1"/>
    <w:rsid w:val="00365EA9"/>
    <w:rsid w:val="00365FAF"/>
    <w:rsid w:val="003660E0"/>
    <w:rsid w:val="003663E1"/>
    <w:rsid w:val="0036678C"/>
    <w:rsid w:val="00366958"/>
    <w:rsid w:val="00366DA2"/>
    <w:rsid w:val="00366F01"/>
    <w:rsid w:val="00366FF7"/>
    <w:rsid w:val="00367161"/>
    <w:rsid w:val="00367291"/>
    <w:rsid w:val="003672B6"/>
    <w:rsid w:val="0036781E"/>
    <w:rsid w:val="00367F69"/>
    <w:rsid w:val="003700AB"/>
    <w:rsid w:val="00370187"/>
    <w:rsid w:val="00370785"/>
    <w:rsid w:val="00370B40"/>
    <w:rsid w:val="0037124F"/>
    <w:rsid w:val="003714C3"/>
    <w:rsid w:val="003727D4"/>
    <w:rsid w:val="00372D2C"/>
    <w:rsid w:val="00373926"/>
    <w:rsid w:val="0037395E"/>
    <w:rsid w:val="0037397A"/>
    <w:rsid w:val="00373AA9"/>
    <w:rsid w:val="00373AC5"/>
    <w:rsid w:val="00373E51"/>
    <w:rsid w:val="00373E61"/>
    <w:rsid w:val="00374321"/>
    <w:rsid w:val="003744FD"/>
    <w:rsid w:val="003748BA"/>
    <w:rsid w:val="00374E21"/>
    <w:rsid w:val="0037531B"/>
    <w:rsid w:val="00375449"/>
    <w:rsid w:val="00375A46"/>
    <w:rsid w:val="00375EE1"/>
    <w:rsid w:val="003767EE"/>
    <w:rsid w:val="00376CB1"/>
    <w:rsid w:val="003771E5"/>
    <w:rsid w:val="00377559"/>
    <w:rsid w:val="003775A7"/>
    <w:rsid w:val="00377924"/>
    <w:rsid w:val="00377BF9"/>
    <w:rsid w:val="00380095"/>
    <w:rsid w:val="003807DD"/>
    <w:rsid w:val="0038089A"/>
    <w:rsid w:val="003808EB"/>
    <w:rsid w:val="00380BEC"/>
    <w:rsid w:val="003810EF"/>
    <w:rsid w:val="003817E5"/>
    <w:rsid w:val="00381F55"/>
    <w:rsid w:val="003822F1"/>
    <w:rsid w:val="003823D1"/>
    <w:rsid w:val="00382660"/>
    <w:rsid w:val="0038276F"/>
    <w:rsid w:val="00382C05"/>
    <w:rsid w:val="00382D7A"/>
    <w:rsid w:val="0038328C"/>
    <w:rsid w:val="003834CF"/>
    <w:rsid w:val="003836F4"/>
    <w:rsid w:val="00383AD1"/>
    <w:rsid w:val="00383F26"/>
    <w:rsid w:val="00384298"/>
    <w:rsid w:val="0038456E"/>
    <w:rsid w:val="00384864"/>
    <w:rsid w:val="00384D68"/>
    <w:rsid w:val="00385539"/>
    <w:rsid w:val="003855D9"/>
    <w:rsid w:val="00385726"/>
    <w:rsid w:val="00386210"/>
    <w:rsid w:val="00386A23"/>
    <w:rsid w:val="00386B4D"/>
    <w:rsid w:val="003871BC"/>
    <w:rsid w:val="003876BD"/>
    <w:rsid w:val="0039030E"/>
    <w:rsid w:val="00390A08"/>
    <w:rsid w:val="00390F67"/>
    <w:rsid w:val="00391105"/>
    <w:rsid w:val="0039131C"/>
    <w:rsid w:val="00392255"/>
    <w:rsid w:val="0039246D"/>
    <w:rsid w:val="00392651"/>
    <w:rsid w:val="00392B4E"/>
    <w:rsid w:val="00393B44"/>
    <w:rsid w:val="00393B82"/>
    <w:rsid w:val="00394158"/>
    <w:rsid w:val="00394191"/>
    <w:rsid w:val="0039460F"/>
    <w:rsid w:val="00394CB4"/>
    <w:rsid w:val="0039501C"/>
    <w:rsid w:val="003952B4"/>
    <w:rsid w:val="003959A5"/>
    <w:rsid w:val="00395AF1"/>
    <w:rsid w:val="00395F98"/>
    <w:rsid w:val="00396781"/>
    <w:rsid w:val="00396B15"/>
    <w:rsid w:val="00396B94"/>
    <w:rsid w:val="003971B2"/>
    <w:rsid w:val="00397737"/>
    <w:rsid w:val="00397FB5"/>
    <w:rsid w:val="003A0465"/>
    <w:rsid w:val="003A11E3"/>
    <w:rsid w:val="003A1473"/>
    <w:rsid w:val="003A1E6F"/>
    <w:rsid w:val="003A1E93"/>
    <w:rsid w:val="003A2160"/>
    <w:rsid w:val="003A2929"/>
    <w:rsid w:val="003A2B25"/>
    <w:rsid w:val="003A322D"/>
    <w:rsid w:val="003A4187"/>
    <w:rsid w:val="003A4598"/>
    <w:rsid w:val="003A45E0"/>
    <w:rsid w:val="003A47E8"/>
    <w:rsid w:val="003A51F8"/>
    <w:rsid w:val="003A5734"/>
    <w:rsid w:val="003A57CD"/>
    <w:rsid w:val="003A5932"/>
    <w:rsid w:val="003A59FB"/>
    <w:rsid w:val="003A5BB0"/>
    <w:rsid w:val="003A5C42"/>
    <w:rsid w:val="003A604C"/>
    <w:rsid w:val="003A626F"/>
    <w:rsid w:val="003A68E3"/>
    <w:rsid w:val="003A6ACA"/>
    <w:rsid w:val="003A6B88"/>
    <w:rsid w:val="003A723C"/>
    <w:rsid w:val="003A72A7"/>
    <w:rsid w:val="003A75CC"/>
    <w:rsid w:val="003A767B"/>
    <w:rsid w:val="003A7C51"/>
    <w:rsid w:val="003A7F12"/>
    <w:rsid w:val="003B0148"/>
    <w:rsid w:val="003B0E12"/>
    <w:rsid w:val="003B0FF3"/>
    <w:rsid w:val="003B1599"/>
    <w:rsid w:val="003B15C0"/>
    <w:rsid w:val="003B17DE"/>
    <w:rsid w:val="003B3466"/>
    <w:rsid w:val="003B35AE"/>
    <w:rsid w:val="003B3B89"/>
    <w:rsid w:val="003B452F"/>
    <w:rsid w:val="003B45D2"/>
    <w:rsid w:val="003B4707"/>
    <w:rsid w:val="003B4A7C"/>
    <w:rsid w:val="003B5D24"/>
    <w:rsid w:val="003B5EA5"/>
    <w:rsid w:val="003B5F10"/>
    <w:rsid w:val="003B5FE4"/>
    <w:rsid w:val="003B6900"/>
    <w:rsid w:val="003B6990"/>
    <w:rsid w:val="003B6A10"/>
    <w:rsid w:val="003B6AB3"/>
    <w:rsid w:val="003B74E2"/>
    <w:rsid w:val="003C0240"/>
    <w:rsid w:val="003C0395"/>
    <w:rsid w:val="003C0A08"/>
    <w:rsid w:val="003C1331"/>
    <w:rsid w:val="003C16F3"/>
    <w:rsid w:val="003C17BC"/>
    <w:rsid w:val="003C1BF6"/>
    <w:rsid w:val="003C1EEA"/>
    <w:rsid w:val="003C20AA"/>
    <w:rsid w:val="003C2211"/>
    <w:rsid w:val="003C25AD"/>
    <w:rsid w:val="003C2997"/>
    <w:rsid w:val="003C318A"/>
    <w:rsid w:val="003C35EA"/>
    <w:rsid w:val="003C379E"/>
    <w:rsid w:val="003C3B62"/>
    <w:rsid w:val="003C3B93"/>
    <w:rsid w:val="003C3FBE"/>
    <w:rsid w:val="003C40ED"/>
    <w:rsid w:val="003C413A"/>
    <w:rsid w:val="003C4224"/>
    <w:rsid w:val="003C497C"/>
    <w:rsid w:val="003C4BE5"/>
    <w:rsid w:val="003C4FD0"/>
    <w:rsid w:val="003C515F"/>
    <w:rsid w:val="003C5716"/>
    <w:rsid w:val="003C591B"/>
    <w:rsid w:val="003C5EAE"/>
    <w:rsid w:val="003C66FA"/>
    <w:rsid w:val="003C6F15"/>
    <w:rsid w:val="003C7258"/>
    <w:rsid w:val="003C7379"/>
    <w:rsid w:val="003C7C2A"/>
    <w:rsid w:val="003D0367"/>
    <w:rsid w:val="003D0790"/>
    <w:rsid w:val="003D0816"/>
    <w:rsid w:val="003D0866"/>
    <w:rsid w:val="003D09EA"/>
    <w:rsid w:val="003D0AF7"/>
    <w:rsid w:val="003D0BC7"/>
    <w:rsid w:val="003D0ED6"/>
    <w:rsid w:val="003D1001"/>
    <w:rsid w:val="003D13DC"/>
    <w:rsid w:val="003D15A8"/>
    <w:rsid w:val="003D1677"/>
    <w:rsid w:val="003D1B1C"/>
    <w:rsid w:val="003D1BD6"/>
    <w:rsid w:val="003D1FD4"/>
    <w:rsid w:val="003D2779"/>
    <w:rsid w:val="003D27B0"/>
    <w:rsid w:val="003D29AF"/>
    <w:rsid w:val="003D2D96"/>
    <w:rsid w:val="003D2EFD"/>
    <w:rsid w:val="003D31F7"/>
    <w:rsid w:val="003D3B6C"/>
    <w:rsid w:val="003D3BE8"/>
    <w:rsid w:val="003D3BEC"/>
    <w:rsid w:val="003D3EA0"/>
    <w:rsid w:val="003D3FB6"/>
    <w:rsid w:val="003D4A04"/>
    <w:rsid w:val="003D4ED3"/>
    <w:rsid w:val="003D5293"/>
    <w:rsid w:val="003D55E2"/>
    <w:rsid w:val="003D57AB"/>
    <w:rsid w:val="003D57BB"/>
    <w:rsid w:val="003D5877"/>
    <w:rsid w:val="003D6847"/>
    <w:rsid w:val="003D6856"/>
    <w:rsid w:val="003D6A52"/>
    <w:rsid w:val="003D6DE4"/>
    <w:rsid w:val="003D72B8"/>
    <w:rsid w:val="003D78DA"/>
    <w:rsid w:val="003D7997"/>
    <w:rsid w:val="003E01BF"/>
    <w:rsid w:val="003E124B"/>
    <w:rsid w:val="003E1546"/>
    <w:rsid w:val="003E15BA"/>
    <w:rsid w:val="003E1A60"/>
    <w:rsid w:val="003E1DD7"/>
    <w:rsid w:val="003E1FC4"/>
    <w:rsid w:val="003E2213"/>
    <w:rsid w:val="003E2CCF"/>
    <w:rsid w:val="003E3647"/>
    <w:rsid w:val="003E37DF"/>
    <w:rsid w:val="003E3969"/>
    <w:rsid w:val="003E439F"/>
    <w:rsid w:val="003E4B6D"/>
    <w:rsid w:val="003E4B70"/>
    <w:rsid w:val="003E4E98"/>
    <w:rsid w:val="003E51CA"/>
    <w:rsid w:val="003E5375"/>
    <w:rsid w:val="003E5CB2"/>
    <w:rsid w:val="003E5F92"/>
    <w:rsid w:val="003E66FE"/>
    <w:rsid w:val="003E6954"/>
    <w:rsid w:val="003E6A3A"/>
    <w:rsid w:val="003E7340"/>
    <w:rsid w:val="003E75B0"/>
    <w:rsid w:val="003E7987"/>
    <w:rsid w:val="003F00F4"/>
    <w:rsid w:val="003F01B9"/>
    <w:rsid w:val="003F08C1"/>
    <w:rsid w:val="003F0D58"/>
    <w:rsid w:val="003F1200"/>
    <w:rsid w:val="003F13D5"/>
    <w:rsid w:val="003F158F"/>
    <w:rsid w:val="003F1858"/>
    <w:rsid w:val="003F1977"/>
    <w:rsid w:val="003F1CB8"/>
    <w:rsid w:val="003F30A3"/>
    <w:rsid w:val="003F30C6"/>
    <w:rsid w:val="003F3276"/>
    <w:rsid w:val="003F3371"/>
    <w:rsid w:val="003F35BF"/>
    <w:rsid w:val="003F4673"/>
    <w:rsid w:val="003F4CC3"/>
    <w:rsid w:val="003F4E58"/>
    <w:rsid w:val="003F5807"/>
    <w:rsid w:val="003F58E0"/>
    <w:rsid w:val="003F5981"/>
    <w:rsid w:val="003F5B8F"/>
    <w:rsid w:val="003F5F14"/>
    <w:rsid w:val="003F5F84"/>
    <w:rsid w:val="003F5FE5"/>
    <w:rsid w:val="003F6139"/>
    <w:rsid w:val="003F6B7C"/>
    <w:rsid w:val="003F7BCE"/>
    <w:rsid w:val="003F7EA3"/>
    <w:rsid w:val="0040015C"/>
    <w:rsid w:val="00400629"/>
    <w:rsid w:val="00400E8F"/>
    <w:rsid w:val="00400FB5"/>
    <w:rsid w:val="004013FD"/>
    <w:rsid w:val="0040181B"/>
    <w:rsid w:val="00401AB9"/>
    <w:rsid w:val="00401D21"/>
    <w:rsid w:val="00401D75"/>
    <w:rsid w:val="00401E98"/>
    <w:rsid w:val="0040229F"/>
    <w:rsid w:val="00402458"/>
    <w:rsid w:val="00402829"/>
    <w:rsid w:val="00402E76"/>
    <w:rsid w:val="0040312A"/>
    <w:rsid w:val="004031C2"/>
    <w:rsid w:val="004033E8"/>
    <w:rsid w:val="004037EC"/>
    <w:rsid w:val="004045F5"/>
    <w:rsid w:val="004048F4"/>
    <w:rsid w:val="00404AB7"/>
    <w:rsid w:val="00404B78"/>
    <w:rsid w:val="004051B5"/>
    <w:rsid w:val="0040546D"/>
    <w:rsid w:val="00405553"/>
    <w:rsid w:val="00405850"/>
    <w:rsid w:val="00405C84"/>
    <w:rsid w:val="00405CCE"/>
    <w:rsid w:val="0040668E"/>
    <w:rsid w:val="00406EFD"/>
    <w:rsid w:val="00406F34"/>
    <w:rsid w:val="00407002"/>
    <w:rsid w:val="00407016"/>
    <w:rsid w:val="00407025"/>
    <w:rsid w:val="00407759"/>
    <w:rsid w:val="00407A30"/>
    <w:rsid w:val="0041008B"/>
    <w:rsid w:val="004107E2"/>
    <w:rsid w:val="004107E7"/>
    <w:rsid w:val="00410AC3"/>
    <w:rsid w:val="004119D9"/>
    <w:rsid w:val="00411FE9"/>
    <w:rsid w:val="0041258E"/>
    <w:rsid w:val="004128C2"/>
    <w:rsid w:val="00412BE0"/>
    <w:rsid w:val="00412E09"/>
    <w:rsid w:val="00413363"/>
    <w:rsid w:val="00413539"/>
    <w:rsid w:val="0041445A"/>
    <w:rsid w:val="0041477D"/>
    <w:rsid w:val="004150FA"/>
    <w:rsid w:val="0041517F"/>
    <w:rsid w:val="0041536F"/>
    <w:rsid w:val="0041545F"/>
    <w:rsid w:val="00415A78"/>
    <w:rsid w:val="0041677A"/>
    <w:rsid w:val="0041767C"/>
    <w:rsid w:val="004204E0"/>
    <w:rsid w:val="0042094F"/>
    <w:rsid w:val="00420D10"/>
    <w:rsid w:val="00420EA1"/>
    <w:rsid w:val="00421748"/>
    <w:rsid w:val="0042192E"/>
    <w:rsid w:val="00421FA9"/>
    <w:rsid w:val="0042226F"/>
    <w:rsid w:val="00423405"/>
    <w:rsid w:val="0042369C"/>
    <w:rsid w:val="004238AC"/>
    <w:rsid w:val="00423E56"/>
    <w:rsid w:val="00423E95"/>
    <w:rsid w:val="004241EF"/>
    <w:rsid w:val="004242D6"/>
    <w:rsid w:val="0042441F"/>
    <w:rsid w:val="00424EE0"/>
    <w:rsid w:val="0042504E"/>
    <w:rsid w:val="004250F7"/>
    <w:rsid w:val="004261BF"/>
    <w:rsid w:val="00426585"/>
    <w:rsid w:val="004266B2"/>
    <w:rsid w:val="00427372"/>
    <w:rsid w:val="0042765E"/>
    <w:rsid w:val="00427BCE"/>
    <w:rsid w:val="00430074"/>
    <w:rsid w:val="004302D8"/>
    <w:rsid w:val="00430740"/>
    <w:rsid w:val="0043159A"/>
    <w:rsid w:val="004315E5"/>
    <w:rsid w:val="004317B0"/>
    <w:rsid w:val="00431B3B"/>
    <w:rsid w:val="004320B8"/>
    <w:rsid w:val="00432164"/>
    <w:rsid w:val="004322D1"/>
    <w:rsid w:val="00432BE3"/>
    <w:rsid w:val="00432D21"/>
    <w:rsid w:val="00433D64"/>
    <w:rsid w:val="004341DC"/>
    <w:rsid w:val="004342A1"/>
    <w:rsid w:val="00434595"/>
    <w:rsid w:val="00434E2E"/>
    <w:rsid w:val="00434FC5"/>
    <w:rsid w:val="004361CE"/>
    <w:rsid w:val="004379CC"/>
    <w:rsid w:val="00437B8B"/>
    <w:rsid w:val="00437DEF"/>
    <w:rsid w:val="00440E3A"/>
    <w:rsid w:val="00441078"/>
    <w:rsid w:val="00441AFF"/>
    <w:rsid w:val="00441E5B"/>
    <w:rsid w:val="00441EED"/>
    <w:rsid w:val="004420A0"/>
    <w:rsid w:val="0044240E"/>
    <w:rsid w:val="0044262A"/>
    <w:rsid w:val="004426AC"/>
    <w:rsid w:val="00442957"/>
    <w:rsid w:val="00443172"/>
    <w:rsid w:val="00443CEB"/>
    <w:rsid w:val="00443EFF"/>
    <w:rsid w:val="004442D5"/>
    <w:rsid w:val="00444490"/>
    <w:rsid w:val="00444503"/>
    <w:rsid w:val="00444513"/>
    <w:rsid w:val="00444690"/>
    <w:rsid w:val="0044489E"/>
    <w:rsid w:val="004448F6"/>
    <w:rsid w:val="00444E8C"/>
    <w:rsid w:val="00444F5B"/>
    <w:rsid w:val="00445153"/>
    <w:rsid w:val="004451CD"/>
    <w:rsid w:val="0044592E"/>
    <w:rsid w:val="00445B91"/>
    <w:rsid w:val="00446377"/>
    <w:rsid w:val="00446610"/>
    <w:rsid w:val="00446906"/>
    <w:rsid w:val="00446A99"/>
    <w:rsid w:val="00450518"/>
    <w:rsid w:val="0045088D"/>
    <w:rsid w:val="00450CD1"/>
    <w:rsid w:val="00451015"/>
    <w:rsid w:val="004511E3"/>
    <w:rsid w:val="00451E00"/>
    <w:rsid w:val="004528F6"/>
    <w:rsid w:val="00452FC5"/>
    <w:rsid w:val="0045338B"/>
    <w:rsid w:val="004535BD"/>
    <w:rsid w:val="00453AE7"/>
    <w:rsid w:val="00454189"/>
    <w:rsid w:val="004543C6"/>
    <w:rsid w:val="00454831"/>
    <w:rsid w:val="0045483A"/>
    <w:rsid w:val="00454944"/>
    <w:rsid w:val="00454E96"/>
    <w:rsid w:val="00454ECD"/>
    <w:rsid w:val="004551E0"/>
    <w:rsid w:val="004554DA"/>
    <w:rsid w:val="004558F3"/>
    <w:rsid w:val="00455953"/>
    <w:rsid w:val="00455B8A"/>
    <w:rsid w:val="004564D4"/>
    <w:rsid w:val="00456967"/>
    <w:rsid w:val="00456C3D"/>
    <w:rsid w:val="00456DE1"/>
    <w:rsid w:val="0045733E"/>
    <w:rsid w:val="00457375"/>
    <w:rsid w:val="00457FFC"/>
    <w:rsid w:val="004603FA"/>
    <w:rsid w:val="00460946"/>
    <w:rsid w:val="00460B57"/>
    <w:rsid w:val="00460DAD"/>
    <w:rsid w:val="00461454"/>
    <w:rsid w:val="00461904"/>
    <w:rsid w:val="00461D4E"/>
    <w:rsid w:val="00461E81"/>
    <w:rsid w:val="004624E0"/>
    <w:rsid w:val="0046281C"/>
    <w:rsid w:val="0046295B"/>
    <w:rsid w:val="0046348D"/>
    <w:rsid w:val="00463B78"/>
    <w:rsid w:val="00463E44"/>
    <w:rsid w:val="00464325"/>
    <w:rsid w:val="004648DF"/>
    <w:rsid w:val="00464A3C"/>
    <w:rsid w:val="00464D06"/>
    <w:rsid w:val="004654A8"/>
    <w:rsid w:val="004659BC"/>
    <w:rsid w:val="00465B54"/>
    <w:rsid w:val="00465E57"/>
    <w:rsid w:val="00466185"/>
    <w:rsid w:val="004663CF"/>
    <w:rsid w:val="00466B48"/>
    <w:rsid w:val="00466F5A"/>
    <w:rsid w:val="004670CA"/>
    <w:rsid w:val="0046755E"/>
    <w:rsid w:val="004677B4"/>
    <w:rsid w:val="0047002E"/>
    <w:rsid w:val="004704A0"/>
    <w:rsid w:val="004705F4"/>
    <w:rsid w:val="0047060E"/>
    <w:rsid w:val="00470908"/>
    <w:rsid w:val="00470D01"/>
    <w:rsid w:val="004718C7"/>
    <w:rsid w:val="00471CD3"/>
    <w:rsid w:val="00471D19"/>
    <w:rsid w:val="00471DE5"/>
    <w:rsid w:val="004721A5"/>
    <w:rsid w:val="00472357"/>
    <w:rsid w:val="0047243E"/>
    <w:rsid w:val="00472644"/>
    <w:rsid w:val="00472A47"/>
    <w:rsid w:val="00472B30"/>
    <w:rsid w:val="0047301B"/>
    <w:rsid w:val="0047356C"/>
    <w:rsid w:val="004738A0"/>
    <w:rsid w:val="004739D1"/>
    <w:rsid w:val="00473CC1"/>
    <w:rsid w:val="00474157"/>
    <w:rsid w:val="00474206"/>
    <w:rsid w:val="0047458B"/>
    <w:rsid w:val="004745EC"/>
    <w:rsid w:val="0047503E"/>
    <w:rsid w:val="00475145"/>
    <w:rsid w:val="0047594E"/>
    <w:rsid w:val="00475AF9"/>
    <w:rsid w:val="00475DE9"/>
    <w:rsid w:val="00476C89"/>
    <w:rsid w:val="00476E4D"/>
    <w:rsid w:val="00477031"/>
    <w:rsid w:val="00477216"/>
    <w:rsid w:val="004772E4"/>
    <w:rsid w:val="0047732D"/>
    <w:rsid w:val="00477D6D"/>
    <w:rsid w:val="00477E4C"/>
    <w:rsid w:val="0048044D"/>
    <w:rsid w:val="0048052A"/>
    <w:rsid w:val="00480682"/>
    <w:rsid w:val="004808E6"/>
    <w:rsid w:val="00480DDD"/>
    <w:rsid w:val="00480F16"/>
    <w:rsid w:val="00480F9A"/>
    <w:rsid w:val="00481239"/>
    <w:rsid w:val="0048183E"/>
    <w:rsid w:val="00481927"/>
    <w:rsid w:val="00481C05"/>
    <w:rsid w:val="00482479"/>
    <w:rsid w:val="00482D87"/>
    <w:rsid w:val="00483112"/>
    <w:rsid w:val="0048384A"/>
    <w:rsid w:val="00483910"/>
    <w:rsid w:val="00483F22"/>
    <w:rsid w:val="0048446A"/>
    <w:rsid w:val="00484A82"/>
    <w:rsid w:val="00485166"/>
    <w:rsid w:val="00485654"/>
    <w:rsid w:val="004857BA"/>
    <w:rsid w:val="004858D4"/>
    <w:rsid w:val="004865AD"/>
    <w:rsid w:val="004866CA"/>
    <w:rsid w:val="00486F12"/>
    <w:rsid w:val="00487999"/>
    <w:rsid w:val="004909EE"/>
    <w:rsid w:val="00490B81"/>
    <w:rsid w:val="00490DDA"/>
    <w:rsid w:val="004913DA"/>
    <w:rsid w:val="004918F5"/>
    <w:rsid w:val="004919D7"/>
    <w:rsid w:val="004919FA"/>
    <w:rsid w:val="004920C5"/>
    <w:rsid w:val="004922A6"/>
    <w:rsid w:val="004923B0"/>
    <w:rsid w:val="004924A4"/>
    <w:rsid w:val="004924E9"/>
    <w:rsid w:val="00492BF9"/>
    <w:rsid w:val="00492F6E"/>
    <w:rsid w:val="00493C65"/>
    <w:rsid w:val="00493F69"/>
    <w:rsid w:val="00494814"/>
    <w:rsid w:val="00494841"/>
    <w:rsid w:val="00494E7E"/>
    <w:rsid w:val="0049524E"/>
    <w:rsid w:val="00495659"/>
    <w:rsid w:val="00495979"/>
    <w:rsid w:val="00495A4B"/>
    <w:rsid w:val="00495A6C"/>
    <w:rsid w:val="00495DF4"/>
    <w:rsid w:val="00495F4C"/>
    <w:rsid w:val="00495F83"/>
    <w:rsid w:val="0049607E"/>
    <w:rsid w:val="00496126"/>
    <w:rsid w:val="0049643A"/>
    <w:rsid w:val="004968B9"/>
    <w:rsid w:val="004969F7"/>
    <w:rsid w:val="00496B2E"/>
    <w:rsid w:val="00497163"/>
    <w:rsid w:val="00497328"/>
    <w:rsid w:val="00497487"/>
    <w:rsid w:val="00497530"/>
    <w:rsid w:val="004979C7"/>
    <w:rsid w:val="00497AC9"/>
    <w:rsid w:val="004A0037"/>
    <w:rsid w:val="004A00E6"/>
    <w:rsid w:val="004A027B"/>
    <w:rsid w:val="004A0F0E"/>
    <w:rsid w:val="004A1232"/>
    <w:rsid w:val="004A1390"/>
    <w:rsid w:val="004A15A3"/>
    <w:rsid w:val="004A15FC"/>
    <w:rsid w:val="004A1652"/>
    <w:rsid w:val="004A1C26"/>
    <w:rsid w:val="004A1E5B"/>
    <w:rsid w:val="004A2267"/>
    <w:rsid w:val="004A2D0B"/>
    <w:rsid w:val="004A2F03"/>
    <w:rsid w:val="004A32F3"/>
    <w:rsid w:val="004A34DC"/>
    <w:rsid w:val="004A34E2"/>
    <w:rsid w:val="004A362A"/>
    <w:rsid w:val="004A37D0"/>
    <w:rsid w:val="004A39FF"/>
    <w:rsid w:val="004A3BD7"/>
    <w:rsid w:val="004A3D92"/>
    <w:rsid w:val="004A40DB"/>
    <w:rsid w:val="004A4394"/>
    <w:rsid w:val="004A467D"/>
    <w:rsid w:val="004A4684"/>
    <w:rsid w:val="004A4CF9"/>
    <w:rsid w:val="004A4D60"/>
    <w:rsid w:val="004A4FE2"/>
    <w:rsid w:val="004A5391"/>
    <w:rsid w:val="004A55FA"/>
    <w:rsid w:val="004A595C"/>
    <w:rsid w:val="004A5A0E"/>
    <w:rsid w:val="004A6177"/>
    <w:rsid w:val="004A61CF"/>
    <w:rsid w:val="004A6399"/>
    <w:rsid w:val="004A661B"/>
    <w:rsid w:val="004A667B"/>
    <w:rsid w:val="004A67A8"/>
    <w:rsid w:val="004A67FF"/>
    <w:rsid w:val="004A6947"/>
    <w:rsid w:val="004A6D84"/>
    <w:rsid w:val="004A7771"/>
    <w:rsid w:val="004A7B01"/>
    <w:rsid w:val="004A7D48"/>
    <w:rsid w:val="004A7DD2"/>
    <w:rsid w:val="004B00D0"/>
    <w:rsid w:val="004B0312"/>
    <w:rsid w:val="004B0476"/>
    <w:rsid w:val="004B057E"/>
    <w:rsid w:val="004B09FC"/>
    <w:rsid w:val="004B0C01"/>
    <w:rsid w:val="004B0C2A"/>
    <w:rsid w:val="004B0E77"/>
    <w:rsid w:val="004B142B"/>
    <w:rsid w:val="004B15F6"/>
    <w:rsid w:val="004B1DD7"/>
    <w:rsid w:val="004B1E1F"/>
    <w:rsid w:val="004B1F35"/>
    <w:rsid w:val="004B22E8"/>
    <w:rsid w:val="004B24C9"/>
    <w:rsid w:val="004B2FC3"/>
    <w:rsid w:val="004B3245"/>
    <w:rsid w:val="004B3274"/>
    <w:rsid w:val="004B38A1"/>
    <w:rsid w:val="004B3A88"/>
    <w:rsid w:val="004B3A9A"/>
    <w:rsid w:val="004B3FE4"/>
    <w:rsid w:val="004B417E"/>
    <w:rsid w:val="004B4763"/>
    <w:rsid w:val="004B49DE"/>
    <w:rsid w:val="004B4C16"/>
    <w:rsid w:val="004B4D12"/>
    <w:rsid w:val="004B5362"/>
    <w:rsid w:val="004B53A8"/>
    <w:rsid w:val="004B5491"/>
    <w:rsid w:val="004B5925"/>
    <w:rsid w:val="004B5BC5"/>
    <w:rsid w:val="004B5DF2"/>
    <w:rsid w:val="004B5EC0"/>
    <w:rsid w:val="004B6105"/>
    <w:rsid w:val="004B71A6"/>
    <w:rsid w:val="004B744C"/>
    <w:rsid w:val="004B7485"/>
    <w:rsid w:val="004B7EE8"/>
    <w:rsid w:val="004C01CB"/>
    <w:rsid w:val="004C084F"/>
    <w:rsid w:val="004C1300"/>
    <w:rsid w:val="004C13D4"/>
    <w:rsid w:val="004C1665"/>
    <w:rsid w:val="004C1900"/>
    <w:rsid w:val="004C1974"/>
    <w:rsid w:val="004C19F0"/>
    <w:rsid w:val="004C1A40"/>
    <w:rsid w:val="004C1B4B"/>
    <w:rsid w:val="004C1D2F"/>
    <w:rsid w:val="004C1DB7"/>
    <w:rsid w:val="004C247A"/>
    <w:rsid w:val="004C24AE"/>
    <w:rsid w:val="004C2578"/>
    <w:rsid w:val="004C31C8"/>
    <w:rsid w:val="004C433C"/>
    <w:rsid w:val="004C43AF"/>
    <w:rsid w:val="004C446B"/>
    <w:rsid w:val="004C4C7F"/>
    <w:rsid w:val="004C4E04"/>
    <w:rsid w:val="004C5025"/>
    <w:rsid w:val="004C57F5"/>
    <w:rsid w:val="004C59D3"/>
    <w:rsid w:val="004C5A01"/>
    <w:rsid w:val="004C5A45"/>
    <w:rsid w:val="004C6011"/>
    <w:rsid w:val="004C601E"/>
    <w:rsid w:val="004C679B"/>
    <w:rsid w:val="004C680B"/>
    <w:rsid w:val="004C6A0F"/>
    <w:rsid w:val="004C7200"/>
    <w:rsid w:val="004C730D"/>
    <w:rsid w:val="004C7467"/>
    <w:rsid w:val="004C79F2"/>
    <w:rsid w:val="004D046A"/>
    <w:rsid w:val="004D0C14"/>
    <w:rsid w:val="004D0EAB"/>
    <w:rsid w:val="004D13B9"/>
    <w:rsid w:val="004D1437"/>
    <w:rsid w:val="004D18CC"/>
    <w:rsid w:val="004D1C0B"/>
    <w:rsid w:val="004D2720"/>
    <w:rsid w:val="004D28AB"/>
    <w:rsid w:val="004D2A03"/>
    <w:rsid w:val="004D2ACC"/>
    <w:rsid w:val="004D342F"/>
    <w:rsid w:val="004D3DCF"/>
    <w:rsid w:val="004D3E38"/>
    <w:rsid w:val="004D407C"/>
    <w:rsid w:val="004D45E4"/>
    <w:rsid w:val="004D4646"/>
    <w:rsid w:val="004D49A5"/>
    <w:rsid w:val="004D4D21"/>
    <w:rsid w:val="004D57BD"/>
    <w:rsid w:val="004D5F2B"/>
    <w:rsid w:val="004D62BB"/>
    <w:rsid w:val="004D68EF"/>
    <w:rsid w:val="004D6DA1"/>
    <w:rsid w:val="004D6E08"/>
    <w:rsid w:val="004D6E41"/>
    <w:rsid w:val="004D6F5C"/>
    <w:rsid w:val="004D707B"/>
    <w:rsid w:val="004D7090"/>
    <w:rsid w:val="004D778F"/>
    <w:rsid w:val="004D7B95"/>
    <w:rsid w:val="004D7BB3"/>
    <w:rsid w:val="004D7C07"/>
    <w:rsid w:val="004D7EC3"/>
    <w:rsid w:val="004E0127"/>
    <w:rsid w:val="004E063F"/>
    <w:rsid w:val="004E1028"/>
    <w:rsid w:val="004E11B1"/>
    <w:rsid w:val="004E174C"/>
    <w:rsid w:val="004E182C"/>
    <w:rsid w:val="004E1AD4"/>
    <w:rsid w:val="004E2098"/>
    <w:rsid w:val="004E2287"/>
    <w:rsid w:val="004E27DE"/>
    <w:rsid w:val="004E3CAD"/>
    <w:rsid w:val="004E4AAB"/>
    <w:rsid w:val="004E4CC3"/>
    <w:rsid w:val="004E5324"/>
    <w:rsid w:val="004E541E"/>
    <w:rsid w:val="004E619C"/>
    <w:rsid w:val="004E6734"/>
    <w:rsid w:val="004E77F0"/>
    <w:rsid w:val="004E79F5"/>
    <w:rsid w:val="004E7A17"/>
    <w:rsid w:val="004E7D42"/>
    <w:rsid w:val="004E7DA0"/>
    <w:rsid w:val="004F01A1"/>
    <w:rsid w:val="004F0869"/>
    <w:rsid w:val="004F0A8D"/>
    <w:rsid w:val="004F0F49"/>
    <w:rsid w:val="004F1007"/>
    <w:rsid w:val="004F150F"/>
    <w:rsid w:val="004F1C9B"/>
    <w:rsid w:val="004F1F1F"/>
    <w:rsid w:val="004F227F"/>
    <w:rsid w:val="004F228E"/>
    <w:rsid w:val="004F2709"/>
    <w:rsid w:val="004F2AA9"/>
    <w:rsid w:val="004F2B9F"/>
    <w:rsid w:val="004F2DD8"/>
    <w:rsid w:val="004F2EBD"/>
    <w:rsid w:val="004F328B"/>
    <w:rsid w:val="004F3547"/>
    <w:rsid w:val="004F3A33"/>
    <w:rsid w:val="004F3EA9"/>
    <w:rsid w:val="004F40D5"/>
    <w:rsid w:val="004F4243"/>
    <w:rsid w:val="004F44AD"/>
    <w:rsid w:val="004F458B"/>
    <w:rsid w:val="004F458C"/>
    <w:rsid w:val="004F5B17"/>
    <w:rsid w:val="004F60F6"/>
    <w:rsid w:val="004F619F"/>
    <w:rsid w:val="004F6238"/>
    <w:rsid w:val="004F745B"/>
    <w:rsid w:val="004F74A1"/>
    <w:rsid w:val="005004D5"/>
    <w:rsid w:val="00500739"/>
    <w:rsid w:val="00500FF6"/>
    <w:rsid w:val="005011B3"/>
    <w:rsid w:val="00501264"/>
    <w:rsid w:val="00501528"/>
    <w:rsid w:val="005016B5"/>
    <w:rsid w:val="00501E2D"/>
    <w:rsid w:val="0050272E"/>
    <w:rsid w:val="00502A10"/>
    <w:rsid w:val="00502C8D"/>
    <w:rsid w:val="00502D45"/>
    <w:rsid w:val="00502EC2"/>
    <w:rsid w:val="00503018"/>
    <w:rsid w:val="00503039"/>
    <w:rsid w:val="0050323D"/>
    <w:rsid w:val="00503349"/>
    <w:rsid w:val="00503391"/>
    <w:rsid w:val="0050346A"/>
    <w:rsid w:val="00503CBF"/>
    <w:rsid w:val="00503E08"/>
    <w:rsid w:val="00503E2F"/>
    <w:rsid w:val="005040BD"/>
    <w:rsid w:val="00504EB5"/>
    <w:rsid w:val="00504F95"/>
    <w:rsid w:val="005051E5"/>
    <w:rsid w:val="005053D9"/>
    <w:rsid w:val="005054A1"/>
    <w:rsid w:val="00505808"/>
    <w:rsid w:val="00505B0D"/>
    <w:rsid w:val="005061AA"/>
    <w:rsid w:val="005064E0"/>
    <w:rsid w:val="005064EB"/>
    <w:rsid w:val="00506618"/>
    <w:rsid w:val="00506854"/>
    <w:rsid w:val="00506A6A"/>
    <w:rsid w:val="00506BFD"/>
    <w:rsid w:val="00506C6C"/>
    <w:rsid w:val="00506E8C"/>
    <w:rsid w:val="00507360"/>
    <w:rsid w:val="0050738E"/>
    <w:rsid w:val="005073EC"/>
    <w:rsid w:val="005079BC"/>
    <w:rsid w:val="00507DA6"/>
    <w:rsid w:val="00507F74"/>
    <w:rsid w:val="005100BE"/>
    <w:rsid w:val="00510E36"/>
    <w:rsid w:val="00511186"/>
    <w:rsid w:val="00511317"/>
    <w:rsid w:val="00511A4D"/>
    <w:rsid w:val="00511DA8"/>
    <w:rsid w:val="005124F9"/>
    <w:rsid w:val="005128F7"/>
    <w:rsid w:val="00512A34"/>
    <w:rsid w:val="00512A4B"/>
    <w:rsid w:val="00512D4D"/>
    <w:rsid w:val="00512E8D"/>
    <w:rsid w:val="005131E5"/>
    <w:rsid w:val="00513826"/>
    <w:rsid w:val="00513838"/>
    <w:rsid w:val="005139F3"/>
    <w:rsid w:val="00513AE8"/>
    <w:rsid w:val="00513CD5"/>
    <w:rsid w:val="00513CF3"/>
    <w:rsid w:val="00513FB2"/>
    <w:rsid w:val="0051414D"/>
    <w:rsid w:val="005148C4"/>
    <w:rsid w:val="00514ECA"/>
    <w:rsid w:val="005151DF"/>
    <w:rsid w:val="0051554E"/>
    <w:rsid w:val="00515C66"/>
    <w:rsid w:val="005162AF"/>
    <w:rsid w:val="00516486"/>
    <w:rsid w:val="0051650C"/>
    <w:rsid w:val="0051662D"/>
    <w:rsid w:val="00516823"/>
    <w:rsid w:val="005168C0"/>
    <w:rsid w:val="00516E4B"/>
    <w:rsid w:val="00516FD0"/>
    <w:rsid w:val="00517047"/>
    <w:rsid w:val="00517107"/>
    <w:rsid w:val="00517236"/>
    <w:rsid w:val="00517782"/>
    <w:rsid w:val="005205B1"/>
    <w:rsid w:val="00520819"/>
    <w:rsid w:val="00520B9D"/>
    <w:rsid w:val="00520BA8"/>
    <w:rsid w:val="00520E64"/>
    <w:rsid w:val="00520EEA"/>
    <w:rsid w:val="00520FAF"/>
    <w:rsid w:val="00521020"/>
    <w:rsid w:val="00521186"/>
    <w:rsid w:val="005215AE"/>
    <w:rsid w:val="00521680"/>
    <w:rsid w:val="005218A6"/>
    <w:rsid w:val="00521C4C"/>
    <w:rsid w:val="00522006"/>
    <w:rsid w:val="005220D4"/>
    <w:rsid w:val="00522AFC"/>
    <w:rsid w:val="005232E3"/>
    <w:rsid w:val="005239A4"/>
    <w:rsid w:val="00523DD5"/>
    <w:rsid w:val="00523EB9"/>
    <w:rsid w:val="00523FD0"/>
    <w:rsid w:val="00524AFC"/>
    <w:rsid w:val="00524C01"/>
    <w:rsid w:val="00524CFA"/>
    <w:rsid w:val="0052517D"/>
    <w:rsid w:val="00525760"/>
    <w:rsid w:val="00525C7C"/>
    <w:rsid w:val="00526105"/>
    <w:rsid w:val="005261B9"/>
    <w:rsid w:val="005261BD"/>
    <w:rsid w:val="005270F3"/>
    <w:rsid w:val="00527131"/>
    <w:rsid w:val="00527901"/>
    <w:rsid w:val="00527E7B"/>
    <w:rsid w:val="0053010E"/>
    <w:rsid w:val="00530B5D"/>
    <w:rsid w:val="00530C09"/>
    <w:rsid w:val="0053180E"/>
    <w:rsid w:val="005318B6"/>
    <w:rsid w:val="005323EB"/>
    <w:rsid w:val="00532664"/>
    <w:rsid w:val="005328A4"/>
    <w:rsid w:val="00532A54"/>
    <w:rsid w:val="00532D7E"/>
    <w:rsid w:val="00532D81"/>
    <w:rsid w:val="005334BB"/>
    <w:rsid w:val="00533736"/>
    <w:rsid w:val="00533F70"/>
    <w:rsid w:val="00534153"/>
    <w:rsid w:val="005342E1"/>
    <w:rsid w:val="005349C3"/>
    <w:rsid w:val="00534D0C"/>
    <w:rsid w:val="00534EE5"/>
    <w:rsid w:val="00535277"/>
    <w:rsid w:val="00535B42"/>
    <w:rsid w:val="00535C07"/>
    <w:rsid w:val="00536114"/>
    <w:rsid w:val="0053616D"/>
    <w:rsid w:val="00536776"/>
    <w:rsid w:val="005369FD"/>
    <w:rsid w:val="00536AFE"/>
    <w:rsid w:val="00536EBA"/>
    <w:rsid w:val="005376A4"/>
    <w:rsid w:val="00537A65"/>
    <w:rsid w:val="00537BEB"/>
    <w:rsid w:val="00537C4F"/>
    <w:rsid w:val="00537C6C"/>
    <w:rsid w:val="00537E71"/>
    <w:rsid w:val="00537F2F"/>
    <w:rsid w:val="00540049"/>
    <w:rsid w:val="0054012A"/>
    <w:rsid w:val="005403A4"/>
    <w:rsid w:val="005405C1"/>
    <w:rsid w:val="00540847"/>
    <w:rsid w:val="00540B7A"/>
    <w:rsid w:val="00540C2A"/>
    <w:rsid w:val="00540CB6"/>
    <w:rsid w:val="00540ECB"/>
    <w:rsid w:val="005416CD"/>
    <w:rsid w:val="00542312"/>
    <w:rsid w:val="00542330"/>
    <w:rsid w:val="00542474"/>
    <w:rsid w:val="005426BC"/>
    <w:rsid w:val="0054286E"/>
    <w:rsid w:val="00543254"/>
    <w:rsid w:val="005435DE"/>
    <w:rsid w:val="005437CE"/>
    <w:rsid w:val="00544333"/>
    <w:rsid w:val="00544787"/>
    <w:rsid w:val="005448C0"/>
    <w:rsid w:val="00544C12"/>
    <w:rsid w:val="00544D47"/>
    <w:rsid w:val="00544DD7"/>
    <w:rsid w:val="005452EE"/>
    <w:rsid w:val="0054562E"/>
    <w:rsid w:val="005457DA"/>
    <w:rsid w:val="00545B60"/>
    <w:rsid w:val="00545DCB"/>
    <w:rsid w:val="00545E11"/>
    <w:rsid w:val="00545F46"/>
    <w:rsid w:val="00546079"/>
    <w:rsid w:val="005461FB"/>
    <w:rsid w:val="00546250"/>
    <w:rsid w:val="00546434"/>
    <w:rsid w:val="0054644B"/>
    <w:rsid w:val="00546B27"/>
    <w:rsid w:val="00546BA5"/>
    <w:rsid w:val="00546E18"/>
    <w:rsid w:val="0054774E"/>
    <w:rsid w:val="005477A5"/>
    <w:rsid w:val="00547A9B"/>
    <w:rsid w:val="005501FD"/>
    <w:rsid w:val="00550592"/>
    <w:rsid w:val="0055070D"/>
    <w:rsid w:val="00550F89"/>
    <w:rsid w:val="0055114F"/>
    <w:rsid w:val="005516E1"/>
    <w:rsid w:val="005517E4"/>
    <w:rsid w:val="00551E0A"/>
    <w:rsid w:val="0055241C"/>
    <w:rsid w:val="005527ED"/>
    <w:rsid w:val="005528F9"/>
    <w:rsid w:val="005529A1"/>
    <w:rsid w:val="00552EE3"/>
    <w:rsid w:val="0055338A"/>
    <w:rsid w:val="005542FB"/>
    <w:rsid w:val="00554913"/>
    <w:rsid w:val="00554A4F"/>
    <w:rsid w:val="005550BA"/>
    <w:rsid w:val="00555A7F"/>
    <w:rsid w:val="0055625D"/>
    <w:rsid w:val="005562A5"/>
    <w:rsid w:val="005566FE"/>
    <w:rsid w:val="0055686B"/>
    <w:rsid w:val="00556D43"/>
    <w:rsid w:val="00556F27"/>
    <w:rsid w:val="00557736"/>
    <w:rsid w:val="00557793"/>
    <w:rsid w:val="00557A4B"/>
    <w:rsid w:val="00557CD6"/>
    <w:rsid w:val="00557E03"/>
    <w:rsid w:val="00557FBB"/>
    <w:rsid w:val="00560571"/>
    <w:rsid w:val="0056064A"/>
    <w:rsid w:val="0056071B"/>
    <w:rsid w:val="00560BE5"/>
    <w:rsid w:val="00561126"/>
    <w:rsid w:val="0056119E"/>
    <w:rsid w:val="00561527"/>
    <w:rsid w:val="00561751"/>
    <w:rsid w:val="00561D37"/>
    <w:rsid w:val="00561D9C"/>
    <w:rsid w:val="00561DD7"/>
    <w:rsid w:val="00561E11"/>
    <w:rsid w:val="00562718"/>
    <w:rsid w:val="00562E6A"/>
    <w:rsid w:val="005630DA"/>
    <w:rsid w:val="00563498"/>
    <w:rsid w:val="00563A52"/>
    <w:rsid w:val="0056417E"/>
    <w:rsid w:val="005641C4"/>
    <w:rsid w:val="00564718"/>
    <w:rsid w:val="005647F4"/>
    <w:rsid w:val="005649A3"/>
    <w:rsid w:val="00564C60"/>
    <w:rsid w:val="00565290"/>
    <w:rsid w:val="00565339"/>
    <w:rsid w:val="005653D4"/>
    <w:rsid w:val="005657DF"/>
    <w:rsid w:val="00565FF8"/>
    <w:rsid w:val="0056602F"/>
    <w:rsid w:val="00566200"/>
    <w:rsid w:val="0056661B"/>
    <w:rsid w:val="00566BDF"/>
    <w:rsid w:val="00567198"/>
    <w:rsid w:val="00567443"/>
    <w:rsid w:val="00567752"/>
    <w:rsid w:val="00567CDA"/>
    <w:rsid w:val="00567E0A"/>
    <w:rsid w:val="00570BCA"/>
    <w:rsid w:val="00570DA8"/>
    <w:rsid w:val="00570FEE"/>
    <w:rsid w:val="005712E8"/>
    <w:rsid w:val="00571970"/>
    <w:rsid w:val="00571A6C"/>
    <w:rsid w:val="00571B00"/>
    <w:rsid w:val="00571C90"/>
    <w:rsid w:val="00571D84"/>
    <w:rsid w:val="00571E13"/>
    <w:rsid w:val="00571EAA"/>
    <w:rsid w:val="00571ED9"/>
    <w:rsid w:val="005723CE"/>
    <w:rsid w:val="005724CC"/>
    <w:rsid w:val="00572527"/>
    <w:rsid w:val="0057274F"/>
    <w:rsid w:val="00572ED9"/>
    <w:rsid w:val="00572FCD"/>
    <w:rsid w:val="00573053"/>
    <w:rsid w:val="00573203"/>
    <w:rsid w:val="005732E3"/>
    <w:rsid w:val="00573460"/>
    <w:rsid w:val="00573482"/>
    <w:rsid w:val="005735C4"/>
    <w:rsid w:val="00573DE4"/>
    <w:rsid w:val="0057404F"/>
    <w:rsid w:val="00574069"/>
    <w:rsid w:val="0057449F"/>
    <w:rsid w:val="00574CE5"/>
    <w:rsid w:val="00575371"/>
    <w:rsid w:val="00575BC8"/>
    <w:rsid w:val="00576049"/>
    <w:rsid w:val="00576126"/>
    <w:rsid w:val="005763D7"/>
    <w:rsid w:val="005763EC"/>
    <w:rsid w:val="00576D74"/>
    <w:rsid w:val="005771C7"/>
    <w:rsid w:val="00577BEC"/>
    <w:rsid w:val="00577E8E"/>
    <w:rsid w:val="00577ED4"/>
    <w:rsid w:val="005804AE"/>
    <w:rsid w:val="005807BF"/>
    <w:rsid w:val="00580939"/>
    <w:rsid w:val="005810A9"/>
    <w:rsid w:val="005810C5"/>
    <w:rsid w:val="00581224"/>
    <w:rsid w:val="00581416"/>
    <w:rsid w:val="00581590"/>
    <w:rsid w:val="00581686"/>
    <w:rsid w:val="005826DF"/>
    <w:rsid w:val="005833C3"/>
    <w:rsid w:val="0058348E"/>
    <w:rsid w:val="00583940"/>
    <w:rsid w:val="00583C97"/>
    <w:rsid w:val="0058400F"/>
    <w:rsid w:val="00584275"/>
    <w:rsid w:val="0058444A"/>
    <w:rsid w:val="00584830"/>
    <w:rsid w:val="00584951"/>
    <w:rsid w:val="00584958"/>
    <w:rsid w:val="00584C29"/>
    <w:rsid w:val="00584E47"/>
    <w:rsid w:val="00584E59"/>
    <w:rsid w:val="005856B0"/>
    <w:rsid w:val="00585708"/>
    <w:rsid w:val="00586063"/>
    <w:rsid w:val="0058629C"/>
    <w:rsid w:val="005862A8"/>
    <w:rsid w:val="005866B9"/>
    <w:rsid w:val="00586BA1"/>
    <w:rsid w:val="00586D2E"/>
    <w:rsid w:val="00587027"/>
    <w:rsid w:val="00587202"/>
    <w:rsid w:val="00587379"/>
    <w:rsid w:val="0059084E"/>
    <w:rsid w:val="00591217"/>
    <w:rsid w:val="00591388"/>
    <w:rsid w:val="00591419"/>
    <w:rsid w:val="0059272F"/>
    <w:rsid w:val="00592B17"/>
    <w:rsid w:val="00592D3B"/>
    <w:rsid w:val="00592FD0"/>
    <w:rsid w:val="00593097"/>
    <w:rsid w:val="005933E7"/>
    <w:rsid w:val="005934C1"/>
    <w:rsid w:val="00593823"/>
    <w:rsid w:val="005939B7"/>
    <w:rsid w:val="0059498C"/>
    <w:rsid w:val="00594AC3"/>
    <w:rsid w:val="00594B89"/>
    <w:rsid w:val="005959F8"/>
    <w:rsid w:val="00595A0A"/>
    <w:rsid w:val="00596046"/>
    <w:rsid w:val="0059620D"/>
    <w:rsid w:val="00596E53"/>
    <w:rsid w:val="00596E8E"/>
    <w:rsid w:val="0059706D"/>
    <w:rsid w:val="00597665"/>
    <w:rsid w:val="00597CF9"/>
    <w:rsid w:val="00597E59"/>
    <w:rsid w:val="005A0591"/>
    <w:rsid w:val="005A068C"/>
    <w:rsid w:val="005A0693"/>
    <w:rsid w:val="005A072D"/>
    <w:rsid w:val="005A0BD8"/>
    <w:rsid w:val="005A11C8"/>
    <w:rsid w:val="005A196D"/>
    <w:rsid w:val="005A1A61"/>
    <w:rsid w:val="005A2499"/>
    <w:rsid w:val="005A2852"/>
    <w:rsid w:val="005A2B0D"/>
    <w:rsid w:val="005A2BCB"/>
    <w:rsid w:val="005A312F"/>
    <w:rsid w:val="005A33B1"/>
    <w:rsid w:val="005A3581"/>
    <w:rsid w:val="005A359F"/>
    <w:rsid w:val="005A3AFE"/>
    <w:rsid w:val="005A3E1D"/>
    <w:rsid w:val="005A4169"/>
    <w:rsid w:val="005A4702"/>
    <w:rsid w:val="005A4B16"/>
    <w:rsid w:val="005A4C0E"/>
    <w:rsid w:val="005A4E96"/>
    <w:rsid w:val="005A4F3C"/>
    <w:rsid w:val="005A501E"/>
    <w:rsid w:val="005A58FD"/>
    <w:rsid w:val="005A5A9B"/>
    <w:rsid w:val="005A63CE"/>
    <w:rsid w:val="005A6FA8"/>
    <w:rsid w:val="005A7537"/>
    <w:rsid w:val="005A77E9"/>
    <w:rsid w:val="005A7D73"/>
    <w:rsid w:val="005A7FD7"/>
    <w:rsid w:val="005B053B"/>
    <w:rsid w:val="005B0CE5"/>
    <w:rsid w:val="005B1417"/>
    <w:rsid w:val="005B19C3"/>
    <w:rsid w:val="005B2186"/>
    <w:rsid w:val="005B2561"/>
    <w:rsid w:val="005B299C"/>
    <w:rsid w:val="005B2E89"/>
    <w:rsid w:val="005B2EED"/>
    <w:rsid w:val="005B2FEB"/>
    <w:rsid w:val="005B328C"/>
    <w:rsid w:val="005B368F"/>
    <w:rsid w:val="005B36E2"/>
    <w:rsid w:val="005B39A5"/>
    <w:rsid w:val="005B3B66"/>
    <w:rsid w:val="005B3CFF"/>
    <w:rsid w:val="005B428C"/>
    <w:rsid w:val="005B431E"/>
    <w:rsid w:val="005B4390"/>
    <w:rsid w:val="005B4C77"/>
    <w:rsid w:val="005B4D86"/>
    <w:rsid w:val="005B53E1"/>
    <w:rsid w:val="005B57BD"/>
    <w:rsid w:val="005B59EC"/>
    <w:rsid w:val="005B5AC4"/>
    <w:rsid w:val="005B5F64"/>
    <w:rsid w:val="005B633B"/>
    <w:rsid w:val="005B6528"/>
    <w:rsid w:val="005B69AD"/>
    <w:rsid w:val="005B6AE7"/>
    <w:rsid w:val="005B7131"/>
    <w:rsid w:val="005B72A0"/>
    <w:rsid w:val="005B763E"/>
    <w:rsid w:val="005B7954"/>
    <w:rsid w:val="005B7B10"/>
    <w:rsid w:val="005C0A4A"/>
    <w:rsid w:val="005C0ADA"/>
    <w:rsid w:val="005C0AFB"/>
    <w:rsid w:val="005C13FB"/>
    <w:rsid w:val="005C1BC6"/>
    <w:rsid w:val="005C2402"/>
    <w:rsid w:val="005C24F8"/>
    <w:rsid w:val="005C268B"/>
    <w:rsid w:val="005C2929"/>
    <w:rsid w:val="005C29B1"/>
    <w:rsid w:val="005C2B93"/>
    <w:rsid w:val="005C2D8C"/>
    <w:rsid w:val="005C3955"/>
    <w:rsid w:val="005C3C0F"/>
    <w:rsid w:val="005C4125"/>
    <w:rsid w:val="005C4A8E"/>
    <w:rsid w:val="005C4AE1"/>
    <w:rsid w:val="005C4E5C"/>
    <w:rsid w:val="005C4FAD"/>
    <w:rsid w:val="005C537A"/>
    <w:rsid w:val="005C5699"/>
    <w:rsid w:val="005C5AD9"/>
    <w:rsid w:val="005C5AE7"/>
    <w:rsid w:val="005C5F65"/>
    <w:rsid w:val="005C6581"/>
    <w:rsid w:val="005C69EF"/>
    <w:rsid w:val="005C7189"/>
    <w:rsid w:val="005C7231"/>
    <w:rsid w:val="005C72AF"/>
    <w:rsid w:val="005C7603"/>
    <w:rsid w:val="005C7843"/>
    <w:rsid w:val="005D0292"/>
    <w:rsid w:val="005D135A"/>
    <w:rsid w:val="005D1375"/>
    <w:rsid w:val="005D1486"/>
    <w:rsid w:val="005D160B"/>
    <w:rsid w:val="005D1B0E"/>
    <w:rsid w:val="005D1BC6"/>
    <w:rsid w:val="005D1C76"/>
    <w:rsid w:val="005D271D"/>
    <w:rsid w:val="005D273D"/>
    <w:rsid w:val="005D2E32"/>
    <w:rsid w:val="005D3355"/>
    <w:rsid w:val="005D37C6"/>
    <w:rsid w:val="005D3C78"/>
    <w:rsid w:val="005D3E4E"/>
    <w:rsid w:val="005D3F7B"/>
    <w:rsid w:val="005D4430"/>
    <w:rsid w:val="005D446D"/>
    <w:rsid w:val="005D4733"/>
    <w:rsid w:val="005D48B7"/>
    <w:rsid w:val="005D4A0A"/>
    <w:rsid w:val="005D4AD9"/>
    <w:rsid w:val="005D4C91"/>
    <w:rsid w:val="005D4F33"/>
    <w:rsid w:val="005D53BB"/>
    <w:rsid w:val="005D5C8D"/>
    <w:rsid w:val="005D6657"/>
    <w:rsid w:val="005D6E3B"/>
    <w:rsid w:val="005D754E"/>
    <w:rsid w:val="005D7B15"/>
    <w:rsid w:val="005D7E84"/>
    <w:rsid w:val="005E0698"/>
    <w:rsid w:val="005E0A5B"/>
    <w:rsid w:val="005E0AD9"/>
    <w:rsid w:val="005E103D"/>
    <w:rsid w:val="005E13A7"/>
    <w:rsid w:val="005E17D5"/>
    <w:rsid w:val="005E22A3"/>
    <w:rsid w:val="005E253A"/>
    <w:rsid w:val="005E2D59"/>
    <w:rsid w:val="005E2E08"/>
    <w:rsid w:val="005E2F32"/>
    <w:rsid w:val="005E38F7"/>
    <w:rsid w:val="005E3906"/>
    <w:rsid w:val="005E3E70"/>
    <w:rsid w:val="005E406E"/>
    <w:rsid w:val="005E4101"/>
    <w:rsid w:val="005E43B9"/>
    <w:rsid w:val="005E4469"/>
    <w:rsid w:val="005E446D"/>
    <w:rsid w:val="005E4BCC"/>
    <w:rsid w:val="005E4EFA"/>
    <w:rsid w:val="005E4F2C"/>
    <w:rsid w:val="005E53A8"/>
    <w:rsid w:val="005E56A6"/>
    <w:rsid w:val="005E5733"/>
    <w:rsid w:val="005E5FEE"/>
    <w:rsid w:val="005E655A"/>
    <w:rsid w:val="005E68A5"/>
    <w:rsid w:val="005E6960"/>
    <w:rsid w:val="005E7002"/>
    <w:rsid w:val="005F0A21"/>
    <w:rsid w:val="005F0CD9"/>
    <w:rsid w:val="005F0E75"/>
    <w:rsid w:val="005F1404"/>
    <w:rsid w:val="005F1637"/>
    <w:rsid w:val="005F177F"/>
    <w:rsid w:val="005F180E"/>
    <w:rsid w:val="005F2050"/>
    <w:rsid w:val="005F20E2"/>
    <w:rsid w:val="005F236F"/>
    <w:rsid w:val="005F2721"/>
    <w:rsid w:val="005F2EFE"/>
    <w:rsid w:val="005F33EC"/>
    <w:rsid w:val="005F3400"/>
    <w:rsid w:val="005F3D6E"/>
    <w:rsid w:val="005F3F3B"/>
    <w:rsid w:val="005F5237"/>
    <w:rsid w:val="005F5CEC"/>
    <w:rsid w:val="005F62A4"/>
    <w:rsid w:val="005F63B2"/>
    <w:rsid w:val="005F6478"/>
    <w:rsid w:val="005F68EC"/>
    <w:rsid w:val="005F6BC5"/>
    <w:rsid w:val="005F721E"/>
    <w:rsid w:val="005F7691"/>
    <w:rsid w:val="005F78BB"/>
    <w:rsid w:val="005F79ED"/>
    <w:rsid w:val="005F7BC9"/>
    <w:rsid w:val="005F7C09"/>
    <w:rsid w:val="005F7F36"/>
    <w:rsid w:val="0060003A"/>
    <w:rsid w:val="006001A8"/>
    <w:rsid w:val="006001C1"/>
    <w:rsid w:val="006005CE"/>
    <w:rsid w:val="00600ADB"/>
    <w:rsid w:val="006022C4"/>
    <w:rsid w:val="00602371"/>
    <w:rsid w:val="006024B8"/>
    <w:rsid w:val="00602951"/>
    <w:rsid w:val="00602C8B"/>
    <w:rsid w:val="00602D81"/>
    <w:rsid w:val="00602FC3"/>
    <w:rsid w:val="00603347"/>
    <w:rsid w:val="0060336E"/>
    <w:rsid w:val="006034CE"/>
    <w:rsid w:val="00603B8D"/>
    <w:rsid w:val="00603BAB"/>
    <w:rsid w:val="0060428E"/>
    <w:rsid w:val="0060487D"/>
    <w:rsid w:val="00604CE3"/>
    <w:rsid w:val="00604D22"/>
    <w:rsid w:val="00604EE5"/>
    <w:rsid w:val="006055AE"/>
    <w:rsid w:val="0060579A"/>
    <w:rsid w:val="006060D8"/>
    <w:rsid w:val="006061CF"/>
    <w:rsid w:val="00606BD7"/>
    <w:rsid w:val="00607144"/>
    <w:rsid w:val="006071C6"/>
    <w:rsid w:val="00607764"/>
    <w:rsid w:val="00607874"/>
    <w:rsid w:val="00610B99"/>
    <w:rsid w:val="00610FA5"/>
    <w:rsid w:val="00611AD0"/>
    <w:rsid w:val="00611BA0"/>
    <w:rsid w:val="00611CE3"/>
    <w:rsid w:val="00611D57"/>
    <w:rsid w:val="00612209"/>
    <w:rsid w:val="00612306"/>
    <w:rsid w:val="006128F2"/>
    <w:rsid w:val="006129CF"/>
    <w:rsid w:val="00612B1D"/>
    <w:rsid w:val="00613190"/>
    <w:rsid w:val="00613358"/>
    <w:rsid w:val="0061387B"/>
    <w:rsid w:val="006139DD"/>
    <w:rsid w:val="00614580"/>
    <w:rsid w:val="00614725"/>
    <w:rsid w:val="00614964"/>
    <w:rsid w:val="00614A2B"/>
    <w:rsid w:val="00614CF1"/>
    <w:rsid w:val="00614D25"/>
    <w:rsid w:val="00614E08"/>
    <w:rsid w:val="0061584D"/>
    <w:rsid w:val="0061587C"/>
    <w:rsid w:val="00615993"/>
    <w:rsid w:val="00615AEE"/>
    <w:rsid w:val="00616305"/>
    <w:rsid w:val="00616CA9"/>
    <w:rsid w:val="00616D15"/>
    <w:rsid w:val="00616E65"/>
    <w:rsid w:val="006175EE"/>
    <w:rsid w:val="00617A28"/>
    <w:rsid w:val="00617B54"/>
    <w:rsid w:val="00617D6E"/>
    <w:rsid w:val="00617FED"/>
    <w:rsid w:val="00620082"/>
    <w:rsid w:val="006202C4"/>
    <w:rsid w:val="006207D5"/>
    <w:rsid w:val="00620923"/>
    <w:rsid w:val="00620E38"/>
    <w:rsid w:val="006212C3"/>
    <w:rsid w:val="006213AC"/>
    <w:rsid w:val="00621508"/>
    <w:rsid w:val="00621A8B"/>
    <w:rsid w:val="00621EDF"/>
    <w:rsid w:val="00621FD3"/>
    <w:rsid w:val="00622576"/>
    <w:rsid w:val="00623068"/>
    <w:rsid w:val="00623077"/>
    <w:rsid w:val="006232F6"/>
    <w:rsid w:val="00623D85"/>
    <w:rsid w:val="00623E94"/>
    <w:rsid w:val="00623F11"/>
    <w:rsid w:val="00624C69"/>
    <w:rsid w:val="00625153"/>
    <w:rsid w:val="00625400"/>
    <w:rsid w:val="00625B82"/>
    <w:rsid w:val="00625FC7"/>
    <w:rsid w:val="006260AD"/>
    <w:rsid w:val="0062693C"/>
    <w:rsid w:val="00626D8C"/>
    <w:rsid w:val="006271C8"/>
    <w:rsid w:val="0062720C"/>
    <w:rsid w:val="0062720D"/>
    <w:rsid w:val="00627C8F"/>
    <w:rsid w:val="006305A7"/>
    <w:rsid w:val="0063096F"/>
    <w:rsid w:val="00630D95"/>
    <w:rsid w:val="00630E41"/>
    <w:rsid w:val="0063187C"/>
    <w:rsid w:val="00631F8B"/>
    <w:rsid w:val="00632622"/>
    <w:rsid w:val="006326DF"/>
    <w:rsid w:val="00632CF5"/>
    <w:rsid w:val="0063313A"/>
    <w:rsid w:val="00633D10"/>
    <w:rsid w:val="00633FF1"/>
    <w:rsid w:val="00634523"/>
    <w:rsid w:val="0063452A"/>
    <w:rsid w:val="006347ED"/>
    <w:rsid w:val="00634B50"/>
    <w:rsid w:val="00634CB8"/>
    <w:rsid w:val="00635046"/>
    <w:rsid w:val="00635937"/>
    <w:rsid w:val="00636023"/>
    <w:rsid w:val="006360B8"/>
    <w:rsid w:val="0063612E"/>
    <w:rsid w:val="006364DF"/>
    <w:rsid w:val="00636B1F"/>
    <w:rsid w:val="00636D81"/>
    <w:rsid w:val="00637267"/>
    <w:rsid w:val="006372CA"/>
    <w:rsid w:val="0063734C"/>
    <w:rsid w:val="006377E2"/>
    <w:rsid w:val="006402AE"/>
    <w:rsid w:val="00640911"/>
    <w:rsid w:val="00640B2C"/>
    <w:rsid w:val="00640CAF"/>
    <w:rsid w:val="00640D91"/>
    <w:rsid w:val="00640EF0"/>
    <w:rsid w:val="00641392"/>
    <w:rsid w:val="0064147B"/>
    <w:rsid w:val="00641628"/>
    <w:rsid w:val="00641856"/>
    <w:rsid w:val="00641FE1"/>
    <w:rsid w:val="00641FE4"/>
    <w:rsid w:val="006420C9"/>
    <w:rsid w:val="0064243A"/>
    <w:rsid w:val="00642749"/>
    <w:rsid w:val="00642ED0"/>
    <w:rsid w:val="00642F92"/>
    <w:rsid w:val="006432E9"/>
    <w:rsid w:val="006435FA"/>
    <w:rsid w:val="00643BC9"/>
    <w:rsid w:val="0064408F"/>
    <w:rsid w:val="006443D1"/>
    <w:rsid w:val="006443F2"/>
    <w:rsid w:val="0064471E"/>
    <w:rsid w:val="006454A1"/>
    <w:rsid w:val="0064598D"/>
    <w:rsid w:val="00646132"/>
    <w:rsid w:val="00646136"/>
    <w:rsid w:val="006464B8"/>
    <w:rsid w:val="0064679C"/>
    <w:rsid w:val="00646EF0"/>
    <w:rsid w:val="0064722C"/>
    <w:rsid w:val="00647614"/>
    <w:rsid w:val="00647866"/>
    <w:rsid w:val="00647A10"/>
    <w:rsid w:val="00647B7E"/>
    <w:rsid w:val="00647DED"/>
    <w:rsid w:val="00650278"/>
    <w:rsid w:val="006502BF"/>
    <w:rsid w:val="006505AF"/>
    <w:rsid w:val="006506EF"/>
    <w:rsid w:val="00650E88"/>
    <w:rsid w:val="00651534"/>
    <w:rsid w:val="00651550"/>
    <w:rsid w:val="006519D3"/>
    <w:rsid w:val="00651A25"/>
    <w:rsid w:val="00652309"/>
    <w:rsid w:val="006524B0"/>
    <w:rsid w:val="00652898"/>
    <w:rsid w:val="00652A99"/>
    <w:rsid w:val="00652DF1"/>
    <w:rsid w:val="00652E43"/>
    <w:rsid w:val="006536C5"/>
    <w:rsid w:val="00653744"/>
    <w:rsid w:val="00653B1D"/>
    <w:rsid w:val="00653C6D"/>
    <w:rsid w:val="00654130"/>
    <w:rsid w:val="00654D6C"/>
    <w:rsid w:val="00654D72"/>
    <w:rsid w:val="00655DDC"/>
    <w:rsid w:val="00655EE8"/>
    <w:rsid w:val="00656B32"/>
    <w:rsid w:val="00656DFB"/>
    <w:rsid w:val="00657093"/>
    <w:rsid w:val="00660071"/>
    <w:rsid w:val="006604EE"/>
    <w:rsid w:val="00660D83"/>
    <w:rsid w:val="00660E25"/>
    <w:rsid w:val="0066158E"/>
    <w:rsid w:val="006616D0"/>
    <w:rsid w:val="00661CB1"/>
    <w:rsid w:val="00661E2A"/>
    <w:rsid w:val="00661EA0"/>
    <w:rsid w:val="00662361"/>
    <w:rsid w:val="00662B86"/>
    <w:rsid w:val="0066374C"/>
    <w:rsid w:val="0066381E"/>
    <w:rsid w:val="00663B88"/>
    <w:rsid w:val="006641F4"/>
    <w:rsid w:val="006643E6"/>
    <w:rsid w:val="0066489A"/>
    <w:rsid w:val="00664A9D"/>
    <w:rsid w:val="00664B55"/>
    <w:rsid w:val="00664C34"/>
    <w:rsid w:val="00664D51"/>
    <w:rsid w:val="00664E0A"/>
    <w:rsid w:val="00664E42"/>
    <w:rsid w:val="00664F8F"/>
    <w:rsid w:val="006650E8"/>
    <w:rsid w:val="006654EF"/>
    <w:rsid w:val="00665847"/>
    <w:rsid w:val="006675FE"/>
    <w:rsid w:val="006676AB"/>
    <w:rsid w:val="00667896"/>
    <w:rsid w:val="00670FCE"/>
    <w:rsid w:val="00671161"/>
    <w:rsid w:val="00671999"/>
    <w:rsid w:val="00671FAE"/>
    <w:rsid w:val="00672363"/>
    <w:rsid w:val="0067240C"/>
    <w:rsid w:val="00672424"/>
    <w:rsid w:val="00672581"/>
    <w:rsid w:val="00672623"/>
    <w:rsid w:val="00672789"/>
    <w:rsid w:val="006727E7"/>
    <w:rsid w:val="00672D31"/>
    <w:rsid w:val="00673611"/>
    <w:rsid w:val="0067390A"/>
    <w:rsid w:val="0067405E"/>
    <w:rsid w:val="006746EF"/>
    <w:rsid w:val="00674A66"/>
    <w:rsid w:val="00674E88"/>
    <w:rsid w:val="00675A95"/>
    <w:rsid w:val="00675EEF"/>
    <w:rsid w:val="0067626E"/>
    <w:rsid w:val="0067687D"/>
    <w:rsid w:val="00676B1B"/>
    <w:rsid w:val="00676B53"/>
    <w:rsid w:val="00676C91"/>
    <w:rsid w:val="006773AF"/>
    <w:rsid w:val="00677695"/>
    <w:rsid w:val="0067778C"/>
    <w:rsid w:val="00677899"/>
    <w:rsid w:val="006779EC"/>
    <w:rsid w:val="00677A12"/>
    <w:rsid w:val="00677A2B"/>
    <w:rsid w:val="00677D85"/>
    <w:rsid w:val="00677EBE"/>
    <w:rsid w:val="0068078F"/>
    <w:rsid w:val="0068119D"/>
    <w:rsid w:val="00681C59"/>
    <w:rsid w:val="00681CF3"/>
    <w:rsid w:val="006825E5"/>
    <w:rsid w:val="00682629"/>
    <w:rsid w:val="00682D22"/>
    <w:rsid w:val="00682D8C"/>
    <w:rsid w:val="00682D91"/>
    <w:rsid w:val="00682F42"/>
    <w:rsid w:val="00683218"/>
    <w:rsid w:val="006833D1"/>
    <w:rsid w:val="00683B4A"/>
    <w:rsid w:val="00683D64"/>
    <w:rsid w:val="006841BE"/>
    <w:rsid w:val="00684288"/>
    <w:rsid w:val="0068449B"/>
    <w:rsid w:val="00684616"/>
    <w:rsid w:val="00684816"/>
    <w:rsid w:val="00685001"/>
    <w:rsid w:val="0068538C"/>
    <w:rsid w:val="006856E4"/>
    <w:rsid w:val="00685750"/>
    <w:rsid w:val="006861A8"/>
    <w:rsid w:val="006867F1"/>
    <w:rsid w:val="00686805"/>
    <w:rsid w:val="006869AB"/>
    <w:rsid w:val="00686C32"/>
    <w:rsid w:val="00686D13"/>
    <w:rsid w:val="00687753"/>
    <w:rsid w:val="006878DC"/>
    <w:rsid w:val="00687A61"/>
    <w:rsid w:val="0069006F"/>
    <w:rsid w:val="00690549"/>
    <w:rsid w:val="006906E5"/>
    <w:rsid w:val="00690978"/>
    <w:rsid w:val="006909D6"/>
    <w:rsid w:val="006911A8"/>
    <w:rsid w:val="0069148F"/>
    <w:rsid w:val="0069218C"/>
    <w:rsid w:val="00692E6D"/>
    <w:rsid w:val="0069324B"/>
    <w:rsid w:val="006937FA"/>
    <w:rsid w:val="00693B14"/>
    <w:rsid w:val="00693C19"/>
    <w:rsid w:val="00693F96"/>
    <w:rsid w:val="00694264"/>
    <w:rsid w:val="00694763"/>
    <w:rsid w:val="00694990"/>
    <w:rsid w:val="006949E0"/>
    <w:rsid w:val="006949F6"/>
    <w:rsid w:val="0069509D"/>
    <w:rsid w:val="006950C3"/>
    <w:rsid w:val="006952DD"/>
    <w:rsid w:val="0069537F"/>
    <w:rsid w:val="00695483"/>
    <w:rsid w:val="00695C51"/>
    <w:rsid w:val="00696149"/>
    <w:rsid w:val="006966D9"/>
    <w:rsid w:val="00696710"/>
    <w:rsid w:val="006969B9"/>
    <w:rsid w:val="006977CA"/>
    <w:rsid w:val="00697B16"/>
    <w:rsid w:val="00697E47"/>
    <w:rsid w:val="006A0026"/>
    <w:rsid w:val="006A0A2A"/>
    <w:rsid w:val="006A1AA4"/>
    <w:rsid w:val="006A1DAB"/>
    <w:rsid w:val="006A2B71"/>
    <w:rsid w:val="006A2E76"/>
    <w:rsid w:val="006A32C3"/>
    <w:rsid w:val="006A3D06"/>
    <w:rsid w:val="006A41AB"/>
    <w:rsid w:val="006A4579"/>
    <w:rsid w:val="006A45E3"/>
    <w:rsid w:val="006A497D"/>
    <w:rsid w:val="006A4DD6"/>
    <w:rsid w:val="006A4F5D"/>
    <w:rsid w:val="006A5405"/>
    <w:rsid w:val="006A546D"/>
    <w:rsid w:val="006A55A0"/>
    <w:rsid w:val="006A5822"/>
    <w:rsid w:val="006A5C2C"/>
    <w:rsid w:val="006A5F2E"/>
    <w:rsid w:val="006A69BA"/>
    <w:rsid w:val="006A6BC2"/>
    <w:rsid w:val="006A6C0F"/>
    <w:rsid w:val="006A6E45"/>
    <w:rsid w:val="006A6F4D"/>
    <w:rsid w:val="006A75FF"/>
    <w:rsid w:val="006A77BC"/>
    <w:rsid w:val="006A7CAF"/>
    <w:rsid w:val="006A7DE8"/>
    <w:rsid w:val="006A7E80"/>
    <w:rsid w:val="006B034D"/>
    <w:rsid w:val="006B04F7"/>
    <w:rsid w:val="006B09F5"/>
    <w:rsid w:val="006B0B2E"/>
    <w:rsid w:val="006B0E9E"/>
    <w:rsid w:val="006B18C8"/>
    <w:rsid w:val="006B1B99"/>
    <w:rsid w:val="006B1E0C"/>
    <w:rsid w:val="006B1FD6"/>
    <w:rsid w:val="006B25F4"/>
    <w:rsid w:val="006B2A0A"/>
    <w:rsid w:val="006B3272"/>
    <w:rsid w:val="006B3DE7"/>
    <w:rsid w:val="006B3EAF"/>
    <w:rsid w:val="006B3EF5"/>
    <w:rsid w:val="006B3F9A"/>
    <w:rsid w:val="006B432D"/>
    <w:rsid w:val="006B462A"/>
    <w:rsid w:val="006B478B"/>
    <w:rsid w:val="006B495E"/>
    <w:rsid w:val="006B4F39"/>
    <w:rsid w:val="006B50D2"/>
    <w:rsid w:val="006B5386"/>
    <w:rsid w:val="006B54F5"/>
    <w:rsid w:val="006B5795"/>
    <w:rsid w:val="006B6080"/>
    <w:rsid w:val="006B62A8"/>
    <w:rsid w:val="006B6385"/>
    <w:rsid w:val="006B6B01"/>
    <w:rsid w:val="006B7A98"/>
    <w:rsid w:val="006B7F4D"/>
    <w:rsid w:val="006C0401"/>
    <w:rsid w:val="006C04F1"/>
    <w:rsid w:val="006C0EA2"/>
    <w:rsid w:val="006C15E7"/>
    <w:rsid w:val="006C17F4"/>
    <w:rsid w:val="006C19A2"/>
    <w:rsid w:val="006C19D7"/>
    <w:rsid w:val="006C2518"/>
    <w:rsid w:val="006C25CA"/>
    <w:rsid w:val="006C34E2"/>
    <w:rsid w:val="006C3775"/>
    <w:rsid w:val="006C3827"/>
    <w:rsid w:val="006C3B57"/>
    <w:rsid w:val="006C3CED"/>
    <w:rsid w:val="006C3E4B"/>
    <w:rsid w:val="006C4680"/>
    <w:rsid w:val="006C472D"/>
    <w:rsid w:val="006C4C12"/>
    <w:rsid w:val="006C50FB"/>
    <w:rsid w:val="006C53D7"/>
    <w:rsid w:val="006C5889"/>
    <w:rsid w:val="006C5A05"/>
    <w:rsid w:val="006C614E"/>
    <w:rsid w:val="006C6281"/>
    <w:rsid w:val="006C6DD8"/>
    <w:rsid w:val="006C6F8C"/>
    <w:rsid w:val="006C7D3D"/>
    <w:rsid w:val="006C7F9B"/>
    <w:rsid w:val="006D003F"/>
    <w:rsid w:val="006D12F6"/>
    <w:rsid w:val="006D16B8"/>
    <w:rsid w:val="006D1C56"/>
    <w:rsid w:val="006D225F"/>
    <w:rsid w:val="006D2934"/>
    <w:rsid w:val="006D38D1"/>
    <w:rsid w:val="006D3B16"/>
    <w:rsid w:val="006D3CA3"/>
    <w:rsid w:val="006D3D5E"/>
    <w:rsid w:val="006D3F89"/>
    <w:rsid w:val="006D3FB9"/>
    <w:rsid w:val="006D40DC"/>
    <w:rsid w:val="006D41F2"/>
    <w:rsid w:val="006D43C1"/>
    <w:rsid w:val="006D5174"/>
    <w:rsid w:val="006D566F"/>
    <w:rsid w:val="006D58A8"/>
    <w:rsid w:val="006D5A41"/>
    <w:rsid w:val="006D63C0"/>
    <w:rsid w:val="006D6527"/>
    <w:rsid w:val="006D6630"/>
    <w:rsid w:val="006D68F4"/>
    <w:rsid w:val="006D6D93"/>
    <w:rsid w:val="006D6F04"/>
    <w:rsid w:val="006D703F"/>
    <w:rsid w:val="006D745C"/>
    <w:rsid w:val="006D7F9C"/>
    <w:rsid w:val="006E0045"/>
    <w:rsid w:val="006E00CE"/>
    <w:rsid w:val="006E031E"/>
    <w:rsid w:val="006E04D1"/>
    <w:rsid w:val="006E0565"/>
    <w:rsid w:val="006E0632"/>
    <w:rsid w:val="006E0B24"/>
    <w:rsid w:val="006E0CA3"/>
    <w:rsid w:val="006E10EB"/>
    <w:rsid w:val="006E1161"/>
    <w:rsid w:val="006E12C8"/>
    <w:rsid w:val="006E14BD"/>
    <w:rsid w:val="006E18E9"/>
    <w:rsid w:val="006E1ABA"/>
    <w:rsid w:val="006E1D40"/>
    <w:rsid w:val="006E2043"/>
    <w:rsid w:val="006E213C"/>
    <w:rsid w:val="006E33D8"/>
    <w:rsid w:val="006E3C01"/>
    <w:rsid w:val="006E3F16"/>
    <w:rsid w:val="006E418F"/>
    <w:rsid w:val="006E49BF"/>
    <w:rsid w:val="006E4C27"/>
    <w:rsid w:val="006E502E"/>
    <w:rsid w:val="006E5861"/>
    <w:rsid w:val="006E5872"/>
    <w:rsid w:val="006E5B0E"/>
    <w:rsid w:val="006E5C03"/>
    <w:rsid w:val="006E6068"/>
    <w:rsid w:val="006E63EB"/>
    <w:rsid w:val="006E668A"/>
    <w:rsid w:val="006E69A9"/>
    <w:rsid w:val="006E74F5"/>
    <w:rsid w:val="006E7E63"/>
    <w:rsid w:val="006F0276"/>
    <w:rsid w:val="006F097F"/>
    <w:rsid w:val="006F0A08"/>
    <w:rsid w:val="006F0D7F"/>
    <w:rsid w:val="006F1422"/>
    <w:rsid w:val="006F16DA"/>
    <w:rsid w:val="006F1892"/>
    <w:rsid w:val="006F1BF1"/>
    <w:rsid w:val="006F1E7A"/>
    <w:rsid w:val="006F21E0"/>
    <w:rsid w:val="006F22A5"/>
    <w:rsid w:val="006F2855"/>
    <w:rsid w:val="006F29D9"/>
    <w:rsid w:val="006F3047"/>
    <w:rsid w:val="006F3859"/>
    <w:rsid w:val="006F3A2B"/>
    <w:rsid w:val="006F43FA"/>
    <w:rsid w:val="006F4858"/>
    <w:rsid w:val="006F4A81"/>
    <w:rsid w:val="006F590F"/>
    <w:rsid w:val="006F5A2A"/>
    <w:rsid w:val="006F5C40"/>
    <w:rsid w:val="006F607D"/>
    <w:rsid w:val="006F619C"/>
    <w:rsid w:val="006F61A1"/>
    <w:rsid w:val="006F6302"/>
    <w:rsid w:val="006F67E4"/>
    <w:rsid w:val="006F6B3F"/>
    <w:rsid w:val="006F6CDC"/>
    <w:rsid w:val="006F7899"/>
    <w:rsid w:val="006F789A"/>
    <w:rsid w:val="0070024E"/>
    <w:rsid w:val="007003F2"/>
    <w:rsid w:val="007005C4"/>
    <w:rsid w:val="007007C9"/>
    <w:rsid w:val="00700872"/>
    <w:rsid w:val="00701530"/>
    <w:rsid w:val="00701719"/>
    <w:rsid w:val="00701AE8"/>
    <w:rsid w:val="00702074"/>
    <w:rsid w:val="0070267D"/>
    <w:rsid w:val="007029E1"/>
    <w:rsid w:val="00702B20"/>
    <w:rsid w:val="00702D6F"/>
    <w:rsid w:val="00702D82"/>
    <w:rsid w:val="00703272"/>
    <w:rsid w:val="0070327A"/>
    <w:rsid w:val="0070377C"/>
    <w:rsid w:val="007038AB"/>
    <w:rsid w:val="00703B63"/>
    <w:rsid w:val="00704475"/>
    <w:rsid w:val="00705298"/>
    <w:rsid w:val="00705422"/>
    <w:rsid w:val="00705977"/>
    <w:rsid w:val="00705C40"/>
    <w:rsid w:val="00705D93"/>
    <w:rsid w:val="00705E4B"/>
    <w:rsid w:val="00705F08"/>
    <w:rsid w:val="007060D2"/>
    <w:rsid w:val="00706190"/>
    <w:rsid w:val="00706547"/>
    <w:rsid w:val="00706879"/>
    <w:rsid w:val="0070697F"/>
    <w:rsid w:val="00706B02"/>
    <w:rsid w:val="007070B1"/>
    <w:rsid w:val="007073B7"/>
    <w:rsid w:val="00707D42"/>
    <w:rsid w:val="00707EE0"/>
    <w:rsid w:val="00707EFA"/>
    <w:rsid w:val="00710109"/>
    <w:rsid w:val="007105A5"/>
    <w:rsid w:val="00710747"/>
    <w:rsid w:val="007107C1"/>
    <w:rsid w:val="007108A2"/>
    <w:rsid w:val="00711399"/>
    <w:rsid w:val="00711493"/>
    <w:rsid w:val="00711C69"/>
    <w:rsid w:val="0071254B"/>
    <w:rsid w:val="00712BAB"/>
    <w:rsid w:val="00712BBB"/>
    <w:rsid w:val="00713239"/>
    <w:rsid w:val="0071482A"/>
    <w:rsid w:val="0071487E"/>
    <w:rsid w:val="007149C5"/>
    <w:rsid w:val="00714F54"/>
    <w:rsid w:val="007154C9"/>
    <w:rsid w:val="00715709"/>
    <w:rsid w:val="007159E4"/>
    <w:rsid w:val="00715B92"/>
    <w:rsid w:val="00715DCE"/>
    <w:rsid w:val="00715F3A"/>
    <w:rsid w:val="007160A0"/>
    <w:rsid w:val="007160C5"/>
    <w:rsid w:val="007160C9"/>
    <w:rsid w:val="0071618B"/>
    <w:rsid w:val="007162EC"/>
    <w:rsid w:val="00716484"/>
    <w:rsid w:val="00716667"/>
    <w:rsid w:val="007166B1"/>
    <w:rsid w:val="00716974"/>
    <w:rsid w:val="00716E24"/>
    <w:rsid w:val="00717337"/>
    <w:rsid w:val="0071752B"/>
    <w:rsid w:val="007177BF"/>
    <w:rsid w:val="00717825"/>
    <w:rsid w:val="00717A6C"/>
    <w:rsid w:val="00717CF9"/>
    <w:rsid w:val="00717E89"/>
    <w:rsid w:val="0072012A"/>
    <w:rsid w:val="00720206"/>
    <w:rsid w:val="0072059B"/>
    <w:rsid w:val="0072078F"/>
    <w:rsid w:val="00720F3D"/>
    <w:rsid w:val="00721086"/>
    <w:rsid w:val="00721D7C"/>
    <w:rsid w:val="00722031"/>
    <w:rsid w:val="007221AF"/>
    <w:rsid w:val="00722392"/>
    <w:rsid w:val="00722480"/>
    <w:rsid w:val="00722923"/>
    <w:rsid w:val="00722B28"/>
    <w:rsid w:val="0072395D"/>
    <w:rsid w:val="00723D54"/>
    <w:rsid w:val="00724676"/>
    <w:rsid w:val="007249B9"/>
    <w:rsid w:val="00724B8C"/>
    <w:rsid w:val="00725035"/>
    <w:rsid w:val="00725591"/>
    <w:rsid w:val="007260A8"/>
    <w:rsid w:val="00726433"/>
    <w:rsid w:val="0072662A"/>
    <w:rsid w:val="0072664E"/>
    <w:rsid w:val="007267B9"/>
    <w:rsid w:val="00726BC9"/>
    <w:rsid w:val="007272F9"/>
    <w:rsid w:val="0072738B"/>
    <w:rsid w:val="007274BD"/>
    <w:rsid w:val="0072752D"/>
    <w:rsid w:val="0072757D"/>
    <w:rsid w:val="00727999"/>
    <w:rsid w:val="007279C8"/>
    <w:rsid w:val="00727CFF"/>
    <w:rsid w:val="0073001D"/>
    <w:rsid w:val="00730503"/>
    <w:rsid w:val="00730568"/>
    <w:rsid w:val="007305A8"/>
    <w:rsid w:val="00730CA5"/>
    <w:rsid w:val="00730DED"/>
    <w:rsid w:val="0073129F"/>
    <w:rsid w:val="00731CEB"/>
    <w:rsid w:val="00731DCB"/>
    <w:rsid w:val="0073265F"/>
    <w:rsid w:val="007330AD"/>
    <w:rsid w:val="00733DC8"/>
    <w:rsid w:val="00734597"/>
    <w:rsid w:val="007347AF"/>
    <w:rsid w:val="00734B28"/>
    <w:rsid w:val="00734B89"/>
    <w:rsid w:val="00734BFC"/>
    <w:rsid w:val="00734F82"/>
    <w:rsid w:val="00734F9A"/>
    <w:rsid w:val="00735347"/>
    <w:rsid w:val="00735606"/>
    <w:rsid w:val="007357A8"/>
    <w:rsid w:val="00735947"/>
    <w:rsid w:val="00735AA9"/>
    <w:rsid w:val="00735BAC"/>
    <w:rsid w:val="00735BD6"/>
    <w:rsid w:val="00735D7A"/>
    <w:rsid w:val="00735ECF"/>
    <w:rsid w:val="007361CA"/>
    <w:rsid w:val="007363B6"/>
    <w:rsid w:val="00736616"/>
    <w:rsid w:val="00736EFD"/>
    <w:rsid w:val="00737011"/>
    <w:rsid w:val="00737797"/>
    <w:rsid w:val="00737E49"/>
    <w:rsid w:val="00740086"/>
    <w:rsid w:val="007400EE"/>
    <w:rsid w:val="0074012C"/>
    <w:rsid w:val="0074016B"/>
    <w:rsid w:val="0074019A"/>
    <w:rsid w:val="007405F6"/>
    <w:rsid w:val="00741008"/>
    <w:rsid w:val="007410B6"/>
    <w:rsid w:val="00741730"/>
    <w:rsid w:val="0074197A"/>
    <w:rsid w:val="00741A88"/>
    <w:rsid w:val="00741D25"/>
    <w:rsid w:val="00741D5C"/>
    <w:rsid w:val="00742838"/>
    <w:rsid w:val="00742B16"/>
    <w:rsid w:val="00742BB9"/>
    <w:rsid w:val="00742C00"/>
    <w:rsid w:val="00742C31"/>
    <w:rsid w:val="007430DB"/>
    <w:rsid w:val="0074326D"/>
    <w:rsid w:val="007432F2"/>
    <w:rsid w:val="007433BD"/>
    <w:rsid w:val="007433CE"/>
    <w:rsid w:val="007433EB"/>
    <w:rsid w:val="007446F3"/>
    <w:rsid w:val="0074472A"/>
    <w:rsid w:val="00744FD8"/>
    <w:rsid w:val="00745BF9"/>
    <w:rsid w:val="00745E86"/>
    <w:rsid w:val="00746385"/>
    <w:rsid w:val="0074681F"/>
    <w:rsid w:val="00746B09"/>
    <w:rsid w:val="00746E71"/>
    <w:rsid w:val="00746FF0"/>
    <w:rsid w:val="00747275"/>
    <w:rsid w:val="00747363"/>
    <w:rsid w:val="00747E68"/>
    <w:rsid w:val="00747FD8"/>
    <w:rsid w:val="0075023E"/>
    <w:rsid w:val="007504F2"/>
    <w:rsid w:val="00750648"/>
    <w:rsid w:val="007514B4"/>
    <w:rsid w:val="00751CEF"/>
    <w:rsid w:val="00752192"/>
    <w:rsid w:val="0075228E"/>
    <w:rsid w:val="00752532"/>
    <w:rsid w:val="0075267C"/>
    <w:rsid w:val="00752A7C"/>
    <w:rsid w:val="00752C4B"/>
    <w:rsid w:val="00752CBA"/>
    <w:rsid w:val="00752D6E"/>
    <w:rsid w:val="007530BA"/>
    <w:rsid w:val="00753443"/>
    <w:rsid w:val="007535D8"/>
    <w:rsid w:val="007535FB"/>
    <w:rsid w:val="00753749"/>
    <w:rsid w:val="00753780"/>
    <w:rsid w:val="00753B92"/>
    <w:rsid w:val="007540E4"/>
    <w:rsid w:val="0075414F"/>
    <w:rsid w:val="007544E1"/>
    <w:rsid w:val="00754ED4"/>
    <w:rsid w:val="00754EE7"/>
    <w:rsid w:val="00755AF7"/>
    <w:rsid w:val="00755DB8"/>
    <w:rsid w:val="00755DF2"/>
    <w:rsid w:val="0075629C"/>
    <w:rsid w:val="007565D0"/>
    <w:rsid w:val="00756FDE"/>
    <w:rsid w:val="00757048"/>
    <w:rsid w:val="0075746B"/>
    <w:rsid w:val="007579CE"/>
    <w:rsid w:val="00757DC5"/>
    <w:rsid w:val="00757FDE"/>
    <w:rsid w:val="00760869"/>
    <w:rsid w:val="007610EE"/>
    <w:rsid w:val="00761329"/>
    <w:rsid w:val="00761532"/>
    <w:rsid w:val="00761541"/>
    <w:rsid w:val="007619D8"/>
    <w:rsid w:val="00761CBD"/>
    <w:rsid w:val="00761DF6"/>
    <w:rsid w:val="00761E00"/>
    <w:rsid w:val="00762100"/>
    <w:rsid w:val="00762D75"/>
    <w:rsid w:val="00762ED3"/>
    <w:rsid w:val="00762F67"/>
    <w:rsid w:val="00763874"/>
    <w:rsid w:val="00763AD5"/>
    <w:rsid w:val="00763C28"/>
    <w:rsid w:val="00763FE9"/>
    <w:rsid w:val="0076513F"/>
    <w:rsid w:val="007654FA"/>
    <w:rsid w:val="00765662"/>
    <w:rsid w:val="00765B4B"/>
    <w:rsid w:val="00766359"/>
    <w:rsid w:val="007664FC"/>
    <w:rsid w:val="00766A3A"/>
    <w:rsid w:val="00766DE7"/>
    <w:rsid w:val="00766EA4"/>
    <w:rsid w:val="00767212"/>
    <w:rsid w:val="00767285"/>
    <w:rsid w:val="007673AC"/>
    <w:rsid w:val="0076778C"/>
    <w:rsid w:val="00767EFA"/>
    <w:rsid w:val="00770330"/>
    <w:rsid w:val="00770478"/>
    <w:rsid w:val="00770599"/>
    <w:rsid w:val="00770F70"/>
    <w:rsid w:val="00771FC4"/>
    <w:rsid w:val="00772585"/>
    <w:rsid w:val="0077266A"/>
    <w:rsid w:val="0077295D"/>
    <w:rsid w:val="00772E58"/>
    <w:rsid w:val="00773009"/>
    <w:rsid w:val="00773033"/>
    <w:rsid w:val="007736AB"/>
    <w:rsid w:val="007739B4"/>
    <w:rsid w:val="00773F46"/>
    <w:rsid w:val="00773FE4"/>
    <w:rsid w:val="00774946"/>
    <w:rsid w:val="007757FE"/>
    <w:rsid w:val="00776FB5"/>
    <w:rsid w:val="007774A5"/>
    <w:rsid w:val="00777623"/>
    <w:rsid w:val="0077777B"/>
    <w:rsid w:val="007777CB"/>
    <w:rsid w:val="00777EC4"/>
    <w:rsid w:val="00780BB6"/>
    <w:rsid w:val="00780C8C"/>
    <w:rsid w:val="00780D42"/>
    <w:rsid w:val="00780F29"/>
    <w:rsid w:val="0078151F"/>
    <w:rsid w:val="007818BD"/>
    <w:rsid w:val="00781AEB"/>
    <w:rsid w:val="00781B6E"/>
    <w:rsid w:val="00781D5A"/>
    <w:rsid w:val="00781FEF"/>
    <w:rsid w:val="007822B7"/>
    <w:rsid w:val="007824E9"/>
    <w:rsid w:val="00782714"/>
    <w:rsid w:val="00782FC7"/>
    <w:rsid w:val="007835FB"/>
    <w:rsid w:val="00784253"/>
    <w:rsid w:val="00784507"/>
    <w:rsid w:val="00786848"/>
    <w:rsid w:val="00787767"/>
    <w:rsid w:val="007902F5"/>
    <w:rsid w:val="007907AB"/>
    <w:rsid w:val="00790BE0"/>
    <w:rsid w:val="007915A8"/>
    <w:rsid w:val="0079163F"/>
    <w:rsid w:val="007918A3"/>
    <w:rsid w:val="007918E8"/>
    <w:rsid w:val="00791BCB"/>
    <w:rsid w:val="00791F77"/>
    <w:rsid w:val="007935BD"/>
    <w:rsid w:val="007939E3"/>
    <w:rsid w:val="00793C24"/>
    <w:rsid w:val="00793E25"/>
    <w:rsid w:val="00793E98"/>
    <w:rsid w:val="0079426E"/>
    <w:rsid w:val="00794664"/>
    <w:rsid w:val="00794F71"/>
    <w:rsid w:val="00794F77"/>
    <w:rsid w:val="007951A9"/>
    <w:rsid w:val="007955B3"/>
    <w:rsid w:val="00795C11"/>
    <w:rsid w:val="007963BC"/>
    <w:rsid w:val="007976CC"/>
    <w:rsid w:val="007A01DA"/>
    <w:rsid w:val="007A0B5F"/>
    <w:rsid w:val="007A193F"/>
    <w:rsid w:val="007A1C68"/>
    <w:rsid w:val="007A1EA1"/>
    <w:rsid w:val="007A2555"/>
    <w:rsid w:val="007A260C"/>
    <w:rsid w:val="007A2C69"/>
    <w:rsid w:val="007A33F0"/>
    <w:rsid w:val="007A346F"/>
    <w:rsid w:val="007A3EA6"/>
    <w:rsid w:val="007A42D9"/>
    <w:rsid w:val="007A46A4"/>
    <w:rsid w:val="007A4CA5"/>
    <w:rsid w:val="007A5413"/>
    <w:rsid w:val="007A56E8"/>
    <w:rsid w:val="007A5764"/>
    <w:rsid w:val="007A5BD2"/>
    <w:rsid w:val="007A5DB5"/>
    <w:rsid w:val="007A5E47"/>
    <w:rsid w:val="007A6085"/>
    <w:rsid w:val="007A667D"/>
    <w:rsid w:val="007A6DC4"/>
    <w:rsid w:val="007A6EC0"/>
    <w:rsid w:val="007A7E23"/>
    <w:rsid w:val="007B0127"/>
    <w:rsid w:val="007B07EC"/>
    <w:rsid w:val="007B0A39"/>
    <w:rsid w:val="007B1303"/>
    <w:rsid w:val="007B155C"/>
    <w:rsid w:val="007B1AA9"/>
    <w:rsid w:val="007B1D54"/>
    <w:rsid w:val="007B1EA2"/>
    <w:rsid w:val="007B22AF"/>
    <w:rsid w:val="007B22E7"/>
    <w:rsid w:val="007B2AFC"/>
    <w:rsid w:val="007B2B50"/>
    <w:rsid w:val="007B2ED7"/>
    <w:rsid w:val="007B31FC"/>
    <w:rsid w:val="007B352C"/>
    <w:rsid w:val="007B44F5"/>
    <w:rsid w:val="007B47BA"/>
    <w:rsid w:val="007B4BED"/>
    <w:rsid w:val="007B4EDA"/>
    <w:rsid w:val="007B54EC"/>
    <w:rsid w:val="007B58E0"/>
    <w:rsid w:val="007B597E"/>
    <w:rsid w:val="007B5CDC"/>
    <w:rsid w:val="007B60F0"/>
    <w:rsid w:val="007B6500"/>
    <w:rsid w:val="007B6599"/>
    <w:rsid w:val="007B67D7"/>
    <w:rsid w:val="007B6A5C"/>
    <w:rsid w:val="007B6A90"/>
    <w:rsid w:val="007B70CE"/>
    <w:rsid w:val="007B7275"/>
    <w:rsid w:val="007B7503"/>
    <w:rsid w:val="007B7948"/>
    <w:rsid w:val="007B7B96"/>
    <w:rsid w:val="007B7E7B"/>
    <w:rsid w:val="007C012C"/>
    <w:rsid w:val="007C02D7"/>
    <w:rsid w:val="007C04A9"/>
    <w:rsid w:val="007C066B"/>
    <w:rsid w:val="007C08C7"/>
    <w:rsid w:val="007C0A5C"/>
    <w:rsid w:val="007C0E02"/>
    <w:rsid w:val="007C1001"/>
    <w:rsid w:val="007C1002"/>
    <w:rsid w:val="007C1317"/>
    <w:rsid w:val="007C145A"/>
    <w:rsid w:val="007C1DB6"/>
    <w:rsid w:val="007C2E19"/>
    <w:rsid w:val="007C2ED8"/>
    <w:rsid w:val="007C392D"/>
    <w:rsid w:val="007C397E"/>
    <w:rsid w:val="007C3D9D"/>
    <w:rsid w:val="007C3FAC"/>
    <w:rsid w:val="007C42BA"/>
    <w:rsid w:val="007C42CF"/>
    <w:rsid w:val="007C4AB3"/>
    <w:rsid w:val="007C507C"/>
    <w:rsid w:val="007C531B"/>
    <w:rsid w:val="007C57B0"/>
    <w:rsid w:val="007C57E8"/>
    <w:rsid w:val="007C5922"/>
    <w:rsid w:val="007C5A2F"/>
    <w:rsid w:val="007C5D55"/>
    <w:rsid w:val="007C5F55"/>
    <w:rsid w:val="007C6265"/>
    <w:rsid w:val="007C6362"/>
    <w:rsid w:val="007C66B5"/>
    <w:rsid w:val="007C70C6"/>
    <w:rsid w:val="007C71C1"/>
    <w:rsid w:val="007C7534"/>
    <w:rsid w:val="007C754F"/>
    <w:rsid w:val="007C768A"/>
    <w:rsid w:val="007C7890"/>
    <w:rsid w:val="007D021B"/>
    <w:rsid w:val="007D03C0"/>
    <w:rsid w:val="007D04B9"/>
    <w:rsid w:val="007D05D2"/>
    <w:rsid w:val="007D09D6"/>
    <w:rsid w:val="007D0A2C"/>
    <w:rsid w:val="007D10E6"/>
    <w:rsid w:val="007D1198"/>
    <w:rsid w:val="007D15C9"/>
    <w:rsid w:val="007D17C8"/>
    <w:rsid w:val="007D1F8A"/>
    <w:rsid w:val="007D2623"/>
    <w:rsid w:val="007D2E5F"/>
    <w:rsid w:val="007D2ED6"/>
    <w:rsid w:val="007D3882"/>
    <w:rsid w:val="007D3A0D"/>
    <w:rsid w:val="007D3BF7"/>
    <w:rsid w:val="007D3FC1"/>
    <w:rsid w:val="007D42CE"/>
    <w:rsid w:val="007D42E6"/>
    <w:rsid w:val="007D49F3"/>
    <w:rsid w:val="007D4A06"/>
    <w:rsid w:val="007D5476"/>
    <w:rsid w:val="007D5A57"/>
    <w:rsid w:val="007D5F74"/>
    <w:rsid w:val="007D6468"/>
    <w:rsid w:val="007D67EA"/>
    <w:rsid w:val="007E0583"/>
    <w:rsid w:val="007E06EB"/>
    <w:rsid w:val="007E0B68"/>
    <w:rsid w:val="007E0DB4"/>
    <w:rsid w:val="007E1C38"/>
    <w:rsid w:val="007E1E19"/>
    <w:rsid w:val="007E2036"/>
    <w:rsid w:val="007E2060"/>
    <w:rsid w:val="007E20F0"/>
    <w:rsid w:val="007E21C5"/>
    <w:rsid w:val="007E33D0"/>
    <w:rsid w:val="007E35B7"/>
    <w:rsid w:val="007E3EE8"/>
    <w:rsid w:val="007E4010"/>
    <w:rsid w:val="007E46AC"/>
    <w:rsid w:val="007E48BD"/>
    <w:rsid w:val="007E4BDE"/>
    <w:rsid w:val="007E4D9B"/>
    <w:rsid w:val="007E54ED"/>
    <w:rsid w:val="007E5C7F"/>
    <w:rsid w:val="007E6298"/>
    <w:rsid w:val="007E6734"/>
    <w:rsid w:val="007E6D7B"/>
    <w:rsid w:val="007E6DAE"/>
    <w:rsid w:val="007E6E8F"/>
    <w:rsid w:val="007E6ECA"/>
    <w:rsid w:val="007E706D"/>
    <w:rsid w:val="007E7274"/>
    <w:rsid w:val="007E7FFD"/>
    <w:rsid w:val="007F0382"/>
    <w:rsid w:val="007F03AE"/>
    <w:rsid w:val="007F0D1A"/>
    <w:rsid w:val="007F0D56"/>
    <w:rsid w:val="007F12A1"/>
    <w:rsid w:val="007F1589"/>
    <w:rsid w:val="007F17B9"/>
    <w:rsid w:val="007F1ADD"/>
    <w:rsid w:val="007F2291"/>
    <w:rsid w:val="007F2448"/>
    <w:rsid w:val="007F2518"/>
    <w:rsid w:val="007F2B49"/>
    <w:rsid w:val="007F3072"/>
    <w:rsid w:val="007F311B"/>
    <w:rsid w:val="007F348D"/>
    <w:rsid w:val="007F4732"/>
    <w:rsid w:val="007F4958"/>
    <w:rsid w:val="007F4AC9"/>
    <w:rsid w:val="007F4C93"/>
    <w:rsid w:val="007F4EBF"/>
    <w:rsid w:val="007F531C"/>
    <w:rsid w:val="007F5493"/>
    <w:rsid w:val="007F565B"/>
    <w:rsid w:val="007F5EA3"/>
    <w:rsid w:val="007F5EE5"/>
    <w:rsid w:val="007F5F67"/>
    <w:rsid w:val="007F5FB8"/>
    <w:rsid w:val="007F63C6"/>
    <w:rsid w:val="007F6B07"/>
    <w:rsid w:val="007F716A"/>
    <w:rsid w:val="007F7296"/>
    <w:rsid w:val="00800059"/>
    <w:rsid w:val="008002F5"/>
    <w:rsid w:val="008004A4"/>
    <w:rsid w:val="008006B1"/>
    <w:rsid w:val="00800754"/>
    <w:rsid w:val="00800C68"/>
    <w:rsid w:val="00800EE0"/>
    <w:rsid w:val="00800F35"/>
    <w:rsid w:val="008012BC"/>
    <w:rsid w:val="0080165C"/>
    <w:rsid w:val="00801EA7"/>
    <w:rsid w:val="00801F1A"/>
    <w:rsid w:val="00801F61"/>
    <w:rsid w:val="008021DB"/>
    <w:rsid w:val="00802565"/>
    <w:rsid w:val="00802595"/>
    <w:rsid w:val="00802737"/>
    <w:rsid w:val="0080284A"/>
    <w:rsid w:val="00802879"/>
    <w:rsid w:val="00802D6E"/>
    <w:rsid w:val="00802D79"/>
    <w:rsid w:val="00802E3F"/>
    <w:rsid w:val="00802F8B"/>
    <w:rsid w:val="00803073"/>
    <w:rsid w:val="008037BB"/>
    <w:rsid w:val="00803EA9"/>
    <w:rsid w:val="00803FF2"/>
    <w:rsid w:val="008041B4"/>
    <w:rsid w:val="0080470A"/>
    <w:rsid w:val="00804885"/>
    <w:rsid w:val="00805517"/>
    <w:rsid w:val="008056B7"/>
    <w:rsid w:val="00805BDC"/>
    <w:rsid w:val="00805C54"/>
    <w:rsid w:val="008060BE"/>
    <w:rsid w:val="00806276"/>
    <w:rsid w:val="008068DD"/>
    <w:rsid w:val="0080722E"/>
    <w:rsid w:val="00807726"/>
    <w:rsid w:val="00807ABF"/>
    <w:rsid w:val="00810055"/>
    <w:rsid w:val="0081089A"/>
    <w:rsid w:val="008109B9"/>
    <w:rsid w:val="00810BB7"/>
    <w:rsid w:val="0081102F"/>
    <w:rsid w:val="00811E09"/>
    <w:rsid w:val="00811EDC"/>
    <w:rsid w:val="00812809"/>
    <w:rsid w:val="00812B45"/>
    <w:rsid w:val="00812BA6"/>
    <w:rsid w:val="00813394"/>
    <w:rsid w:val="00813561"/>
    <w:rsid w:val="0081375E"/>
    <w:rsid w:val="00813803"/>
    <w:rsid w:val="00813D75"/>
    <w:rsid w:val="00813DC6"/>
    <w:rsid w:val="00815636"/>
    <w:rsid w:val="00815F25"/>
    <w:rsid w:val="008161BA"/>
    <w:rsid w:val="00816662"/>
    <w:rsid w:val="00816728"/>
    <w:rsid w:val="00816965"/>
    <w:rsid w:val="00816AC7"/>
    <w:rsid w:val="00816C73"/>
    <w:rsid w:val="00816D8D"/>
    <w:rsid w:val="008172D2"/>
    <w:rsid w:val="00817723"/>
    <w:rsid w:val="0082037B"/>
    <w:rsid w:val="0082064D"/>
    <w:rsid w:val="00820A02"/>
    <w:rsid w:val="00820C8A"/>
    <w:rsid w:val="00820D9E"/>
    <w:rsid w:val="00820DE0"/>
    <w:rsid w:val="00820E08"/>
    <w:rsid w:val="00821128"/>
    <w:rsid w:val="00821294"/>
    <w:rsid w:val="00821950"/>
    <w:rsid w:val="00821AA0"/>
    <w:rsid w:val="00821BCD"/>
    <w:rsid w:val="00821D54"/>
    <w:rsid w:val="00821D64"/>
    <w:rsid w:val="008224D0"/>
    <w:rsid w:val="008224F7"/>
    <w:rsid w:val="00822CBF"/>
    <w:rsid w:val="00822E55"/>
    <w:rsid w:val="00822F91"/>
    <w:rsid w:val="00823163"/>
    <w:rsid w:val="00823B83"/>
    <w:rsid w:val="00823CB1"/>
    <w:rsid w:val="00823D78"/>
    <w:rsid w:val="00823DB3"/>
    <w:rsid w:val="00823DFE"/>
    <w:rsid w:val="00824CC7"/>
    <w:rsid w:val="00825071"/>
    <w:rsid w:val="008256D1"/>
    <w:rsid w:val="00825730"/>
    <w:rsid w:val="00826488"/>
    <w:rsid w:val="008266A9"/>
    <w:rsid w:val="00826711"/>
    <w:rsid w:val="00826729"/>
    <w:rsid w:val="00826A3E"/>
    <w:rsid w:val="00826B42"/>
    <w:rsid w:val="00826BDA"/>
    <w:rsid w:val="00826E77"/>
    <w:rsid w:val="0082709B"/>
    <w:rsid w:val="008270B2"/>
    <w:rsid w:val="00830074"/>
    <w:rsid w:val="008305DB"/>
    <w:rsid w:val="0083073F"/>
    <w:rsid w:val="0083078F"/>
    <w:rsid w:val="0083085E"/>
    <w:rsid w:val="00830986"/>
    <w:rsid w:val="00830CAC"/>
    <w:rsid w:val="00831664"/>
    <w:rsid w:val="00831767"/>
    <w:rsid w:val="00831D98"/>
    <w:rsid w:val="00832043"/>
    <w:rsid w:val="00832D73"/>
    <w:rsid w:val="00833E04"/>
    <w:rsid w:val="00834126"/>
    <w:rsid w:val="00834ACB"/>
    <w:rsid w:val="00834B9F"/>
    <w:rsid w:val="00834D27"/>
    <w:rsid w:val="00835100"/>
    <w:rsid w:val="0083557C"/>
    <w:rsid w:val="00835E25"/>
    <w:rsid w:val="008363A4"/>
    <w:rsid w:val="008366F2"/>
    <w:rsid w:val="008368DB"/>
    <w:rsid w:val="00836D94"/>
    <w:rsid w:val="00837D8C"/>
    <w:rsid w:val="0084089D"/>
    <w:rsid w:val="00840D67"/>
    <w:rsid w:val="00841448"/>
    <w:rsid w:val="00841CF5"/>
    <w:rsid w:val="00841D5D"/>
    <w:rsid w:val="008421CA"/>
    <w:rsid w:val="008421EC"/>
    <w:rsid w:val="00842812"/>
    <w:rsid w:val="0084293A"/>
    <w:rsid w:val="00842B89"/>
    <w:rsid w:val="00842CA0"/>
    <w:rsid w:val="00842FD4"/>
    <w:rsid w:val="008438EF"/>
    <w:rsid w:val="00843BDD"/>
    <w:rsid w:val="00843DD5"/>
    <w:rsid w:val="00843DE0"/>
    <w:rsid w:val="00843F5B"/>
    <w:rsid w:val="008450FE"/>
    <w:rsid w:val="00845369"/>
    <w:rsid w:val="008453E0"/>
    <w:rsid w:val="008455A0"/>
    <w:rsid w:val="00845D45"/>
    <w:rsid w:val="00846434"/>
    <w:rsid w:val="00846B76"/>
    <w:rsid w:val="00846DF7"/>
    <w:rsid w:val="008470A3"/>
    <w:rsid w:val="0084748F"/>
    <w:rsid w:val="00847ADC"/>
    <w:rsid w:val="008505BB"/>
    <w:rsid w:val="0085061C"/>
    <w:rsid w:val="008507CD"/>
    <w:rsid w:val="00851001"/>
    <w:rsid w:val="00851224"/>
    <w:rsid w:val="00851339"/>
    <w:rsid w:val="0085191A"/>
    <w:rsid w:val="00851F24"/>
    <w:rsid w:val="008521A9"/>
    <w:rsid w:val="00852282"/>
    <w:rsid w:val="00852506"/>
    <w:rsid w:val="008527C5"/>
    <w:rsid w:val="00852A1E"/>
    <w:rsid w:val="00852B21"/>
    <w:rsid w:val="008530F3"/>
    <w:rsid w:val="008531A3"/>
    <w:rsid w:val="0085346F"/>
    <w:rsid w:val="00853C87"/>
    <w:rsid w:val="00853CC2"/>
    <w:rsid w:val="00854624"/>
    <w:rsid w:val="00855697"/>
    <w:rsid w:val="008561FD"/>
    <w:rsid w:val="0085670E"/>
    <w:rsid w:val="00856DE6"/>
    <w:rsid w:val="008574EC"/>
    <w:rsid w:val="00857DA2"/>
    <w:rsid w:val="00860827"/>
    <w:rsid w:val="008608A2"/>
    <w:rsid w:val="0086126A"/>
    <w:rsid w:val="008615B5"/>
    <w:rsid w:val="00861C7B"/>
    <w:rsid w:val="00861D28"/>
    <w:rsid w:val="00861F49"/>
    <w:rsid w:val="0086248C"/>
    <w:rsid w:val="008628BC"/>
    <w:rsid w:val="00862C9D"/>
    <w:rsid w:val="00863282"/>
    <w:rsid w:val="008632DD"/>
    <w:rsid w:val="0086335F"/>
    <w:rsid w:val="0086360A"/>
    <w:rsid w:val="00863AA7"/>
    <w:rsid w:val="00863F74"/>
    <w:rsid w:val="0086509A"/>
    <w:rsid w:val="0086515C"/>
    <w:rsid w:val="0086521F"/>
    <w:rsid w:val="0086570D"/>
    <w:rsid w:val="0086619A"/>
    <w:rsid w:val="00866DA9"/>
    <w:rsid w:val="00866F7D"/>
    <w:rsid w:val="00866FD7"/>
    <w:rsid w:val="008675B8"/>
    <w:rsid w:val="0086765E"/>
    <w:rsid w:val="008677EC"/>
    <w:rsid w:val="00870265"/>
    <w:rsid w:val="008705C4"/>
    <w:rsid w:val="00871650"/>
    <w:rsid w:val="008718F6"/>
    <w:rsid w:val="00871B34"/>
    <w:rsid w:val="00871E83"/>
    <w:rsid w:val="00872057"/>
    <w:rsid w:val="00872213"/>
    <w:rsid w:val="0087283D"/>
    <w:rsid w:val="008729D1"/>
    <w:rsid w:val="00872C2D"/>
    <w:rsid w:val="00872F91"/>
    <w:rsid w:val="0087331A"/>
    <w:rsid w:val="0087355B"/>
    <w:rsid w:val="008737C9"/>
    <w:rsid w:val="008737CC"/>
    <w:rsid w:val="008737F6"/>
    <w:rsid w:val="0087383F"/>
    <w:rsid w:val="00873C78"/>
    <w:rsid w:val="00873C92"/>
    <w:rsid w:val="00873F73"/>
    <w:rsid w:val="00874253"/>
    <w:rsid w:val="008743DB"/>
    <w:rsid w:val="00874401"/>
    <w:rsid w:val="00874483"/>
    <w:rsid w:val="008744D2"/>
    <w:rsid w:val="00874B38"/>
    <w:rsid w:val="008752CF"/>
    <w:rsid w:val="008756FA"/>
    <w:rsid w:val="00875C7A"/>
    <w:rsid w:val="00875DFC"/>
    <w:rsid w:val="00876991"/>
    <w:rsid w:val="008769A1"/>
    <w:rsid w:val="00876F14"/>
    <w:rsid w:val="008770D9"/>
    <w:rsid w:val="008772D9"/>
    <w:rsid w:val="00877925"/>
    <w:rsid w:val="00877F74"/>
    <w:rsid w:val="00880D1D"/>
    <w:rsid w:val="00881B34"/>
    <w:rsid w:val="00881BC3"/>
    <w:rsid w:val="00881C1E"/>
    <w:rsid w:val="0088260B"/>
    <w:rsid w:val="00882676"/>
    <w:rsid w:val="00882921"/>
    <w:rsid w:val="00882A43"/>
    <w:rsid w:val="00882C6E"/>
    <w:rsid w:val="00882F39"/>
    <w:rsid w:val="00883817"/>
    <w:rsid w:val="0088387A"/>
    <w:rsid w:val="00883906"/>
    <w:rsid w:val="00883ED8"/>
    <w:rsid w:val="00883EE2"/>
    <w:rsid w:val="00883F1F"/>
    <w:rsid w:val="00884CB2"/>
    <w:rsid w:val="00885625"/>
    <w:rsid w:val="00885BA0"/>
    <w:rsid w:val="00885E16"/>
    <w:rsid w:val="00885E78"/>
    <w:rsid w:val="00886873"/>
    <w:rsid w:val="0088693A"/>
    <w:rsid w:val="008869CA"/>
    <w:rsid w:val="00886C9D"/>
    <w:rsid w:val="00886CB7"/>
    <w:rsid w:val="00886D19"/>
    <w:rsid w:val="00886E7B"/>
    <w:rsid w:val="00886FE4"/>
    <w:rsid w:val="008877E8"/>
    <w:rsid w:val="008879D1"/>
    <w:rsid w:val="00887C41"/>
    <w:rsid w:val="00887F1E"/>
    <w:rsid w:val="008903E8"/>
    <w:rsid w:val="00890539"/>
    <w:rsid w:val="00890AEE"/>
    <w:rsid w:val="00890C1D"/>
    <w:rsid w:val="00891E4B"/>
    <w:rsid w:val="0089218F"/>
    <w:rsid w:val="008921A7"/>
    <w:rsid w:val="00892525"/>
    <w:rsid w:val="00892C97"/>
    <w:rsid w:val="00893072"/>
    <w:rsid w:val="00893350"/>
    <w:rsid w:val="00893CA2"/>
    <w:rsid w:val="00893D0F"/>
    <w:rsid w:val="00893D18"/>
    <w:rsid w:val="008940BB"/>
    <w:rsid w:val="0089420E"/>
    <w:rsid w:val="008947B2"/>
    <w:rsid w:val="008949A9"/>
    <w:rsid w:val="00895081"/>
    <w:rsid w:val="008950B6"/>
    <w:rsid w:val="00895D84"/>
    <w:rsid w:val="008961F8"/>
    <w:rsid w:val="0089664B"/>
    <w:rsid w:val="0089730E"/>
    <w:rsid w:val="00897B68"/>
    <w:rsid w:val="008A03E5"/>
    <w:rsid w:val="008A0438"/>
    <w:rsid w:val="008A05BB"/>
    <w:rsid w:val="008A0897"/>
    <w:rsid w:val="008A0E43"/>
    <w:rsid w:val="008A0F50"/>
    <w:rsid w:val="008A161A"/>
    <w:rsid w:val="008A1639"/>
    <w:rsid w:val="008A169A"/>
    <w:rsid w:val="008A184C"/>
    <w:rsid w:val="008A1AC1"/>
    <w:rsid w:val="008A1C73"/>
    <w:rsid w:val="008A1EF8"/>
    <w:rsid w:val="008A22CF"/>
    <w:rsid w:val="008A238E"/>
    <w:rsid w:val="008A2FD5"/>
    <w:rsid w:val="008A3248"/>
    <w:rsid w:val="008A37BA"/>
    <w:rsid w:val="008A3BC4"/>
    <w:rsid w:val="008A3C86"/>
    <w:rsid w:val="008A4047"/>
    <w:rsid w:val="008A408A"/>
    <w:rsid w:val="008A4240"/>
    <w:rsid w:val="008A446F"/>
    <w:rsid w:val="008A469D"/>
    <w:rsid w:val="008A4EA2"/>
    <w:rsid w:val="008A5135"/>
    <w:rsid w:val="008A5433"/>
    <w:rsid w:val="008A5F55"/>
    <w:rsid w:val="008A6347"/>
    <w:rsid w:val="008A639E"/>
    <w:rsid w:val="008A64FF"/>
    <w:rsid w:val="008A6955"/>
    <w:rsid w:val="008A7096"/>
    <w:rsid w:val="008A71C0"/>
    <w:rsid w:val="008A7255"/>
    <w:rsid w:val="008A759B"/>
    <w:rsid w:val="008A7830"/>
    <w:rsid w:val="008B0037"/>
    <w:rsid w:val="008B03C0"/>
    <w:rsid w:val="008B0449"/>
    <w:rsid w:val="008B1056"/>
    <w:rsid w:val="008B12D9"/>
    <w:rsid w:val="008B1BD9"/>
    <w:rsid w:val="008B1D1B"/>
    <w:rsid w:val="008B1DDF"/>
    <w:rsid w:val="008B26ED"/>
    <w:rsid w:val="008B27F4"/>
    <w:rsid w:val="008B286F"/>
    <w:rsid w:val="008B2C92"/>
    <w:rsid w:val="008B2CBE"/>
    <w:rsid w:val="008B3742"/>
    <w:rsid w:val="008B3767"/>
    <w:rsid w:val="008B386B"/>
    <w:rsid w:val="008B39FC"/>
    <w:rsid w:val="008B4529"/>
    <w:rsid w:val="008B4948"/>
    <w:rsid w:val="008B4AD4"/>
    <w:rsid w:val="008B4DD2"/>
    <w:rsid w:val="008B5570"/>
    <w:rsid w:val="008B5A9B"/>
    <w:rsid w:val="008B5AF3"/>
    <w:rsid w:val="008B6011"/>
    <w:rsid w:val="008B6ADE"/>
    <w:rsid w:val="008B6E28"/>
    <w:rsid w:val="008B71DB"/>
    <w:rsid w:val="008C043B"/>
    <w:rsid w:val="008C04E7"/>
    <w:rsid w:val="008C0528"/>
    <w:rsid w:val="008C056F"/>
    <w:rsid w:val="008C06D9"/>
    <w:rsid w:val="008C0864"/>
    <w:rsid w:val="008C0DF8"/>
    <w:rsid w:val="008C0F59"/>
    <w:rsid w:val="008C0F5D"/>
    <w:rsid w:val="008C102A"/>
    <w:rsid w:val="008C13A6"/>
    <w:rsid w:val="008C1902"/>
    <w:rsid w:val="008C1F94"/>
    <w:rsid w:val="008C250D"/>
    <w:rsid w:val="008C264C"/>
    <w:rsid w:val="008C28BF"/>
    <w:rsid w:val="008C308C"/>
    <w:rsid w:val="008C3488"/>
    <w:rsid w:val="008C3913"/>
    <w:rsid w:val="008C399D"/>
    <w:rsid w:val="008C3D47"/>
    <w:rsid w:val="008C4507"/>
    <w:rsid w:val="008C4835"/>
    <w:rsid w:val="008C4B4D"/>
    <w:rsid w:val="008C4F75"/>
    <w:rsid w:val="008C55B8"/>
    <w:rsid w:val="008C59DD"/>
    <w:rsid w:val="008C5A81"/>
    <w:rsid w:val="008C609E"/>
    <w:rsid w:val="008C61D8"/>
    <w:rsid w:val="008C637C"/>
    <w:rsid w:val="008C63FF"/>
    <w:rsid w:val="008C65D4"/>
    <w:rsid w:val="008C6E70"/>
    <w:rsid w:val="008D017E"/>
    <w:rsid w:val="008D02F0"/>
    <w:rsid w:val="008D0944"/>
    <w:rsid w:val="008D1431"/>
    <w:rsid w:val="008D1D15"/>
    <w:rsid w:val="008D21F1"/>
    <w:rsid w:val="008D250C"/>
    <w:rsid w:val="008D2DD9"/>
    <w:rsid w:val="008D3062"/>
    <w:rsid w:val="008D3151"/>
    <w:rsid w:val="008D3614"/>
    <w:rsid w:val="008D39FE"/>
    <w:rsid w:val="008D3A40"/>
    <w:rsid w:val="008D3AF3"/>
    <w:rsid w:val="008D3F42"/>
    <w:rsid w:val="008D4076"/>
    <w:rsid w:val="008D430A"/>
    <w:rsid w:val="008D4483"/>
    <w:rsid w:val="008D4557"/>
    <w:rsid w:val="008D4642"/>
    <w:rsid w:val="008D49DF"/>
    <w:rsid w:val="008D4B36"/>
    <w:rsid w:val="008D4F7A"/>
    <w:rsid w:val="008D57EE"/>
    <w:rsid w:val="008D5D4C"/>
    <w:rsid w:val="008D61E4"/>
    <w:rsid w:val="008D6A04"/>
    <w:rsid w:val="008D6DF5"/>
    <w:rsid w:val="008D72ED"/>
    <w:rsid w:val="008E06B2"/>
    <w:rsid w:val="008E0DFD"/>
    <w:rsid w:val="008E1B69"/>
    <w:rsid w:val="008E2481"/>
    <w:rsid w:val="008E2668"/>
    <w:rsid w:val="008E28DC"/>
    <w:rsid w:val="008E2CA8"/>
    <w:rsid w:val="008E2CE9"/>
    <w:rsid w:val="008E2F3C"/>
    <w:rsid w:val="008E328E"/>
    <w:rsid w:val="008E3B91"/>
    <w:rsid w:val="008E3DDA"/>
    <w:rsid w:val="008E3F77"/>
    <w:rsid w:val="008E41D1"/>
    <w:rsid w:val="008E433E"/>
    <w:rsid w:val="008E4A21"/>
    <w:rsid w:val="008E4FCB"/>
    <w:rsid w:val="008E5171"/>
    <w:rsid w:val="008E52D8"/>
    <w:rsid w:val="008E52EA"/>
    <w:rsid w:val="008E5471"/>
    <w:rsid w:val="008E58EF"/>
    <w:rsid w:val="008E5E7E"/>
    <w:rsid w:val="008E62D6"/>
    <w:rsid w:val="008E67EE"/>
    <w:rsid w:val="008E6B9F"/>
    <w:rsid w:val="008E6D35"/>
    <w:rsid w:val="008E7029"/>
    <w:rsid w:val="008E734F"/>
    <w:rsid w:val="008F01A0"/>
    <w:rsid w:val="008F0292"/>
    <w:rsid w:val="008F0BE4"/>
    <w:rsid w:val="008F116A"/>
    <w:rsid w:val="008F1ACA"/>
    <w:rsid w:val="008F1DCF"/>
    <w:rsid w:val="008F1E02"/>
    <w:rsid w:val="008F1F01"/>
    <w:rsid w:val="008F2443"/>
    <w:rsid w:val="008F2695"/>
    <w:rsid w:val="008F27A8"/>
    <w:rsid w:val="008F2820"/>
    <w:rsid w:val="008F3C5B"/>
    <w:rsid w:val="008F3CAC"/>
    <w:rsid w:val="008F3CB4"/>
    <w:rsid w:val="008F3F56"/>
    <w:rsid w:val="008F47A3"/>
    <w:rsid w:val="008F4D70"/>
    <w:rsid w:val="008F4EE3"/>
    <w:rsid w:val="008F5255"/>
    <w:rsid w:val="008F5DF6"/>
    <w:rsid w:val="008F5F59"/>
    <w:rsid w:val="008F5FEF"/>
    <w:rsid w:val="008F60DB"/>
    <w:rsid w:val="008F6287"/>
    <w:rsid w:val="008F629E"/>
    <w:rsid w:val="008F64AB"/>
    <w:rsid w:val="008F6755"/>
    <w:rsid w:val="008F6BD4"/>
    <w:rsid w:val="008F6DB0"/>
    <w:rsid w:val="008F6F78"/>
    <w:rsid w:val="008F70BB"/>
    <w:rsid w:val="008F70F2"/>
    <w:rsid w:val="008F7164"/>
    <w:rsid w:val="008F72C2"/>
    <w:rsid w:val="008F758C"/>
    <w:rsid w:val="008F7592"/>
    <w:rsid w:val="008F76A7"/>
    <w:rsid w:val="008F7860"/>
    <w:rsid w:val="008F7E12"/>
    <w:rsid w:val="008F7FDF"/>
    <w:rsid w:val="00900132"/>
    <w:rsid w:val="0090014E"/>
    <w:rsid w:val="0090028E"/>
    <w:rsid w:val="00900EDB"/>
    <w:rsid w:val="009010B6"/>
    <w:rsid w:val="0090113D"/>
    <w:rsid w:val="0090166B"/>
    <w:rsid w:val="00901785"/>
    <w:rsid w:val="00901916"/>
    <w:rsid w:val="00901C8F"/>
    <w:rsid w:val="00901CA5"/>
    <w:rsid w:val="00901E01"/>
    <w:rsid w:val="00901F58"/>
    <w:rsid w:val="00902070"/>
    <w:rsid w:val="00902163"/>
    <w:rsid w:val="00902181"/>
    <w:rsid w:val="00902390"/>
    <w:rsid w:val="009025A2"/>
    <w:rsid w:val="00902791"/>
    <w:rsid w:val="00902B59"/>
    <w:rsid w:val="00902CF2"/>
    <w:rsid w:val="009031F3"/>
    <w:rsid w:val="00903D4A"/>
    <w:rsid w:val="00903E10"/>
    <w:rsid w:val="00903EDD"/>
    <w:rsid w:val="009040D4"/>
    <w:rsid w:val="00904334"/>
    <w:rsid w:val="00904AB1"/>
    <w:rsid w:val="00904B0A"/>
    <w:rsid w:val="00904DB5"/>
    <w:rsid w:val="009055B4"/>
    <w:rsid w:val="009056C5"/>
    <w:rsid w:val="009057EB"/>
    <w:rsid w:val="009059AA"/>
    <w:rsid w:val="00905F5B"/>
    <w:rsid w:val="0090649E"/>
    <w:rsid w:val="0090658A"/>
    <w:rsid w:val="00906880"/>
    <w:rsid w:val="00907153"/>
    <w:rsid w:val="00907446"/>
    <w:rsid w:val="009076C7"/>
    <w:rsid w:val="0091057E"/>
    <w:rsid w:val="009108A4"/>
    <w:rsid w:val="009109A8"/>
    <w:rsid w:val="00911110"/>
    <w:rsid w:val="009111AC"/>
    <w:rsid w:val="00911255"/>
    <w:rsid w:val="009112C4"/>
    <w:rsid w:val="00911C0D"/>
    <w:rsid w:val="009120D8"/>
    <w:rsid w:val="009124AF"/>
    <w:rsid w:val="0091292C"/>
    <w:rsid w:val="00912A4E"/>
    <w:rsid w:val="00912FCB"/>
    <w:rsid w:val="00913175"/>
    <w:rsid w:val="0091343C"/>
    <w:rsid w:val="00913964"/>
    <w:rsid w:val="00913BC5"/>
    <w:rsid w:val="00913BC9"/>
    <w:rsid w:val="00914227"/>
    <w:rsid w:val="0091441D"/>
    <w:rsid w:val="00914490"/>
    <w:rsid w:val="00914BD7"/>
    <w:rsid w:val="00914ECC"/>
    <w:rsid w:val="009151D7"/>
    <w:rsid w:val="009152CB"/>
    <w:rsid w:val="00915340"/>
    <w:rsid w:val="009153FE"/>
    <w:rsid w:val="0091543D"/>
    <w:rsid w:val="009156A5"/>
    <w:rsid w:val="00915A26"/>
    <w:rsid w:val="00916392"/>
    <w:rsid w:val="00916513"/>
    <w:rsid w:val="00917354"/>
    <w:rsid w:val="00920CB9"/>
    <w:rsid w:val="00921BFA"/>
    <w:rsid w:val="00922DF1"/>
    <w:rsid w:val="00922FFF"/>
    <w:rsid w:val="00923627"/>
    <w:rsid w:val="00923A93"/>
    <w:rsid w:val="00923A9D"/>
    <w:rsid w:val="00923B96"/>
    <w:rsid w:val="009243DA"/>
    <w:rsid w:val="00924A1F"/>
    <w:rsid w:val="00924A60"/>
    <w:rsid w:val="00924B83"/>
    <w:rsid w:val="00924CC7"/>
    <w:rsid w:val="009252D3"/>
    <w:rsid w:val="009256ED"/>
    <w:rsid w:val="009257B9"/>
    <w:rsid w:val="00925B14"/>
    <w:rsid w:val="00925E4A"/>
    <w:rsid w:val="0092652D"/>
    <w:rsid w:val="00926551"/>
    <w:rsid w:val="00926983"/>
    <w:rsid w:val="009275B8"/>
    <w:rsid w:val="009278FA"/>
    <w:rsid w:val="00927E4F"/>
    <w:rsid w:val="00930220"/>
    <w:rsid w:val="00930640"/>
    <w:rsid w:val="00930AEA"/>
    <w:rsid w:val="00930DA9"/>
    <w:rsid w:val="00930FA1"/>
    <w:rsid w:val="009317BB"/>
    <w:rsid w:val="0093233B"/>
    <w:rsid w:val="009324D1"/>
    <w:rsid w:val="009329D5"/>
    <w:rsid w:val="00932E5E"/>
    <w:rsid w:val="00933E73"/>
    <w:rsid w:val="00934009"/>
    <w:rsid w:val="00934248"/>
    <w:rsid w:val="00934B57"/>
    <w:rsid w:val="00934C62"/>
    <w:rsid w:val="009352DA"/>
    <w:rsid w:val="00935556"/>
    <w:rsid w:val="00935648"/>
    <w:rsid w:val="009356AF"/>
    <w:rsid w:val="00935EF9"/>
    <w:rsid w:val="00936AA5"/>
    <w:rsid w:val="0093754F"/>
    <w:rsid w:val="00937B67"/>
    <w:rsid w:val="00937EDB"/>
    <w:rsid w:val="00940292"/>
    <w:rsid w:val="009403C6"/>
    <w:rsid w:val="00940732"/>
    <w:rsid w:val="009412A4"/>
    <w:rsid w:val="009412DB"/>
    <w:rsid w:val="009415DC"/>
    <w:rsid w:val="009418D2"/>
    <w:rsid w:val="00941C1D"/>
    <w:rsid w:val="00941D24"/>
    <w:rsid w:val="00941F10"/>
    <w:rsid w:val="00942064"/>
    <w:rsid w:val="009423DC"/>
    <w:rsid w:val="009424F3"/>
    <w:rsid w:val="00942502"/>
    <w:rsid w:val="0094285B"/>
    <w:rsid w:val="00942949"/>
    <w:rsid w:val="00942BFB"/>
    <w:rsid w:val="00942C42"/>
    <w:rsid w:val="00942F73"/>
    <w:rsid w:val="00943AF3"/>
    <w:rsid w:val="00943C7C"/>
    <w:rsid w:val="00944233"/>
    <w:rsid w:val="0094465F"/>
    <w:rsid w:val="00944D19"/>
    <w:rsid w:val="00944E5A"/>
    <w:rsid w:val="00944EB2"/>
    <w:rsid w:val="00945350"/>
    <w:rsid w:val="00945488"/>
    <w:rsid w:val="00945508"/>
    <w:rsid w:val="009456A1"/>
    <w:rsid w:val="00945A8B"/>
    <w:rsid w:val="00945D4C"/>
    <w:rsid w:val="00945F8E"/>
    <w:rsid w:val="009460FF"/>
    <w:rsid w:val="009466E1"/>
    <w:rsid w:val="00946A27"/>
    <w:rsid w:val="00946AAE"/>
    <w:rsid w:val="009471AB"/>
    <w:rsid w:val="009472FA"/>
    <w:rsid w:val="009474DF"/>
    <w:rsid w:val="00950147"/>
    <w:rsid w:val="009509EA"/>
    <w:rsid w:val="009515E4"/>
    <w:rsid w:val="0095163C"/>
    <w:rsid w:val="009517D0"/>
    <w:rsid w:val="00951F03"/>
    <w:rsid w:val="0095208A"/>
    <w:rsid w:val="0095218E"/>
    <w:rsid w:val="0095226E"/>
    <w:rsid w:val="00952620"/>
    <w:rsid w:val="00952790"/>
    <w:rsid w:val="00952C4D"/>
    <w:rsid w:val="00952DFE"/>
    <w:rsid w:val="00952E90"/>
    <w:rsid w:val="009530E4"/>
    <w:rsid w:val="00953584"/>
    <w:rsid w:val="0095393E"/>
    <w:rsid w:val="00954225"/>
    <w:rsid w:val="0095449C"/>
    <w:rsid w:val="00954A91"/>
    <w:rsid w:val="00954DC4"/>
    <w:rsid w:val="0095509F"/>
    <w:rsid w:val="00955238"/>
    <w:rsid w:val="00955361"/>
    <w:rsid w:val="00955B19"/>
    <w:rsid w:val="00955FCD"/>
    <w:rsid w:val="00956262"/>
    <w:rsid w:val="00956283"/>
    <w:rsid w:val="009564A6"/>
    <w:rsid w:val="009564E0"/>
    <w:rsid w:val="0095735D"/>
    <w:rsid w:val="00957590"/>
    <w:rsid w:val="00957C82"/>
    <w:rsid w:val="00957ECE"/>
    <w:rsid w:val="009600CC"/>
    <w:rsid w:val="009601E9"/>
    <w:rsid w:val="00960464"/>
    <w:rsid w:val="009614A8"/>
    <w:rsid w:val="009614E7"/>
    <w:rsid w:val="00961705"/>
    <w:rsid w:val="00961BD4"/>
    <w:rsid w:val="00961C75"/>
    <w:rsid w:val="00961F72"/>
    <w:rsid w:val="0096299D"/>
    <w:rsid w:val="00962F47"/>
    <w:rsid w:val="009634BA"/>
    <w:rsid w:val="0096363B"/>
    <w:rsid w:val="009639A7"/>
    <w:rsid w:val="009640CA"/>
    <w:rsid w:val="0096472F"/>
    <w:rsid w:val="00964DE7"/>
    <w:rsid w:val="00964F97"/>
    <w:rsid w:val="009655D1"/>
    <w:rsid w:val="00965679"/>
    <w:rsid w:val="009657C6"/>
    <w:rsid w:val="009659F3"/>
    <w:rsid w:val="00965B3E"/>
    <w:rsid w:val="00965DB7"/>
    <w:rsid w:val="00965E36"/>
    <w:rsid w:val="00965F6F"/>
    <w:rsid w:val="00966C7D"/>
    <w:rsid w:val="00966CA9"/>
    <w:rsid w:val="00966EB1"/>
    <w:rsid w:val="00966EFE"/>
    <w:rsid w:val="00966FEB"/>
    <w:rsid w:val="009675D4"/>
    <w:rsid w:val="00967F68"/>
    <w:rsid w:val="00970472"/>
    <w:rsid w:val="00970C2B"/>
    <w:rsid w:val="00970D94"/>
    <w:rsid w:val="00970E3C"/>
    <w:rsid w:val="009711C0"/>
    <w:rsid w:val="00971DCC"/>
    <w:rsid w:val="009723C8"/>
    <w:rsid w:val="0097264D"/>
    <w:rsid w:val="00972796"/>
    <w:rsid w:val="009728CF"/>
    <w:rsid w:val="00972A68"/>
    <w:rsid w:val="00972DB7"/>
    <w:rsid w:val="009730B2"/>
    <w:rsid w:val="00973358"/>
    <w:rsid w:val="009738FE"/>
    <w:rsid w:val="00973B10"/>
    <w:rsid w:val="00973B94"/>
    <w:rsid w:val="00973DB2"/>
    <w:rsid w:val="00973E79"/>
    <w:rsid w:val="00973F55"/>
    <w:rsid w:val="0097444E"/>
    <w:rsid w:val="009744C7"/>
    <w:rsid w:val="00974809"/>
    <w:rsid w:val="00975294"/>
    <w:rsid w:val="009752B4"/>
    <w:rsid w:val="009754C9"/>
    <w:rsid w:val="00975962"/>
    <w:rsid w:val="00975B7F"/>
    <w:rsid w:val="00975C43"/>
    <w:rsid w:val="00975E08"/>
    <w:rsid w:val="0097641F"/>
    <w:rsid w:val="009764DD"/>
    <w:rsid w:val="009768AE"/>
    <w:rsid w:val="009768F0"/>
    <w:rsid w:val="009769BE"/>
    <w:rsid w:val="00976BB5"/>
    <w:rsid w:val="00977514"/>
    <w:rsid w:val="00977655"/>
    <w:rsid w:val="00980097"/>
    <w:rsid w:val="00980357"/>
    <w:rsid w:val="00980602"/>
    <w:rsid w:val="00980911"/>
    <w:rsid w:val="0098091C"/>
    <w:rsid w:val="00980EB2"/>
    <w:rsid w:val="00981903"/>
    <w:rsid w:val="00981B9E"/>
    <w:rsid w:val="00981F33"/>
    <w:rsid w:val="0098208C"/>
    <w:rsid w:val="00982B45"/>
    <w:rsid w:val="00982C03"/>
    <w:rsid w:val="009830D8"/>
    <w:rsid w:val="0098365B"/>
    <w:rsid w:val="009836A8"/>
    <w:rsid w:val="00983AB1"/>
    <w:rsid w:val="00983F04"/>
    <w:rsid w:val="009842B6"/>
    <w:rsid w:val="00984484"/>
    <w:rsid w:val="00984633"/>
    <w:rsid w:val="00984663"/>
    <w:rsid w:val="009847F5"/>
    <w:rsid w:val="00984C51"/>
    <w:rsid w:val="00984FF3"/>
    <w:rsid w:val="00985916"/>
    <w:rsid w:val="009861BA"/>
    <w:rsid w:val="00986402"/>
    <w:rsid w:val="00986A75"/>
    <w:rsid w:val="00986C8A"/>
    <w:rsid w:val="00986E64"/>
    <w:rsid w:val="00986F43"/>
    <w:rsid w:val="009870B2"/>
    <w:rsid w:val="00987153"/>
    <w:rsid w:val="009871F3"/>
    <w:rsid w:val="00987221"/>
    <w:rsid w:val="00987472"/>
    <w:rsid w:val="00987620"/>
    <w:rsid w:val="00987768"/>
    <w:rsid w:val="009877D4"/>
    <w:rsid w:val="00987A9C"/>
    <w:rsid w:val="00987CED"/>
    <w:rsid w:val="00987D0D"/>
    <w:rsid w:val="00987F98"/>
    <w:rsid w:val="00990422"/>
    <w:rsid w:val="009906CF"/>
    <w:rsid w:val="009911E9"/>
    <w:rsid w:val="009912D1"/>
    <w:rsid w:val="0099135F"/>
    <w:rsid w:val="009913B3"/>
    <w:rsid w:val="009914EB"/>
    <w:rsid w:val="00991703"/>
    <w:rsid w:val="00991706"/>
    <w:rsid w:val="0099180F"/>
    <w:rsid w:val="00991C7C"/>
    <w:rsid w:val="00991FC7"/>
    <w:rsid w:val="009922EC"/>
    <w:rsid w:val="00992605"/>
    <w:rsid w:val="009928DF"/>
    <w:rsid w:val="00993865"/>
    <w:rsid w:val="009939CE"/>
    <w:rsid w:val="00993AE3"/>
    <w:rsid w:val="00993FFC"/>
    <w:rsid w:val="00994044"/>
    <w:rsid w:val="00994F7A"/>
    <w:rsid w:val="0099547F"/>
    <w:rsid w:val="009957E2"/>
    <w:rsid w:val="0099584C"/>
    <w:rsid w:val="009959CC"/>
    <w:rsid w:val="00995D20"/>
    <w:rsid w:val="0099626D"/>
    <w:rsid w:val="0099656D"/>
    <w:rsid w:val="00996737"/>
    <w:rsid w:val="00996876"/>
    <w:rsid w:val="00996EAE"/>
    <w:rsid w:val="009970C8"/>
    <w:rsid w:val="009971B1"/>
    <w:rsid w:val="00997A0A"/>
    <w:rsid w:val="00997B7D"/>
    <w:rsid w:val="00997E07"/>
    <w:rsid w:val="00997FCB"/>
    <w:rsid w:val="009A0C34"/>
    <w:rsid w:val="009A0F14"/>
    <w:rsid w:val="009A0FDF"/>
    <w:rsid w:val="009A110B"/>
    <w:rsid w:val="009A1130"/>
    <w:rsid w:val="009A1626"/>
    <w:rsid w:val="009A16DB"/>
    <w:rsid w:val="009A2049"/>
    <w:rsid w:val="009A2482"/>
    <w:rsid w:val="009A2830"/>
    <w:rsid w:val="009A295B"/>
    <w:rsid w:val="009A2E7E"/>
    <w:rsid w:val="009A2F66"/>
    <w:rsid w:val="009A3409"/>
    <w:rsid w:val="009A344B"/>
    <w:rsid w:val="009A347E"/>
    <w:rsid w:val="009A3811"/>
    <w:rsid w:val="009A39B9"/>
    <w:rsid w:val="009A3BFB"/>
    <w:rsid w:val="009A41BA"/>
    <w:rsid w:val="009A45B3"/>
    <w:rsid w:val="009A461C"/>
    <w:rsid w:val="009A469A"/>
    <w:rsid w:val="009A46A1"/>
    <w:rsid w:val="009A48DA"/>
    <w:rsid w:val="009A4B3B"/>
    <w:rsid w:val="009A4BA7"/>
    <w:rsid w:val="009A5204"/>
    <w:rsid w:val="009A564B"/>
    <w:rsid w:val="009A5A7A"/>
    <w:rsid w:val="009A5A90"/>
    <w:rsid w:val="009A5D62"/>
    <w:rsid w:val="009A5F58"/>
    <w:rsid w:val="009A64F9"/>
    <w:rsid w:val="009A69F0"/>
    <w:rsid w:val="009A6A36"/>
    <w:rsid w:val="009A6D7A"/>
    <w:rsid w:val="009A71C8"/>
    <w:rsid w:val="009A73E9"/>
    <w:rsid w:val="009A7539"/>
    <w:rsid w:val="009A7666"/>
    <w:rsid w:val="009A7857"/>
    <w:rsid w:val="009A7E55"/>
    <w:rsid w:val="009B02C1"/>
    <w:rsid w:val="009B0309"/>
    <w:rsid w:val="009B0411"/>
    <w:rsid w:val="009B0DB6"/>
    <w:rsid w:val="009B17C1"/>
    <w:rsid w:val="009B2239"/>
    <w:rsid w:val="009B2C74"/>
    <w:rsid w:val="009B2F8F"/>
    <w:rsid w:val="009B31F4"/>
    <w:rsid w:val="009B3467"/>
    <w:rsid w:val="009B3978"/>
    <w:rsid w:val="009B4083"/>
    <w:rsid w:val="009B458F"/>
    <w:rsid w:val="009B4DD8"/>
    <w:rsid w:val="009B54EF"/>
    <w:rsid w:val="009B588D"/>
    <w:rsid w:val="009B624A"/>
    <w:rsid w:val="009B63C7"/>
    <w:rsid w:val="009B67D7"/>
    <w:rsid w:val="009B6BDD"/>
    <w:rsid w:val="009B6F1E"/>
    <w:rsid w:val="009B74DF"/>
    <w:rsid w:val="009B754B"/>
    <w:rsid w:val="009B7689"/>
    <w:rsid w:val="009B76B1"/>
    <w:rsid w:val="009B773B"/>
    <w:rsid w:val="009B777E"/>
    <w:rsid w:val="009B7A7E"/>
    <w:rsid w:val="009C0448"/>
    <w:rsid w:val="009C051C"/>
    <w:rsid w:val="009C0721"/>
    <w:rsid w:val="009C0B02"/>
    <w:rsid w:val="009C0B13"/>
    <w:rsid w:val="009C0E10"/>
    <w:rsid w:val="009C0FDD"/>
    <w:rsid w:val="009C1883"/>
    <w:rsid w:val="009C1CC0"/>
    <w:rsid w:val="009C1E1B"/>
    <w:rsid w:val="009C1FC1"/>
    <w:rsid w:val="009C2381"/>
    <w:rsid w:val="009C24BD"/>
    <w:rsid w:val="009C272F"/>
    <w:rsid w:val="009C2C54"/>
    <w:rsid w:val="009C329B"/>
    <w:rsid w:val="009C366D"/>
    <w:rsid w:val="009C3822"/>
    <w:rsid w:val="009C3C83"/>
    <w:rsid w:val="009C4498"/>
    <w:rsid w:val="009C486B"/>
    <w:rsid w:val="009C4981"/>
    <w:rsid w:val="009C5096"/>
    <w:rsid w:val="009C51B8"/>
    <w:rsid w:val="009C5445"/>
    <w:rsid w:val="009C5730"/>
    <w:rsid w:val="009C5A12"/>
    <w:rsid w:val="009C5B0E"/>
    <w:rsid w:val="009C5B2F"/>
    <w:rsid w:val="009C5D69"/>
    <w:rsid w:val="009C6102"/>
    <w:rsid w:val="009C6358"/>
    <w:rsid w:val="009C64B2"/>
    <w:rsid w:val="009C6566"/>
    <w:rsid w:val="009C6A21"/>
    <w:rsid w:val="009C6A68"/>
    <w:rsid w:val="009C6B7F"/>
    <w:rsid w:val="009D133F"/>
    <w:rsid w:val="009D17EA"/>
    <w:rsid w:val="009D1B11"/>
    <w:rsid w:val="009D22D4"/>
    <w:rsid w:val="009D2435"/>
    <w:rsid w:val="009D2863"/>
    <w:rsid w:val="009D305C"/>
    <w:rsid w:val="009D3824"/>
    <w:rsid w:val="009D3C9A"/>
    <w:rsid w:val="009D44A6"/>
    <w:rsid w:val="009D4748"/>
    <w:rsid w:val="009D53E6"/>
    <w:rsid w:val="009D5495"/>
    <w:rsid w:val="009D55BD"/>
    <w:rsid w:val="009D57FB"/>
    <w:rsid w:val="009D590B"/>
    <w:rsid w:val="009D5C9E"/>
    <w:rsid w:val="009D6B63"/>
    <w:rsid w:val="009D6FE9"/>
    <w:rsid w:val="009D7E98"/>
    <w:rsid w:val="009E0289"/>
    <w:rsid w:val="009E0639"/>
    <w:rsid w:val="009E0C5B"/>
    <w:rsid w:val="009E1C21"/>
    <w:rsid w:val="009E1D72"/>
    <w:rsid w:val="009E2042"/>
    <w:rsid w:val="009E2070"/>
    <w:rsid w:val="009E23B9"/>
    <w:rsid w:val="009E2458"/>
    <w:rsid w:val="009E2518"/>
    <w:rsid w:val="009E299B"/>
    <w:rsid w:val="009E2FFD"/>
    <w:rsid w:val="009E3363"/>
    <w:rsid w:val="009E3435"/>
    <w:rsid w:val="009E3766"/>
    <w:rsid w:val="009E38CA"/>
    <w:rsid w:val="009E3954"/>
    <w:rsid w:val="009E3A88"/>
    <w:rsid w:val="009E3D2B"/>
    <w:rsid w:val="009E410F"/>
    <w:rsid w:val="009E4232"/>
    <w:rsid w:val="009E47AF"/>
    <w:rsid w:val="009E4D03"/>
    <w:rsid w:val="009E4F67"/>
    <w:rsid w:val="009E5805"/>
    <w:rsid w:val="009E587A"/>
    <w:rsid w:val="009E59CA"/>
    <w:rsid w:val="009E6A90"/>
    <w:rsid w:val="009E6AE0"/>
    <w:rsid w:val="009E6DD4"/>
    <w:rsid w:val="009E752D"/>
    <w:rsid w:val="009E77F1"/>
    <w:rsid w:val="009E7B35"/>
    <w:rsid w:val="009E7D36"/>
    <w:rsid w:val="009E7D82"/>
    <w:rsid w:val="009E7D87"/>
    <w:rsid w:val="009E7DD2"/>
    <w:rsid w:val="009F021D"/>
    <w:rsid w:val="009F0467"/>
    <w:rsid w:val="009F0994"/>
    <w:rsid w:val="009F0BF9"/>
    <w:rsid w:val="009F10D9"/>
    <w:rsid w:val="009F13F6"/>
    <w:rsid w:val="009F157B"/>
    <w:rsid w:val="009F166A"/>
    <w:rsid w:val="009F191B"/>
    <w:rsid w:val="009F1D93"/>
    <w:rsid w:val="009F1F40"/>
    <w:rsid w:val="009F2009"/>
    <w:rsid w:val="009F202C"/>
    <w:rsid w:val="009F2105"/>
    <w:rsid w:val="009F27CF"/>
    <w:rsid w:val="009F2F67"/>
    <w:rsid w:val="009F3D8E"/>
    <w:rsid w:val="009F3DE6"/>
    <w:rsid w:val="009F426C"/>
    <w:rsid w:val="009F471F"/>
    <w:rsid w:val="009F493D"/>
    <w:rsid w:val="009F4A4D"/>
    <w:rsid w:val="009F4B76"/>
    <w:rsid w:val="009F4C82"/>
    <w:rsid w:val="009F4DB6"/>
    <w:rsid w:val="009F50D7"/>
    <w:rsid w:val="009F55AF"/>
    <w:rsid w:val="009F65F9"/>
    <w:rsid w:val="009F66E4"/>
    <w:rsid w:val="009F66ED"/>
    <w:rsid w:val="009F6937"/>
    <w:rsid w:val="009F696E"/>
    <w:rsid w:val="009F6BEB"/>
    <w:rsid w:val="009F6E59"/>
    <w:rsid w:val="009F7208"/>
    <w:rsid w:val="009F74E5"/>
    <w:rsid w:val="00A00173"/>
    <w:rsid w:val="00A00871"/>
    <w:rsid w:val="00A008A4"/>
    <w:rsid w:val="00A011C5"/>
    <w:rsid w:val="00A0123C"/>
    <w:rsid w:val="00A012A7"/>
    <w:rsid w:val="00A013B5"/>
    <w:rsid w:val="00A01616"/>
    <w:rsid w:val="00A0183C"/>
    <w:rsid w:val="00A01ACF"/>
    <w:rsid w:val="00A01D63"/>
    <w:rsid w:val="00A0208A"/>
    <w:rsid w:val="00A02832"/>
    <w:rsid w:val="00A029E5"/>
    <w:rsid w:val="00A02FF1"/>
    <w:rsid w:val="00A030BB"/>
    <w:rsid w:val="00A0346A"/>
    <w:rsid w:val="00A03B34"/>
    <w:rsid w:val="00A03C61"/>
    <w:rsid w:val="00A03D93"/>
    <w:rsid w:val="00A03D99"/>
    <w:rsid w:val="00A040DD"/>
    <w:rsid w:val="00A04249"/>
    <w:rsid w:val="00A04496"/>
    <w:rsid w:val="00A047B0"/>
    <w:rsid w:val="00A04A7E"/>
    <w:rsid w:val="00A04DC9"/>
    <w:rsid w:val="00A05150"/>
    <w:rsid w:val="00A05619"/>
    <w:rsid w:val="00A059F4"/>
    <w:rsid w:val="00A05AE3"/>
    <w:rsid w:val="00A05C82"/>
    <w:rsid w:val="00A05CF4"/>
    <w:rsid w:val="00A0607D"/>
    <w:rsid w:val="00A065D1"/>
    <w:rsid w:val="00A06696"/>
    <w:rsid w:val="00A06781"/>
    <w:rsid w:val="00A06F3D"/>
    <w:rsid w:val="00A10231"/>
    <w:rsid w:val="00A1099C"/>
    <w:rsid w:val="00A109F9"/>
    <w:rsid w:val="00A10BA9"/>
    <w:rsid w:val="00A10F49"/>
    <w:rsid w:val="00A11152"/>
    <w:rsid w:val="00A11D5B"/>
    <w:rsid w:val="00A125DB"/>
    <w:rsid w:val="00A13229"/>
    <w:rsid w:val="00A13768"/>
    <w:rsid w:val="00A1380A"/>
    <w:rsid w:val="00A13B4F"/>
    <w:rsid w:val="00A13D28"/>
    <w:rsid w:val="00A14041"/>
    <w:rsid w:val="00A146B2"/>
    <w:rsid w:val="00A14B18"/>
    <w:rsid w:val="00A14C01"/>
    <w:rsid w:val="00A14E2D"/>
    <w:rsid w:val="00A162CD"/>
    <w:rsid w:val="00A164E5"/>
    <w:rsid w:val="00A166D5"/>
    <w:rsid w:val="00A1693D"/>
    <w:rsid w:val="00A16A09"/>
    <w:rsid w:val="00A1712D"/>
    <w:rsid w:val="00A174E8"/>
    <w:rsid w:val="00A17517"/>
    <w:rsid w:val="00A17618"/>
    <w:rsid w:val="00A17928"/>
    <w:rsid w:val="00A17ABD"/>
    <w:rsid w:val="00A17B43"/>
    <w:rsid w:val="00A17CBF"/>
    <w:rsid w:val="00A20264"/>
    <w:rsid w:val="00A20492"/>
    <w:rsid w:val="00A21009"/>
    <w:rsid w:val="00A21534"/>
    <w:rsid w:val="00A215A0"/>
    <w:rsid w:val="00A217F5"/>
    <w:rsid w:val="00A21C37"/>
    <w:rsid w:val="00A21D30"/>
    <w:rsid w:val="00A21F30"/>
    <w:rsid w:val="00A22039"/>
    <w:rsid w:val="00A2229A"/>
    <w:rsid w:val="00A22A47"/>
    <w:rsid w:val="00A22BB7"/>
    <w:rsid w:val="00A22C31"/>
    <w:rsid w:val="00A22D23"/>
    <w:rsid w:val="00A23019"/>
    <w:rsid w:val="00A23F24"/>
    <w:rsid w:val="00A2403E"/>
    <w:rsid w:val="00A24244"/>
    <w:rsid w:val="00A247D2"/>
    <w:rsid w:val="00A247DD"/>
    <w:rsid w:val="00A24CEF"/>
    <w:rsid w:val="00A253EB"/>
    <w:rsid w:val="00A25613"/>
    <w:rsid w:val="00A25B81"/>
    <w:rsid w:val="00A260F4"/>
    <w:rsid w:val="00A268F0"/>
    <w:rsid w:val="00A269E5"/>
    <w:rsid w:val="00A26B3D"/>
    <w:rsid w:val="00A26BFD"/>
    <w:rsid w:val="00A270F7"/>
    <w:rsid w:val="00A2761D"/>
    <w:rsid w:val="00A27D8F"/>
    <w:rsid w:val="00A27F7A"/>
    <w:rsid w:val="00A300E0"/>
    <w:rsid w:val="00A3040C"/>
    <w:rsid w:val="00A309B9"/>
    <w:rsid w:val="00A30E10"/>
    <w:rsid w:val="00A31AB5"/>
    <w:rsid w:val="00A31F9A"/>
    <w:rsid w:val="00A32094"/>
    <w:rsid w:val="00A320F2"/>
    <w:rsid w:val="00A32919"/>
    <w:rsid w:val="00A3368C"/>
    <w:rsid w:val="00A33BA2"/>
    <w:rsid w:val="00A3413C"/>
    <w:rsid w:val="00A34408"/>
    <w:rsid w:val="00A345CD"/>
    <w:rsid w:val="00A3463B"/>
    <w:rsid w:val="00A34B19"/>
    <w:rsid w:val="00A34C67"/>
    <w:rsid w:val="00A35571"/>
    <w:rsid w:val="00A35A8F"/>
    <w:rsid w:val="00A3637E"/>
    <w:rsid w:val="00A36790"/>
    <w:rsid w:val="00A36D57"/>
    <w:rsid w:val="00A36EF9"/>
    <w:rsid w:val="00A3745F"/>
    <w:rsid w:val="00A37FC1"/>
    <w:rsid w:val="00A405BE"/>
    <w:rsid w:val="00A40AFE"/>
    <w:rsid w:val="00A40F1C"/>
    <w:rsid w:val="00A41449"/>
    <w:rsid w:val="00A414C0"/>
    <w:rsid w:val="00A416A5"/>
    <w:rsid w:val="00A41817"/>
    <w:rsid w:val="00A418D5"/>
    <w:rsid w:val="00A41D34"/>
    <w:rsid w:val="00A42B99"/>
    <w:rsid w:val="00A42BF5"/>
    <w:rsid w:val="00A433F0"/>
    <w:rsid w:val="00A4340A"/>
    <w:rsid w:val="00A43616"/>
    <w:rsid w:val="00A43788"/>
    <w:rsid w:val="00A439E6"/>
    <w:rsid w:val="00A44091"/>
    <w:rsid w:val="00A443F6"/>
    <w:rsid w:val="00A451D3"/>
    <w:rsid w:val="00A452E0"/>
    <w:rsid w:val="00A453C8"/>
    <w:rsid w:val="00A45903"/>
    <w:rsid w:val="00A4632A"/>
    <w:rsid w:val="00A47039"/>
    <w:rsid w:val="00A509D6"/>
    <w:rsid w:val="00A50BB4"/>
    <w:rsid w:val="00A5144E"/>
    <w:rsid w:val="00A5150C"/>
    <w:rsid w:val="00A51625"/>
    <w:rsid w:val="00A517D6"/>
    <w:rsid w:val="00A51881"/>
    <w:rsid w:val="00A5193D"/>
    <w:rsid w:val="00A5201D"/>
    <w:rsid w:val="00A5214D"/>
    <w:rsid w:val="00A529E9"/>
    <w:rsid w:val="00A52F3E"/>
    <w:rsid w:val="00A53116"/>
    <w:rsid w:val="00A53473"/>
    <w:rsid w:val="00A54350"/>
    <w:rsid w:val="00A54501"/>
    <w:rsid w:val="00A55510"/>
    <w:rsid w:val="00A555E5"/>
    <w:rsid w:val="00A55D8A"/>
    <w:rsid w:val="00A55EBA"/>
    <w:rsid w:val="00A56245"/>
    <w:rsid w:val="00A5647A"/>
    <w:rsid w:val="00A5650F"/>
    <w:rsid w:val="00A56985"/>
    <w:rsid w:val="00A569BB"/>
    <w:rsid w:val="00A569FC"/>
    <w:rsid w:val="00A57060"/>
    <w:rsid w:val="00A57145"/>
    <w:rsid w:val="00A5727E"/>
    <w:rsid w:val="00A5768B"/>
    <w:rsid w:val="00A5783B"/>
    <w:rsid w:val="00A57869"/>
    <w:rsid w:val="00A6052A"/>
    <w:rsid w:val="00A60938"/>
    <w:rsid w:val="00A609C8"/>
    <w:rsid w:val="00A60AD7"/>
    <w:rsid w:val="00A60D12"/>
    <w:rsid w:val="00A60F14"/>
    <w:rsid w:val="00A60F87"/>
    <w:rsid w:val="00A613BB"/>
    <w:rsid w:val="00A614A0"/>
    <w:rsid w:val="00A614B7"/>
    <w:rsid w:val="00A618F8"/>
    <w:rsid w:val="00A61903"/>
    <w:rsid w:val="00A61DFD"/>
    <w:rsid w:val="00A61E39"/>
    <w:rsid w:val="00A62372"/>
    <w:rsid w:val="00A62848"/>
    <w:rsid w:val="00A629FB"/>
    <w:rsid w:val="00A62D62"/>
    <w:rsid w:val="00A6300D"/>
    <w:rsid w:val="00A63461"/>
    <w:rsid w:val="00A639E0"/>
    <w:rsid w:val="00A640C7"/>
    <w:rsid w:val="00A64228"/>
    <w:rsid w:val="00A64568"/>
    <w:rsid w:val="00A647EF"/>
    <w:rsid w:val="00A650B1"/>
    <w:rsid w:val="00A653C4"/>
    <w:rsid w:val="00A6585D"/>
    <w:rsid w:val="00A65B61"/>
    <w:rsid w:val="00A65BBB"/>
    <w:rsid w:val="00A65C4E"/>
    <w:rsid w:val="00A65C92"/>
    <w:rsid w:val="00A65F2A"/>
    <w:rsid w:val="00A6636E"/>
    <w:rsid w:val="00A66868"/>
    <w:rsid w:val="00A66EEF"/>
    <w:rsid w:val="00A670F1"/>
    <w:rsid w:val="00A673F5"/>
    <w:rsid w:val="00A67979"/>
    <w:rsid w:val="00A67A31"/>
    <w:rsid w:val="00A67EED"/>
    <w:rsid w:val="00A67FCE"/>
    <w:rsid w:val="00A70156"/>
    <w:rsid w:val="00A70200"/>
    <w:rsid w:val="00A70CDB"/>
    <w:rsid w:val="00A70E3F"/>
    <w:rsid w:val="00A7125D"/>
    <w:rsid w:val="00A7146C"/>
    <w:rsid w:val="00A71CDA"/>
    <w:rsid w:val="00A71EDC"/>
    <w:rsid w:val="00A7279F"/>
    <w:rsid w:val="00A72D90"/>
    <w:rsid w:val="00A72DAC"/>
    <w:rsid w:val="00A7321A"/>
    <w:rsid w:val="00A73E3B"/>
    <w:rsid w:val="00A746C3"/>
    <w:rsid w:val="00A748C3"/>
    <w:rsid w:val="00A748F4"/>
    <w:rsid w:val="00A74AB0"/>
    <w:rsid w:val="00A750E5"/>
    <w:rsid w:val="00A75307"/>
    <w:rsid w:val="00A755A9"/>
    <w:rsid w:val="00A7576A"/>
    <w:rsid w:val="00A76219"/>
    <w:rsid w:val="00A7635E"/>
    <w:rsid w:val="00A763E9"/>
    <w:rsid w:val="00A764D7"/>
    <w:rsid w:val="00A7666B"/>
    <w:rsid w:val="00A76FDD"/>
    <w:rsid w:val="00A771DA"/>
    <w:rsid w:val="00A77508"/>
    <w:rsid w:val="00A779EC"/>
    <w:rsid w:val="00A77C26"/>
    <w:rsid w:val="00A80146"/>
    <w:rsid w:val="00A80629"/>
    <w:rsid w:val="00A808A8"/>
    <w:rsid w:val="00A80B89"/>
    <w:rsid w:val="00A812EA"/>
    <w:rsid w:val="00A81419"/>
    <w:rsid w:val="00A81954"/>
    <w:rsid w:val="00A81955"/>
    <w:rsid w:val="00A81BDC"/>
    <w:rsid w:val="00A81F8C"/>
    <w:rsid w:val="00A82060"/>
    <w:rsid w:val="00A8214B"/>
    <w:rsid w:val="00A8256C"/>
    <w:rsid w:val="00A82574"/>
    <w:rsid w:val="00A82997"/>
    <w:rsid w:val="00A82B9B"/>
    <w:rsid w:val="00A82F1A"/>
    <w:rsid w:val="00A83154"/>
    <w:rsid w:val="00A83270"/>
    <w:rsid w:val="00A832E8"/>
    <w:rsid w:val="00A833EA"/>
    <w:rsid w:val="00A8376A"/>
    <w:rsid w:val="00A83AF1"/>
    <w:rsid w:val="00A83B29"/>
    <w:rsid w:val="00A83D26"/>
    <w:rsid w:val="00A83E35"/>
    <w:rsid w:val="00A841E1"/>
    <w:rsid w:val="00A845CA"/>
    <w:rsid w:val="00A84958"/>
    <w:rsid w:val="00A84BE5"/>
    <w:rsid w:val="00A851AE"/>
    <w:rsid w:val="00A85602"/>
    <w:rsid w:val="00A85912"/>
    <w:rsid w:val="00A86906"/>
    <w:rsid w:val="00A86933"/>
    <w:rsid w:val="00A86E29"/>
    <w:rsid w:val="00A87092"/>
    <w:rsid w:val="00A873A8"/>
    <w:rsid w:val="00A873DC"/>
    <w:rsid w:val="00A8750D"/>
    <w:rsid w:val="00A902BD"/>
    <w:rsid w:val="00A902CD"/>
    <w:rsid w:val="00A90434"/>
    <w:rsid w:val="00A9087A"/>
    <w:rsid w:val="00A90B2F"/>
    <w:rsid w:val="00A90B8E"/>
    <w:rsid w:val="00A90BC7"/>
    <w:rsid w:val="00A90F71"/>
    <w:rsid w:val="00A916C3"/>
    <w:rsid w:val="00A91AE3"/>
    <w:rsid w:val="00A91C53"/>
    <w:rsid w:val="00A91E3F"/>
    <w:rsid w:val="00A92EEA"/>
    <w:rsid w:val="00A93725"/>
    <w:rsid w:val="00A93D95"/>
    <w:rsid w:val="00A941D8"/>
    <w:rsid w:val="00A94414"/>
    <w:rsid w:val="00A944CE"/>
    <w:rsid w:val="00A94604"/>
    <w:rsid w:val="00A94B90"/>
    <w:rsid w:val="00A951EA"/>
    <w:rsid w:val="00A9542F"/>
    <w:rsid w:val="00A957A6"/>
    <w:rsid w:val="00A95E7D"/>
    <w:rsid w:val="00A9645B"/>
    <w:rsid w:val="00A9653F"/>
    <w:rsid w:val="00AA04D6"/>
    <w:rsid w:val="00AA06D5"/>
    <w:rsid w:val="00AA0B7C"/>
    <w:rsid w:val="00AA0F9C"/>
    <w:rsid w:val="00AA1949"/>
    <w:rsid w:val="00AA23D7"/>
    <w:rsid w:val="00AA253C"/>
    <w:rsid w:val="00AA2609"/>
    <w:rsid w:val="00AA2639"/>
    <w:rsid w:val="00AA26F2"/>
    <w:rsid w:val="00AA2701"/>
    <w:rsid w:val="00AA2859"/>
    <w:rsid w:val="00AA2A45"/>
    <w:rsid w:val="00AA2E7D"/>
    <w:rsid w:val="00AA3082"/>
    <w:rsid w:val="00AA3DCA"/>
    <w:rsid w:val="00AA42F4"/>
    <w:rsid w:val="00AA43DB"/>
    <w:rsid w:val="00AA66DF"/>
    <w:rsid w:val="00AA6D45"/>
    <w:rsid w:val="00AA7117"/>
    <w:rsid w:val="00AA741B"/>
    <w:rsid w:val="00AA74AF"/>
    <w:rsid w:val="00AA7668"/>
    <w:rsid w:val="00AA7798"/>
    <w:rsid w:val="00AB0040"/>
    <w:rsid w:val="00AB033B"/>
    <w:rsid w:val="00AB0425"/>
    <w:rsid w:val="00AB07E3"/>
    <w:rsid w:val="00AB0D80"/>
    <w:rsid w:val="00AB1020"/>
    <w:rsid w:val="00AB10CA"/>
    <w:rsid w:val="00AB1E02"/>
    <w:rsid w:val="00AB1FAC"/>
    <w:rsid w:val="00AB2161"/>
    <w:rsid w:val="00AB27A8"/>
    <w:rsid w:val="00AB285E"/>
    <w:rsid w:val="00AB2AD7"/>
    <w:rsid w:val="00AB2D9C"/>
    <w:rsid w:val="00AB2DF4"/>
    <w:rsid w:val="00AB2DFC"/>
    <w:rsid w:val="00AB2E3A"/>
    <w:rsid w:val="00AB37CD"/>
    <w:rsid w:val="00AB3B8A"/>
    <w:rsid w:val="00AB4B66"/>
    <w:rsid w:val="00AB4E13"/>
    <w:rsid w:val="00AB53E4"/>
    <w:rsid w:val="00AB56E4"/>
    <w:rsid w:val="00AB5A48"/>
    <w:rsid w:val="00AB5AC9"/>
    <w:rsid w:val="00AB5F58"/>
    <w:rsid w:val="00AB7207"/>
    <w:rsid w:val="00AB77F6"/>
    <w:rsid w:val="00AB7B23"/>
    <w:rsid w:val="00AB7D73"/>
    <w:rsid w:val="00AB7E31"/>
    <w:rsid w:val="00AB7F20"/>
    <w:rsid w:val="00AC07C4"/>
    <w:rsid w:val="00AC0D99"/>
    <w:rsid w:val="00AC1164"/>
    <w:rsid w:val="00AC1863"/>
    <w:rsid w:val="00AC2755"/>
    <w:rsid w:val="00AC2935"/>
    <w:rsid w:val="00AC2BE5"/>
    <w:rsid w:val="00AC2E2D"/>
    <w:rsid w:val="00AC3A50"/>
    <w:rsid w:val="00AC4020"/>
    <w:rsid w:val="00AC47FB"/>
    <w:rsid w:val="00AC48E9"/>
    <w:rsid w:val="00AC4BB7"/>
    <w:rsid w:val="00AC4BC0"/>
    <w:rsid w:val="00AC4FFB"/>
    <w:rsid w:val="00AC5279"/>
    <w:rsid w:val="00AC55A6"/>
    <w:rsid w:val="00AC6C65"/>
    <w:rsid w:val="00AC710A"/>
    <w:rsid w:val="00AC7473"/>
    <w:rsid w:val="00AC75E1"/>
    <w:rsid w:val="00AC7B2D"/>
    <w:rsid w:val="00AC7D64"/>
    <w:rsid w:val="00AD07A2"/>
    <w:rsid w:val="00AD0801"/>
    <w:rsid w:val="00AD0D54"/>
    <w:rsid w:val="00AD0FAA"/>
    <w:rsid w:val="00AD1852"/>
    <w:rsid w:val="00AD1AD6"/>
    <w:rsid w:val="00AD1C65"/>
    <w:rsid w:val="00AD1D16"/>
    <w:rsid w:val="00AD22EE"/>
    <w:rsid w:val="00AD2765"/>
    <w:rsid w:val="00AD2A4C"/>
    <w:rsid w:val="00AD2A61"/>
    <w:rsid w:val="00AD2B76"/>
    <w:rsid w:val="00AD2E69"/>
    <w:rsid w:val="00AD2EA0"/>
    <w:rsid w:val="00AD2FF8"/>
    <w:rsid w:val="00AD36B8"/>
    <w:rsid w:val="00AD3953"/>
    <w:rsid w:val="00AD4019"/>
    <w:rsid w:val="00AD4375"/>
    <w:rsid w:val="00AD454E"/>
    <w:rsid w:val="00AD47BD"/>
    <w:rsid w:val="00AD4C22"/>
    <w:rsid w:val="00AD4D42"/>
    <w:rsid w:val="00AD4E30"/>
    <w:rsid w:val="00AD4F24"/>
    <w:rsid w:val="00AD6034"/>
    <w:rsid w:val="00AD6879"/>
    <w:rsid w:val="00AD7F13"/>
    <w:rsid w:val="00AD7F1A"/>
    <w:rsid w:val="00AE0521"/>
    <w:rsid w:val="00AE0C06"/>
    <w:rsid w:val="00AE0D11"/>
    <w:rsid w:val="00AE0EFC"/>
    <w:rsid w:val="00AE0F21"/>
    <w:rsid w:val="00AE114C"/>
    <w:rsid w:val="00AE15FD"/>
    <w:rsid w:val="00AE2C57"/>
    <w:rsid w:val="00AE3BFA"/>
    <w:rsid w:val="00AE3DBD"/>
    <w:rsid w:val="00AE3E1A"/>
    <w:rsid w:val="00AE4566"/>
    <w:rsid w:val="00AE482E"/>
    <w:rsid w:val="00AE4CB8"/>
    <w:rsid w:val="00AE510A"/>
    <w:rsid w:val="00AE519A"/>
    <w:rsid w:val="00AE520B"/>
    <w:rsid w:val="00AE58A7"/>
    <w:rsid w:val="00AE5FF9"/>
    <w:rsid w:val="00AE6616"/>
    <w:rsid w:val="00AE67A2"/>
    <w:rsid w:val="00AE6A27"/>
    <w:rsid w:val="00AE712B"/>
    <w:rsid w:val="00AE72DF"/>
    <w:rsid w:val="00AE73BC"/>
    <w:rsid w:val="00AE7A67"/>
    <w:rsid w:val="00AE7DE8"/>
    <w:rsid w:val="00AE7F7C"/>
    <w:rsid w:val="00AF0E6A"/>
    <w:rsid w:val="00AF1424"/>
    <w:rsid w:val="00AF1A7A"/>
    <w:rsid w:val="00AF1B1A"/>
    <w:rsid w:val="00AF2596"/>
    <w:rsid w:val="00AF2A0D"/>
    <w:rsid w:val="00AF2C67"/>
    <w:rsid w:val="00AF2D91"/>
    <w:rsid w:val="00AF3056"/>
    <w:rsid w:val="00AF3133"/>
    <w:rsid w:val="00AF3D53"/>
    <w:rsid w:val="00AF3DC3"/>
    <w:rsid w:val="00AF3EDB"/>
    <w:rsid w:val="00AF448F"/>
    <w:rsid w:val="00AF4A79"/>
    <w:rsid w:val="00AF51E6"/>
    <w:rsid w:val="00AF5947"/>
    <w:rsid w:val="00AF5E78"/>
    <w:rsid w:val="00AF5F2E"/>
    <w:rsid w:val="00AF6068"/>
    <w:rsid w:val="00AF6530"/>
    <w:rsid w:val="00AF65C2"/>
    <w:rsid w:val="00AF6D6A"/>
    <w:rsid w:val="00AF77A4"/>
    <w:rsid w:val="00AF7E11"/>
    <w:rsid w:val="00AF7E1F"/>
    <w:rsid w:val="00AF7F0D"/>
    <w:rsid w:val="00B00370"/>
    <w:rsid w:val="00B009A1"/>
    <w:rsid w:val="00B010B4"/>
    <w:rsid w:val="00B01648"/>
    <w:rsid w:val="00B018C8"/>
    <w:rsid w:val="00B01A00"/>
    <w:rsid w:val="00B01A87"/>
    <w:rsid w:val="00B020AE"/>
    <w:rsid w:val="00B02A32"/>
    <w:rsid w:val="00B02BAB"/>
    <w:rsid w:val="00B0300D"/>
    <w:rsid w:val="00B0318B"/>
    <w:rsid w:val="00B032A0"/>
    <w:rsid w:val="00B038C7"/>
    <w:rsid w:val="00B03980"/>
    <w:rsid w:val="00B039B1"/>
    <w:rsid w:val="00B03AE3"/>
    <w:rsid w:val="00B03CF1"/>
    <w:rsid w:val="00B03FA8"/>
    <w:rsid w:val="00B03FCC"/>
    <w:rsid w:val="00B04DCD"/>
    <w:rsid w:val="00B050D3"/>
    <w:rsid w:val="00B051F4"/>
    <w:rsid w:val="00B0531C"/>
    <w:rsid w:val="00B05326"/>
    <w:rsid w:val="00B054FE"/>
    <w:rsid w:val="00B05565"/>
    <w:rsid w:val="00B06463"/>
    <w:rsid w:val="00B06511"/>
    <w:rsid w:val="00B06747"/>
    <w:rsid w:val="00B072ED"/>
    <w:rsid w:val="00B073F6"/>
    <w:rsid w:val="00B078BB"/>
    <w:rsid w:val="00B07D33"/>
    <w:rsid w:val="00B07E5B"/>
    <w:rsid w:val="00B1099D"/>
    <w:rsid w:val="00B10B9F"/>
    <w:rsid w:val="00B1109C"/>
    <w:rsid w:val="00B1127C"/>
    <w:rsid w:val="00B12038"/>
    <w:rsid w:val="00B1275C"/>
    <w:rsid w:val="00B1355C"/>
    <w:rsid w:val="00B1371E"/>
    <w:rsid w:val="00B13D29"/>
    <w:rsid w:val="00B14444"/>
    <w:rsid w:val="00B1456E"/>
    <w:rsid w:val="00B1458F"/>
    <w:rsid w:val="00B14B7E"/>
    <w:rsid w:val="00B15454"/>
    <w:rsid w:val="00B1549A"/>
    <w:rsid w:val="00B15870"/>
    <w:rsid w:val="00B15AF2"/>
    <w:rsid w:val="00B16005"/>
    <w:rsid w:val="00B16252"/>
    <w:rsid w:val="00B1665D"/>
    <w:rsid w:val="00B1689B"/>
    <w:rsid w:val="00B16B9B"/>
    <w:rsid w:val="00B16CE0"/>
    <w:rsid w:val="00B1724D"/>
    <w:rsid w:val="00B17562"/>
    <w:rsid w:val="00B1781E"/>
    <w:rsid w:val="00B1788F"/>
    <w:rsid w:val="00B17DC8"/>
    <w:rsid w:val="00B2021E"/>
    <w:rsid w:val="00B2048D"/>
    <w:rsid w:val="00B204FE"/>
    <w:rsid w:val="00B20ADA"/>
    <w:rsid w:val="00B20B9A"/>
    <w:rsid w:val="00B21298"/>
    <w:rsid w:val="00B21800"/>
    <w:rsid w:val="00B2181B"/>
    <w:rsid w:val="00B21AB0"/>
    <w:rsid w:val="00B21D12"/>
    <w:rsid w:val="00B223D9"/>
    <w:rsid w:val="00B2248D"/>
    <w:rsid w:val="00B224C6"/>
    <w:rsid w:val="00B225DE"/>
    <w:rsid w:val="00B22695"/>
    <w:rsid w:val="00B22B0B"/>
    <w:rsid w:val="00B23103"/>
    <w:rsid w:val="00B23156"/>
    <w:rsid w:val="00B232E8"/>
    <w:rsid w:val="00B2334E"/>
    <w:rsid w:val="00B23804"/>
    <w:rsid w:val="00B239DF"/>
    <w:rsid w:val="00B23A4F"/>
    <w:rsid w:val="00B23EC5"/>
    <w:rsid w:val="00B2431E"/>
    <w:rsid w:val="00B243B8"/>
    <w:rsid w:val="00B24D44"/>
    <w:rsid w:val="00B257EB"/>
    <w:rsid w:val="00B2588B"/>
    <w:rsid w:val="00B25DB1"/>
    <w:rsid w:val="00B2608A"/>
    <w:rsid w:val="00B26113"/>
    <w:rsid w:val="00B26135"/>
    <w:rsid w:val="00B2654F"/>
    <w:rsid w:val="00B266E2"/>
    <w:rsid w:val="00B27172"/>
    <w:rsid w:val="00B27193"/>
    <w:rsid w:val="00B27384"/>
    <w:rsid w:val="00B276B4"/>
    <w:rsid w:val="00B2784C"/>
    <w:rsid w:val="00B27E6A"/>
    <w:rsid w:val="00B27E98"/>
    <w:rsid w:val="00B27FA7"/>
    <w:rsid w:val="00B30097"/>
    <w:rsid w:val="00B30110"/>
    <w:rsid w:val="00B30518"/>
    <w:rsid w:val="00B3053C"/>
    <w:rsid w:val="00B3065D"/>
    <w:rsid w:val="00B307FA"/>
    <w:rsid w:val="00B3106A"/>
    <w:rsid w:val="00B31539"/>
    <w:rsid w:val="00B32B24"/>
    <w:rsid w:val="00B3307B"/>
    <w:rsid w:val="00B331F9"/>
    <w:rsid w:val="00B332A4"/>
    <w:rsid w:val="00B3346B"/>
    <w:rsid w:val="00B33BFE"/>
    <w:rsid w:val="00B33D17"/>
    <w:rsid w:val="00B33EA2"/>
    <w:rsid w:val="00B34EFA"/>
    <w:rsid w:val="00B35148"/>
    <w:rsid w:val="00B352D0"/>
    <w:rsid w:val="00B35A7D"/>
    <w:rsid w:val="00B35A92"/>
    <w:rsid w:val="00B36150"/>
    <w:rsid w:val="00B36274"/>
    <w:rsid w:val="00B3646B"/>
    <w:rsid w:val="00B36721"/>
    <w:rsid w:val="00B36B81"/>
    <w:rsid w:val="00B378FE"/>
    <w:rsid w:val="00B37AD0"/>
    <w:rsid w:val="00B37E44"/>
    <w:rsid w:val="00B40148"/>
    <w:rsid w:val="00B40220"/>
    <w:rsid w:val="00B407EB"/>
    <w:rsid w:val="00B40E9B"/>
    <w:rsid w:val="00B413D1"/>
    <w:rsid w:val="00B41481"/>
    <w:rsid w:val="00B41711"/>
    <w:rsid w:val="00B41854"/>
    <w:rsid w:val="00B41936"/>
    <w:rsid w:val="00B41FC5"/>
    <w:rsid w:val="00B421CF"/>
    <w:rsid w:val="00B427EF"/>
    <w:rsid w:val="00B42984"/>
    <w:rsid w:val="00B42B9B"/>
    <w:rsid w:val="00B42BF7"/>
    <w:rsid w:val="00B42FE8"/>
    <w:rsid w:val="00B43057"/>
    <w:rsid w:val="00B431B2"/>
    <w:rsid w:val="00B43BF8"/>
    <w:rsid w:val="00B44119"/>
    <w:rsid w:val="00B4494A"/>
    <w:rsid w:val="00B44ED5"/>
    <w:rsid w:val="00B4501B"/>
    <w:rsid w:val="00B45334"/>
    <w:rsid w:val="00B45579"/>
    <w:rsid w:val="00B45ACC"/>
    <w:rsid w:val="00B45DAE"/>
    <w:rsid w:val="00B45FC7"/>
    <w:rsid w:val="00B4605F"/>
    <w:rsid w:val="00B462AF"/>
    <w:rsid w:val="00B46409"/>
    <w:rsid w:val="00B4668B"/>
    <w:rsid w:val="00B467AE"/>
    <w:rsid w:val="00B46D3E"/>
    <w:rsid w:val="00B4768D"/>
    <w:rsid w:val="00B47F9E"/>
    <w:rsid w:val="00B503A3"/>
    <w:rsid w:val="00B5047D"/>
    <w:rsid w:val="00B50969"/>
    <w:rsid w:val="00B50AF6"/>
    <w:rsid w:val="00B50DA9"/>
    <w:rsid w:val="00B50EDD"/>
    <w:rsid w:val="00B51659"/>
    <w:rsid w:val="00B51B34"/>
    <w:rsid w:val="00B51BBE"/>
    <w:rsid w:val="00B51D34"/>
    <w:rsid w:val="00B520F6"/>
    <w:rsid w:val="00B5234F"/>
    <w:rsid w:val="00B529B5"/>
    <w:rsid w:val="00B5381D"/>
    <w:rsid w:val="00B538C1"/>
    <w:rsid w:val="00B53966"/>
    <w:rsid w:val="00B53AA1"/>
    <w:rsid w:val="00B53B02"/>
    <w:rsid w:val="00B54198"/>
    <w:rsid w:val="00B54510"/>
    <w:rsid w:val="00B54947"/>
    <w:rsid w:val="00B54BEB"/>
    <w:rsid w:val="00B54BED"/>
    <w:rsid w:val="00B555BD"/>
    <w:rsid w:val="00B556EA"/>
    <w:rsid w:val="00B559CE"/>
    <w:rsid w:val="00B56C69"/>
    <w:rsid w:val="00B572CE"/>
    <w:rsid w:val="00B5739E"/>
    <w:rsid w:val="00B576D4"/>
    <w:rsid w:val="00B57D87"/>
    <w:rsid w:val="00B57FAB"/>
    <w:rsid w:val="00B608CB"/>
    <w:rsid w:val="00B609DA"/>
    <w:rsid w:val="00B60CCF"/>
    <w:rsid w:val="00B610F0"/>
    <w:rsid w:val="00B6146C"/>
    <w:rsid w:val="00B61810"/>
    <w:rsid w:val="00B618C6"/>
    <w:rsid w:val="00B619A0"/>
    <w:rsid w:val="00B621F2"/>
    <w:rsid w:val="00B62565"/>
    <w:rsid w:val="00B62EA5"/>
    <w:rsid w:val="00B63BE9"/>
    <w:rsid w:val="00B641B5"/>
    <w:rsid w:val="00B642D5"/>
    <w:rsid w:val="00B64431"/>
    <w:rsid w:val="00B644D2"/>
    <w:rsid w:val="00B64AF1"/>
    <w:rsid w:val="00B64BF0"/>
    <w:rsid w:val="00B65213"/>
    <w:rsid w:val="00B6538C"/>
    <w:rsid w:val="00B65A83"/>
    <w:rsid w:val="00B65B3B"/>
    <w:rsid w:val="00B66534"/>
    <w:rsid w:val="00B668E0"/>
    <w:rsid w:val="00B66A94"/>
    <w:rsid w:val="00B670B4"/>
    <w:rsid w:val="00B67269"/>
    <w:rsid w:val="00B675CE"/>
    <w:rsid w:val="00B67E0A"/>
    <w:rsid w:val="00B67F14"/>
    <w:rsid w:val="00B70295"/>
    <w:rsid w:val="00B704CB"/>
    <w:rsid w:val="00B70536"/>
    <w:rsid w:val="00B70766"/>
    <w:rsid w:val="00B712A5"/>
    <w:rsid w:val="00B7131B"/>
    <w:rsid w:val="00B71542"/>
    <w:rsid w:val="00B715BC"/>
    <w:rsid w:val="00B71AA9"/>
    <w:rsid w:val="00B71F4C"/>
    <w:rsid w:val="00B71FA8"/>
    <w:rsid w:val="00B725D4"/>
    <w:rsid w:val="00B726FF"/>
    <w:rsid w:val="00B728B1"/>
    <w:rsid w:val="00B72D77"/>
    <w:rsid w:val="00B72FD4"/>
    <w:rsid w:val="00B730A9"/>
    <w:rsid w:val="00B7358A"/>
    <w:rsid w:val="00B738AA"/>
    <w:rsid w:val="00B739C6"/>
    <w:rsid w:val="00B73E9D"/>
    <w:rsid w:val="00B73EED"/>
    <w:rsid w:val="00B741A7"/>
    <w:rsid w:val="00B74291"/>
    <w:rsid w:val="00B742AF"/>
    <w:rsid w:val="00B7438A"/>
    <w:rsid w:val="00B7463F"/>
    <w:rsid w:val="00B759A4"/>
    <w:rsid w:val="00B75C95"/>
    <w:rsid w:val="00B75D3D"/>
    <w:rsid w:val="00B76241"/>
    <w:rsid w:val="00B76410"/>
    <w:rsid w:val="00B76461"/>
    <w:rsid w:val="00B771A5"/>
    <w:rsid w:val="00B777FA"/>
    <w:rsid w:val="00B77C87"/>
    <w:rsid w:val="00B8047B"/>
    <w:rsid w:val="00B807E7"/>
    <w:rsid w:val="00B80B64"/>
    <w:rsid w:val="00B80DC3"/>
    <w:rsid w:val="00B80F62"/>
    <w:rsid w:val="00B814A1"/>
    <w:rsid w:val="00B81D56"/>
    <w:rsid w:val="00B83101"/>
    <w:rsid w:val="00B83291"/>
    <w:rsid w:val="00B83530"/>
    <w:rsid w:val="00B83584"/>
    <w:rsid w:val="00B839A1"/>
    <w:rsid w:val="00B84229"/>
    <w:rsid w:val="00B84C77"/>
    <w:rsid w:val="00B84E69"/>
    <w:rsid w:val="00B84F35"/>
    <w:rsid w:val="00B850C4"/>
    <w:rsid w:val="00B8522F"/>
    <w:rsid w:val="00B854C1"/>
    <w:rsid w:val="00B8554E"/>
    <w:rsid w:val="00B8556A"/>
    <w:rsid w:val="00B85A56"/>
    <w:rsid w:val="00B85A7C"/>
    <w:rsid w:val="00B85CBC"/>
    <w:rsid w:val="00B85F59"/>
    <w:rsid w:val="00B86BBA"/>
    <w:rsid w:val="00B86F39"/>
    <w:rsid w:val="00B86FD6"/>
    <w:rsid w:val="00B8717B"/>
    <w:rsid w:val="00B87202"/>
    <w:rsid w:val="00B87535"/>
    <w:rsid w:val="00B876A2"/>
    <w:rsid w:val="00B877DF"/>
    <w:rsid w:val="00B902D9"/>
    <w:rsid w:val="00B903BF"/>
    <w:rsid w:val="00B906C1"/>
    <w:rsid w:val="00B9080F"/>
    <w:rsid w:val="00B908F8"/>
    <w:rsid w:val="00B90B03"/>
    <w:rsid w:val="00B90F18"/>
    <w:rsid w:val="00B91136"/>
    <w:rsid w:val="00B91993"/>
    <w:rsid w:val="00B91B7C"/>
    <w:rsid w:val="00B91CC9"/>
    <w:rsid w:val="00B9211F"/>
    <w:rsid w:val="00B9212D"/>
    <w:rsid w:val="00B92673"/>
    <w:rsid w:val="00B92691"/>
    <w:rsid w:val="00B926E0"/>
    <w:rsid w:val="00B927BA"/>
    <w:rsid w:val="00B928D1"/>
    <w:rsid w:val="00B92C53"/>
    <w:rsid w:val="00B92F66"/>
    <w:rsid w:val="00B9325F"/>
    <w:rsid w:val="00B937FA"/>
    <w:rsid w:val="00B93AB9"/>
    <w:rsid w:val="00B93C79"/>
    <w:rsid w:val="00B94019"/>
    <w:rsid w:val="00B94321"/>
    <w:rsid w:val="00B94706"/>
    <w:rsid w:val="00B9548A"/>
    <w:rsid w:val="00B95556"/>
    <w:rsid w:val="00B956A1"/>
    <w:rsid w:val="00B9575C"/>
    <w:rsid w:val="00B95CDB"/>
    <w:rsid w:val="00B95F5B"/>
    <w:rsid w:val="00B966AF"/>
    <w:rsid w:val="00B969A6"/>
    <w:rsid w:val="00B96E28"/>
    <w:rsid w:val="00B96F1A"/>
    <w:rsid w:val="00B97091"/>
    <w:rsid w:val="00B973E0"/>
    <w:rsid w:val="00B97438"/>
    <w:rsid w:val="00B978BA"/>
    <w:rsid w:val="00B978EF"/>
    <w:rsid w:val="00B97EB0"/>
    <w:rsid w:val="00B97F2A"/>
    <w:rsid w:val="00B97F8F"/>
    <w:rsid w:val="00BA00F6"/>
    <w:rsid w:val="00BA034D"/>
    <w:rsid w:val="00BA0474"/>
    <w:rsid w:val="00BA0688"/>
    <w:rsid w:val="00BA088A"/>
    <w:rsid w:val="00BA0AC1"/>
    <w:rsid w:val="00BA122F"/>
    <w:rsid w:val="00BA1727"/>
    <w:rsid w:val="00BA1DA6"/>
    <w:rsid w:val="00BA1E75"/>
    <w:rsid w:val="00BA2A16"/>
    <w:rsid w:val="00BA2A78"/>
    <w:rsid w:val="00BA30FD"/>
    <w:rsid w:val="00BA3BEB"/>
    <w:rsid w:val="00BA3C08"/>
    <w:rsid w:val="00BA4ADA"/>
    <w:rsid w:val="00BA4F40"/>
    <w:rsid w:val="00BA5141"/>
    <w:rsid w:val="00BA657A"/>
    <w:rsid w:val="00BA65A0"/>
    <w:rsid w:val="00BA65BD"/>
    <w:rsid w:val="00BA6B6A"/>
    <w:rsid w:val="00BA6DC1"/>
    <w:rsid w:val="00BA7B86"/>
    <w:rsid w:val="00BA7E19"/>
    <w:rsid w:val="00BA7F6E"/>
    <w:rsid w:val="00BB077C"/>
    <w:rsid w:val="00BB0A6E"/>
    <w:rsid w:val="00BB0D83"/>
    <w:rsid w:val="00BB1102"/>
    <w:rsid w:val="00BB1284"/>
    <w:rsid w:val="00BB1A8C"/>
    <w:rsid w:val="00BB1DDC"/>
    <w:rsid w:val="00BB208F"/>
    <w:rsid w:val="00BB20F7"/>
    <w:rsid w:val="00BB2301"/>
    <w:rsid w:val="00BB2E60"/>
    <w:rsid w:val="00BB2FF5"/>
    <w:rsid w:val="00BB309E"/>
    <w:rsid w:val="00BB30E6"/>
    <w:rsid w:val="00BB3429"/>
    <w:rsid w:val="00BB3902"/>
    <w:rsid w:val="00BB3944"/>
    <w:rsid w:val="00BB39EF"/>
    <w:rsid w:val="00BB3AB9"/>
    <w:rsid w:val="00BB3B13"/>
    <w:rsid w:val="00BB3F68"/>
    <w:rsid w:val="00BB42E7"/>
    <w:rsid w:val="00BB4862"/>
    <w:rsid w:val="00BB4AA8"/>
    <w:rsid w:val="00BB5C14"/>
    <w:rsid w:val="00BB6D77"/>
    <w:rsid w:val="00BB74BF"/>
    <w:rsid w:val="00BB79F2"/>
    <w:rsid w:val="00BC0074"/>
    <w:rsid w:val="00BC04C0"/>
    <w:rsid w:val="00BC1F2A"/>
    <w:rsid w:val="00BC2316"/>
    <w:rsid w:val="00BC25D2"/>
    <w:rsid w:val="00BC310F"/>
    <w:rsid w:val="00BC3338"/>
    <w:rsid w:val="00BC37B5"/>
    <w:rsid w:val="00BC3C63"/>
    <w:rsid w:val="00BC450B"/>
    <w:rsid w:val="00BC48B1"/>
    <w:rsid w:val="00BC4ECE"/>
    <w:rsid w:val="00BC4FA7"/>
    <w:rsid w:val="00BC5227"/>
    <w:rsid w:val="00BC52C6"/>
    <w:rsid w:val="00BC5365"/>
    <w:rsid w:val="00BC5465"/>
    <w:rsid w:val="00BC568B"/>
    <w:rsid w:val="00BC5742"/>
    <w:rsid w:val="00BC5B9B"/>
    <w:rsid w:val="00BC5BB9"/>
    <w:rsid w:val="00BC5EB7"/>
    <w:rsid w:val="00BC68C0"/>
    <w:rsid w:val="00BC697B"/>
    <w:rsid w:val="00BC6E0B"/>
    <w:rsid w:val="00BC709B"/>
    <w:rsid w:val="00BC7566"/>
    <w:rsid w:val="00BC759C"/>
    <w:rsid w:val="00BC7824"/>
    <w:rsid w:val="00BC7B5D"/>
    <w:rsid w:val="00BC7ECC"/>
    <w:rsid w:val="00BC7F8B"/>
    <w:rsid w:val="00BD007E"/>
    <w:rsid w:val="00BD032D"/>
    <w:rsid w:val="00BD0578"/>
    <w:rsid w:val="00BD0B37"/>
    <w:rsid w:val="00BD1BA8"/>
    <w:rsid w:val="00BD1E25"/>
    <w:rsid w:val="00BD2402"/>
    <w:rsid w:val="00BD25D5"/>
    <w:rsid w:val="00BD266D"/>
    <w:rsid w:val="00BD32E9"/>
    <w:rsid w:val="00BD3382"/>
    <w:rsid w:val="00BD3DFE"/>
    <w:rsid w:val="00BD46E9"/>
    <w:rsid w:val="00BD4ED3"/>
    <w:rsid w:val="00BD537B"/>
    <w:rsid w:val="00BD5483"/>
    <w:rsid w:val="00BD5505"/>
    <w:rsid w:val="00BD5A22"/>
    <w:rsid w:val="00BD5A81"/>
    <w:rsid w:val="00BD6090"/>
    <w:rsid w:val="00BD6377"/>
    <w:rsid w:val="00BD6CB0"/>
    <w:rsid w:val="00BD6D38"/>
    <w:rsid w:val="00BD6E68"/>
    <w:rsid w:val="00BD6F59"/>
    <w:rsid w:val="00BD7206"/>
    <w:rsid w:val="00BD7A3A"/>
    <w:rsid w:val="00BD7B93"/>
    <w:rsid w:val="00BE06DE"/>
    <w:rsid w:val="00BE0B7D"/>
    <w:rsid w:val="00BE0F21"/>
    <w:rsid w:val="00BE1A70"/>
    <w:rsid w:val="00BE1AC9"/>
    <w:rsid w:val="00BE1B2D"/>
    <w:rsid w:val="00BE21ED"/>
    <w:rsid w:val="00BE2359"/>
    <w:rsid w:val="00BE243B"/>
    <w:rsid w:val="00BE280F"/>
    <w:rsid w:val="00BE28CF"/>
    <w:rsid w:val="00BE2B98"/>
    <w:rsid w:val="00BE2C3F"/>
    <w:rsid w:val="00BE2D11"/>
    <w:rsid w:val="00BE2D38"/>
    <w:rsid w:val="00BE2F69"/>
    <w:rsid w:val="00BE3257"/>
    <w:rsid w:val="00BE36AC"/>
    <w:rsid w:val="00BE39D8"/>
    <w:rsid w:val="00BE3F79"/>
    <w:rsid w:val="00BE44D4"/>
    <w:rsid w:val="00BE4506"/>
    <w:rsid w:val="00BE4DD4"/>
    <w:rsid w:val="00BE57BD"/>
    <w:rsid w:val="00BE5A26"/>
    <w:rsid w:val="00BE5C28"/>
    <w:rsid w:val="00BE5CCD"/>
    <w:rsid w:val="00BE5D4F"/>
    <w:rsid w:val="00BE5E9C"/>
    <w:rsid w:val="00BE66A3"/>
    <w:rsid w:val="00BE688A"/>
    <w:rsid w:val="00BE73EB"/>
    <w:rsid w:val="00BE74DB"/>
    <w:rsid w:val="00BE7AFA"/>
    <w:rsid w:val="00BF0008"/>
    <w:rsid w:val="00BF0367"/>
    <w:rsid w:val="00BF097F"/>
    <w:rsid w:val="00BF0BCA"/>
    <w:rsid w:val="00BF0D4B"/>
    <w:rsid w:val="00BF0DD8"/>
    <w:rsid w:val="00BF1C75"/>
    <w:rsid w:val="00BF2147"/>
    <w:rsid w:val="00BF23E4"/>
    <w:rsid w:val="00BF24A7"/>
    <w:rsid w:val="00BF2846"/>
    <w:rsid w:val="00BF303B"/>
    <w:rsid w:val="00BF36D9"/>
    <w:rsid w:val="00BF3FB6"/>
    <w:rsid w:val="00BF4326"/>
    <w:rsid w:val="00BF46B4"/>
    <w:rsid w:val="00BF5336"/>
    <w:rsid w:val="00BF5D6B"/>
    <w:rsid w:val="00BF5EC2"/>
    <w:rsid w:val="00BF61D6"/>
    <w:rsid w:val="00BF635C"/>
    <w:rsid w:val="00BF6711"/>
    <w:rsid w:val="00BF687D"/>
    <w:rsid w:val="00BF6E73"/>
    <w:rsid w:val="00BF7175"/>
    <w:rsid w:val="00BF77D4"/>
    <w:rsid w:val="00BF786E"/>
    <w:rsid w:val="00BF7C9C"/>
    <w:rsid w:val="00BF7E5D"/>
    <w:rsid w:val="00C000BF"/>
    <w:rsid w:val="00C00D5F"/>
    <w:rsid w:val="00C01628"/>
    <w:rsid w:val="00C01ADA"/>
    <w:rsid w:val="00C01F18"/>
    <w:rsid w:val="00C03642"/>
    <w:rsid w:val="00C03694"/>
    <w:rsid w:val="00C03830"/>
    <w:rsid w:val="00C03B1B"/>
    <w:rsid w:val="00C04357"/>
    <w:rsid w:val="00C045C0"/>
    <w:rsid w:val="00C0463F"/>
    <w:rsid w:val="00C046CA"/>
    <w:rsid w:val="00C0487B"/>
    <w:rsid w:val="00C04D96"/>
    <w:rsid w:val="00C061B5"/>
    <w:rsid w:val="00C061DE"/>
    <w:rsid w:val="00C06230"/>
    <w:rsid w:val="00C06484"/>
    <w:rsid w:val="00C06574"/>
    <w:rsid w:val="00C06882"/>
    <w:rsid w:val="00C071DE"/>
    <w:rsid w:val="00C07249"/>
    <w:rsid w:val="00C07251"/>
    <w:rsid w:val="00C077A3"/>
    <w:rsid w:val="00C07905"/>
    <w:rsid w:val="00C10019"/>
    <w:rsid w:val="00C10A24"/>
    <w:rsid w:val="00C10CDF"/>
    <w:rsid w:val="00C10D4A"/>
    <w:rsid w:val="00C10E7F"/>
    <w:rsid w:val="00C11458"/>
    <w:rsid w:val="00C11D92"/>
    <w:rsid w:val="00C1204E"/>
    <w:rsid w:val="00C120CA"/>
    <w:rsid w:val="00C1253C"/>
    <w:rsid w:val="00C127EF"/>
    <w:rsid w:val="00C12D23"/>
    <w:rsid w:val="00C1372F"/>
    <w:rsid w:val="00C13C7E"/>
    <w:rsid w:val="00C1410C"/>
    <w:rsid w:val="00C14292"/>
    <w:rsid w:val="00C1438D"/>
    <w:rsid w:val="00C1439D"/>
    <w:rsid w:val="00C143F2"/>
    <w:rsid w:val="00C1473B"/>
    <w:rsid w:val="00C14D37"/>
    <w:rsid w:val="00C14DBE"/>
    <w:rsid w:val="00C14EB6"/>
    <w:rsid w:val="00C14F89"/>
    <w:rsid w:val="00C14FA4"/>
    <w:rsid w:val="00C1543D"/>
    <w:rsid w:val="00C158F2"/>
    <w:rsid w:val="00C15C58"/>
    <w:rsid w:val="00C15D65"/>
    <w:rsid w:val="00C15F10"/>
    <w:rsid w:val="00C1610B"/>
    <w:rsid w:val="00C16199"/>
    <w:rsid w:val="00C16A4B"/>
    <w:rsid w:val="00C16B28"/>
    <w:rsid w:val="00C16BA5"/>
    <w:rsid w:val="00C16D7A"/>
    <w:rsid w:val="00C16E78"/>
    <w:rsid w:val="00C1720B"/>
    <w:rsid w:val="00C176A2"/>
    <w:rsid w:val="00C177DF"/>
    <w:rsid w:val="00C17889"/>
    <w:rsid w:val="00C179D3"/>
    <w:rsid w:val="00C20445"/>
    <w:rsid w:val="00C204A4"/>
    <w:rsid w:val="00C208B9"/>
    <w:rsid w:val="00C21112"/>
    <w:rsid w:val="00C21429"/>
    <w:rsid w:val="00C21FFA"/>
    <w:rsid w:val="00C22061"/>
    <w:rsid w:val="00C2265A"/>
    <w:rsid w:val="00C233B7"/>
    <w:rsid w:val="00C2365C"/>
    <w:rsid w:val="00C239A5"/>
    <w:rsid w:val="00C23B21"/>
    <w:rsid w:val="00C23DD8"/>
    <w:rsid w:val="00C24923"/>
    <w:rsid w:val="00C24A44"/>
    <w:rsid w:val="00C24B30"/>
    <w:rsid w:val="00C24B86"/>
    <w:rsid w:val="00C24BC2"/>
    <w:rsid w:val="00C24DCC"/>
    <w:rsid w:val="00C24EDA"/>
    <w:rsid w:val="00C25962"/>
    <w:rsid w:val="00C25C3D"/>
    <w:rsid w:val="00C25F32"/>
    <w:rsid w:val="00C2616A"/>
    <w:rsid w:val="00C269DC"/>
    <w:rsid w:val="00C269ED"/>
    <w:rsid w:val="00C26C59"/>
    <w:rsid w:val="00C2706A"/>
    <w:rsid w:val="00C27689"/>
    <w:rsid w:val="00C27786"/>
    <w:rsid w:val="00C27811"/>
    <w:rsid w:val="00C27EAB"/>
    <w:rsid w:val="00C30277"/>
    <w:rsid w:val="00C3027F"/>
    <w:rsid w:val="00C3085D"/>
    <w:rsid w:val="00C3093D"/>
    <w:rsid w:val="00C30CEB"/>
    <w:rsid w:val="00C30ECE"/>
    <w:rsid w:val="00C30FB1"/>
    <w:rsid w:val="00C312F7"/>
    <w:rsid w:val="00C31CAE"/>
    <w:rsid w:val="00C32530"/>
    <w:rsid w:val="00C326A3"/>
    <w:rsid w:val="00C327B2"/>
    <w:rsid w:val="00C32A3E"/>
    <w:rsid w:val="00C3300F"/>
    <w:rsid w:val="00C330B8"/>
    <w:rsid w:val="00C33376"/>
    <w:rsid w:val="00C335EC"/>
    <w:rsid w:val="00C3436A"/>
    <w:rsid w:val="00C34394"/>
    <w:rsid w:val="00C345DD"/>
    <w:rsid w:val="00C34BEF"/>
    <w:rsid w:val="00C35082"/>
    <w:rsid w:val="00C35796"/>
    <w:rsid w:val="00C35BC8"/>
    <w:rsid w:val="00C35D73"/>
    <w:rsid w:val="00C36A43"/>
    <w:rsid w:val="00C36CF0"/>
    <w:rsid w:val="00C36D74"/>
    <w:rsid w:val="00C376DE"/>
    <w:rsid w:val="00C37F62"/>
    <w:rsid w:val="00C400F8"/>
    <w:rsid w:val="00C40308"/>
    <w:rsid w:val="00C40395"/>
    <w:rsid w:val="00C403F4"/>
    <w:rsid w:val="00C4042E"/>
    <w:rsid w:val="00C4081B"/>
    <w:rsid w:val="00C41561"/>
    <w:rsid w:val="00C41F18"/>
    <w:rsid w:val="00C42404"/>
    <w:rsid w:val="00C42435"/>
    <w:rsid w:val="00C4275D"/>
    <w:rsid w:val="00C42D48"/>
    <w:rsid w:val="00C42F05"/>
    <w:rsid w:val="00C43796"/>
    <w:rsid w:val="00C437C6"/>
    <w:rsid w:val="00C43EC1"/>
    <w:rsid w:val="00C44E2A"/>
    <w:rsid w:val="00C44F17"/>
    <w:rsid w:val="00C45EE2"/>
    <w:rsid w:val="00C46150"/>
    <w:rsid w:val="00C468D3"/>
    <w:rsid w:val="00C46E01"/>
    <w:rsid w:val="00C47170"/>
    <w:rsid w:val="00C473C7"/>
    <w:rsid w:val="00C479DE"/>
    <w:rsid w:val="00C47C82"/>
    <w:rsid w:val="00C47D00"/>
    <w:rsid w:val="00C47DDD"/>
    <w:rsid w:val="00C47E85"/>
    <w:rsid w:val="00C501A5"/>
    <w:rsid w:val="00C502CE"/>
    <w:rsid w:val="00C50886"/>
    <w:rsid w:val="00C50EB5"/>
    <w:rsid w:val="00C50FA5"/>
    <w:rsid w:val="00C51B14"/>
    <w:rsid w:val="00C51F37"/>
    <w:rsid w:val="00C530F0"/>
    <w:rsid w:val="00C5328B"/>
    <w:rsid w:val="00C5458D"/>
    <w:rsid w:val="00C54778"/>
    <w:rsid w:val="00C5559A"/>
    <w:rsid w:val="00C55CFB"/>
    <w:rsid w:val="00C55F6A"/>
    <w:rsid w:val="00C5662B"/>
    <w:rsid w:val="00C56CFF"/>
    <w:rsid w:val="00C56E9A"/>
    <w:rsid w:val="00C57179"/>
    <w:rsid w:val="00C5738F"/>
    <w:rsid w:val="00C57937"/>
    <w:rsid w:val="00C57F69"/>
    <w:rsid w:val="00C603AF"/>
    <w:rsid w:val="00C60DE4"/>
    <w:rsid w:val="00C61324"/>
    <w:rsid w:val="00C6135C"/>
    <w:rsid w:val="00C61834"/>
    <w:rsid w:val="00C61A38"/>
    <w:rsid w:val="00C61C2F"/>
    <w:rsid w:val="00C61F4A"/>
    <w:rsid w:val="00C6255F"/>
    <w:rsid w:val="00C626A1"/>
    <w:rsid w:val="00C62868"/>
    <w:rsid w:val="00C62EA0"/>
    <w:rsid w:val="00C62EF0"/>
    <w:rsid w:val="00C634F9"/>
    <w:rsid w:val="00C6369D"/>
    <w:rsid w:val="00C63E6F"/>
    <w:rsid w:val="00C64094"/>
    <w:rsid w:val="00C648DB"/>
    <w:rsid w:val="00C64CA0"/>
    <w:rsid w:val="00C64D80"/>
    <w:rsid w:val="00C64D95"/>
    <w:rsid w:val="00C64E3B"/>
    <w:rsid w:val="00C64F9B"/>
    <w:rsid w:val="00C653F4"/>
    <w:rsid w:val="00C656F4"/>
    <w:rsid w:val="00C65BC3"/>
    <w:rsid w:val="00C65ED3"/>
    <w:rsid w:val="00C665B4"/>
    <w:rsid w:val="00C666E1"/>
    <w:rsid w:val="00C66725"/>
    <w:rsid w:val="00C668E8"/>
    <w:rsid w:val="00C66B21"/>
    <w:rsid w:val="00C66B3D"/>
    <w:rsid w:val="00C67339"/>
    <w:rsid w:val="00C6766D"/>
    <w:rsid w:val="00C67BCE"/>
    <w:rsid w:val="00C67C79"/>
    <w:rsid w:val="00C700F8"/>
    <w:rsid w:val="00C70DAD"/>
    <w:rsid w:val="00C710BA"/>
    <w:rsid w:val="00C713B9"/>
    <w:rsid w:val="00C71410"/>
    <w:rsid w:val="00C718A8"/>
    <w:rsid w:val="00C73644"/>
    <w:rsid w:val="00C7369B"/>
    <w:rsid w:val="00C73A7A"/>
    <w:rsid w:val="00C73C1B"/>
    <w:rsid w:val="00C740CF"/>
    <w:rsid w:val="00C74625"/>
    <w:rsid w:val="00C7468D"/>
    <w:rsid w:val="00C74ACC"/>
    <w:rsid w:val="00C74ED8"/>
    <w:rsid w:val="00C74F40"/>
    <w:rsid w:val="00C74FC6"/>
    <w:rsid w:val="00C750D4"/>
    <w:rsid w:val="00C75364"/>
    <w:rsid w:val="00C758C8"/>
    <w:rsid w:val="00C7598A"/>
    <w:rsid w:val="00C761EF"/>
    <w:rsid w:val="00C76D32"/>
    <w:rsid w:val="00C77DA2"/>
    <w:rsid w:val="00C77F96"/>
    <w:rsid w:val="00C802B0"/>
    <w:rsid w:val="00C804C6"/>
    <w:rsid w:val="00C80C20"/>
    <w:rsid w:val="00C80E55"/>
    <w:rsid w:val="00C8118E"/>
    <w:rsid w:val="00C8147F"/>
    <w:rsid w:val="00C81B38"/>
    <w:rsid w:val="00C82204"/>
    <w:rsid w:val="00C82221"/>
    <w:rsid w:val="00C82411"/>
    <w:rsid w:val="00C82577"/>
    <w:rsid w:val="00C82C40"/>
    <w:rsid w:val="00C82E0D"/>
    <w:rsid w:val="00C8346B"/>
    <w:rsid w:val="00C83474"/>
    <w:rsid w:val="00C83592"/>
    <w:rsid w:val="00C83629"/>
    <w:rsid w:val="00C83970"/>
    <w:rsid w:val="00C83B16"/>
    <w:rsid w:val="00C83C41"/>
    <w:rsid w:val="00C83F67"/>
    <w:rsid w:val="00C845F1"/>
    <w:rsid w:val="00C847E9"/>
    <w:rsid w:val="00C84B00"/>
    <w:rsid w:val="00C84DC5"/>
    <w:rsid w:val="00C84EA6"/>
    <w:rsid w:val="00C8557D"/>
    <w:rsid w:val="00C85E86"/>
    <w:rsid w:val="00C86C2D"/>
    <w:rsid w:val="00C86CDC"/>
    <w:rsid w:val="00C870B0"/>
    <w:rsid w:val="00C87178"/>
    <w:rsid w:val="00C8734D"/>
    <w:rsid w:val="00C874AA"/>
    <w:rsid w:val="00C87585"/>
    <w:rsid w:val="00C87ABE"/>
    <w:rsid w:val="00C9016B"/>
    <w:rsid w:val="00C9075C"/>
    <w:rsid w:val="00C908B5"/>
    <w:rsid w:val="00C90F08"/>
    <w:rsid w:val="00C912E9"/>
    <w:rsid w:val="00C9293F"/>
    <w:rsid w:val="00C92D69"/>
    <w:rsid w:val="00C92DCE"/>
    <w:rsid w:val="00C92E44"/>
    <w:rsid w:val="00C93177"/>
    <w:rsid w:val="00C93747"/>
    <w:rsid w:val="00C939D8"/>
    <w:rsid w:val="00C93AA5"/>
    <w:rsid w:val="00C944EE"/>
    <w:rsid w:val="00C9476A"/>
    <w:rsid w:val="00C94B77"/>
    <w:rsid w:val="00C94CD4"/>
    <w:rsid w:val="00C94E0E"/>
    <w:rsid w:val="00C950CD"/>
    <w:rsid w:val="00C950F3"/>
    <w:rsid w:val="00C951E6"/>
    <w:rsid w:val="00C953F9"/>
    <w:rsid w:val="00C95568"/>
    <w:rsid w:val="00C957A1"/>
    <w:rsid w:val="00C957EC"/>
    <w:rsid w:val="00C959FD"/>
    <w:rsid w:val="00C95BC2"/>
    <w:rsid w:val="00C960B5"/>
    <w:rsid w:val="00C978EE"/>
    <w:rsid w:val="00C979DA"/>
    <w:rsid w:val="00CA0241"/>
    <w:rsid w:val="00CA036B"/>
    <w:rsid w:val="00CA073D"/>
    <w:rsid w:val="00CA0EEF"/>
    <w:rsid w:val="00CA1021"/>
    <w:rsid w:val="00CA117C"/>
    <w:rsid w:val="00CA1686"/>
    <w:rsid w:val="00CA1BA3"/>
    <w:rsid w:val="00CA1EB2"/>
    <w:rsid w:val="00CA251E"/>
    <w:rsid w:val="00CA28C1"/>
    <w:rsid w:val="00CA2972"/>
    <w:rsid w:val="00CA2FEA"/>
    <w:rsid w:val="00CA3A06"/>
    <w:rsid w:val="00CA404B"/>
    <w:rsid w:val="00CA4102"/>
    <w:rsid w:val="00CA4960"/>
    <w:rsid w:val="00CA4B12"/>
    <w:rsid w:val="00CA4BAC"/>
    <w:rsid w:val="00CA4BE4"/>
    <w:rsid w:val="00CA51F7"/>
    <w:rsid w:val="00CA5201"/>
    <w:rsid w:val="00CA532E"/>
    <w:rsid w:val="00CA556B"/>
    <w:rsid w:val="00CA55BF"/>
    <w:rsid w:val="00CA566F"/>
    <w:rsid w:val="00CA5C0C"/>
    <w:rsid w:val="00CA6429"/>
    <w:rsid w:val="00CA6753"/>
    <w:rsid w:val="00CA6776"/>
    <w:rsid w:val="00CA686B"/>
    <w:rsid w:val="00CA6E62"/>
    <w:rsid w:val="00CA7129"/>
    <w:rsid w:val="00CA7526"/>
    <w:rsid w:val="00CA7F2B"/>
    <w:rsid w:val="00CA7F79"/>
    <w:rsid w:val="00CB000E"/>
    <w:rsid w:val="00CB0D12"/>
    <w:rsid w:val="00CB142C"/>
    <w:rsid w:val="00CB1C27"/>
    <w:rsid w:val="00CB2097"/>
    <w:rsid w:val="00CB29F9"/>
    <w:rsid w:val="00CB2CE4"/>
    <w:rsid w:val="00CB30CF"/>
    <w:rsid w:val="00CB3778"/>
    <w:rsid w:val="00CB4604"/>
    <w:rsid w:val="00CB4880"/>
    <w:rsid w:val="00CB50D8"/>
    <w:rsid w:val="00CB51E7"/>
    <w:rsid w:val="00CB546E"/>
    <w:rsid w:val="00CB5498"/>
    <w:rsid w:val="00CB5D95"/>
    <w:rsid w:val="00CB6017"/>
    <w:rsid w:val="00CB6521"/>
    <w:rsid w:val="00CB6823"/>
    <w:rsid w:val="00CB6B49"/>
    <w:rsid w:val="00CB6FBD"/>
    <w:rsid w:val="00CB710F"/>
    <w:rsid w:val="00CB7233"/>
    <w:rsid w:val="00CB72BE"/>
    <w:rsid w:val="00CB7522"/>
    <w:rsid w:val="00CB7689"/>
    <w:rsid w:val="00CB772B"/>
    <w:rsid w:val="00CB77C5"/>
    <w:rsid w:val="00CC0270"/>
    <w:rsid w:val="00CC02D1"/>
    <w:rsid w:val="00CC03BB"/>
    <w:rsid w:val="00CC0993"/>
    <w:rsid w:val="00CC0E0E"/>
    <w:rsid w:val="00CC153B"/>
    <w:rsid w:val="00CC1B69"/>
    <w:rsid w:val="00CC1C0D"/>
    <w:rsid w:val="00CC1CB7"/>
    <w:rsid w:val="00CC1F7A"/>
    <w:rsid w:val="00CC2EBF"/>
    <w:rsid w:val="00CC3D14"/>
    <w:rsid w:val="00CC4059"/>
    <w:rsid w:val="00CC468E"/>
    <w:rsid w:val="00CC46F0"/>
    <w:rsid w:val="00CC49D7"/>
    <w:rsid w:val="00CC4A64"/>
    <w:rsid w:val="00CC4B30"/>
    <w:rsid w:val="00CC4F66"/>
    <w:rsid w:val="00CC4F87"/>
    <w:rsid w:val="00CC5236"/>
    <w:rsid w:val="00CC53B4"/>
    <w:rsid w:val="00CC55A7"/>
    <w:rsid w:val="00CC5FCE"/>
    <w:rsid w:val="00CC6012"/>
    <w:rsid w:val="00CC6BD8"/>
    <w:rsid w:val="00CC6CF0"/>
    <w:rsid w:val="00CC6E02"/>
    <w:rsid w:val="00CC75D3"/>
    <w:rsid w:val="00CC77D5"/>
    <w:rsid w:val="00CC7839"/>
    <w:rsid w:val="00CC7DD2"/>
    <w:rsid w:val="00CD0631"/>
    <w:rsid w:val="00CD0704"/>
    <w:rsid w:val="00CD0B2C"/>
    <w:rsid w:val="00CD0B47"/>
    <w:rsid w:val="00CD0C6F"/>
    <w:rsid w:val="00CD0D2A"/>
    <w:rsid w:val="00CD10C8"/>
    <w:rsid w:val="00CD1112"/>
    <w:rsid w:val="00CD1337"/>
    <w:rsid w:val="00CD13DF"/>
    <w:rsid w:val="00CD1870"/>
    <w:rsid w:val="00CD1946"/>
    <w:rsid w:val="00CD2403"/>
    <w:rsid w:val="00CD2612"/>
    <w:rsid w:val="00CD2CF9"/>
    <w:rsid w:val="00CD2D77"/>
    <w:rsid w:val="00CD305E"/>
    <w:rsid w:val="00CD3671"/>
    <w:rsid w:val="00CD3817"/>
    <w:rsid w:val="00CD385C"/>
    <w:rsid w:val="00CD38B1"/>
    <w:rsid w:val="00CD397B"/>
    <w:rsid w:val="00CD3D7F"/>
    <w:rsid w:val="00CD4092"/>
    <w:rsid w:val="00CD41DD"/>
    <w:rsid w:val="00CD48F2"/>
    <w:rsid w:val="00CD54E8"/>
    <w:rsid w:val="00CD580E"/>
    <w:rsid w:val="00CD5D15"/>
    <w:rsid w:val="00CD5DF0"/>
    <w:rsid w:val="00CD5FDE"/>
    <w:rsid w:val="00CD62AF"/>
    <w:rsid w:val="00CD6357"/>
    <w:rsid w:val="00CD6715"/>
    <w:rsid w:val="00CD6AAC"/>
    <w:rsid w:val="00CD6FC4"/>
    <w:rsid w:val="00CD71ED"/>
    <w:rsid w:val="00CD7499"/>
    <w:rsid w:val="00CD7BDB"/>
    <w:rsid w:val="00CD7C0B"/>
    <w:rsid w:val="00CD7F7A"/>
    <w:rsid w:val="00CD7F92"/>
    <w:rsid w:val="00CE0357"/>
    <w:rsid w:val="00CE0A43"/>
    <w:rsid w:val="00CE0F32"/>
    <w:rsid w:val="00CE1BC8"/>
    <w:rsid w:val="00CE1E26"/>
    <w:rsid w:val="00CE2367"/>
    <w:rsid w:val="00CE2B21"/>
    <w:rsid w:val="00CE2EFE"/>
    <w:rsid w:val="00CE3324"/>
    <w:rsid w:val="00CE33C5"/>
    <w:rsid w:val="00CE390C"/>
    <w:rsid w:val="00CE3A07"/>
    <w:rsid w:val="00CE3F71"/>
    <w:rsid w:val="00CE4616"/>
    <w:rsid w:val="00CE4981"/>
    <w:rsid w:val="00CE4C65"/>
    <w:rsid w:val="00CE52DC"/>
    <w:rsid w:val="00CE53C0"/>
    <w:rsid w:val="00CE54A5"/>
    <w:rsid w:val="00CE58EA"/>
    <w:rsid w:val="00CE5ABF"/>
    <w:rsid w:val="00CE5C57"/>
    <w:rsid w:val="00CE674F"/>
    <w:rsid w:val="00CE6856"/>
    <w:rsid w:val="00CE6B93"/>
    <w:rsid w:val="00CE6C73"/>
    <w:rsid w:val="00CE6C92"/>
    <w:rsid w:val="00CE6EAE"/>
    <w:rsid w:val="00CE7054"/>
    <w:rsid w:val="00CE7367"/>
    <w:rsid w:val="00CE7534"/>
    <w:rsid w:val="00CF0156"/>
    <w:rsid w:val="00CF0DF2"/>
    <w:rsid w:val="00CF0F6B"/>
    <w:rsid w:val="00CF10F9"/>
    <w:rsid w:val="00CF1447"/>
    <w:rsid w:val="00CF16A5"/>
    <w:rsid w:val="00CF1759"/>
    <w:rsid w:val="00CF1BCE"/>
    <w:rsid w:val="00CF1E57"/>
    <w:rsid w:val="00CF2F2E"/>
    <w:rsid w:val="00CF3050"/>
    <w:rsid w:val="00CF40FD"/>
    <w:rsid w:val="00CF47D4"/>
    <w:rsid w:val="00CF48BB"/>
    <w:rsid w:val="00CF4902"/>
    <w:rsid w:val="00CF4DA4"/>
    <w:rsid w:val="00CF527F"/>
    <w:rsid w:val="00CF54A6"/>
    <w:rsid w:val="00CF55E3"/>
    <w:rsid w:val="00CF5912"/>
    <w:rsid w:val="00CF6085"/>
    <w:rsid w:val="00CF626B"/>
    <w:rsid w:val="00CF72CF"/>
    <w:rsid w:val="00D00103"/>
    <w:rsid w:val="00D0012C"/>
    <w:rsid w:val="00D001A0"/>
    <w:rsid w:val="00D0037A"/>
    <w:rsid w:val="00D004A0"/>
    <w:rsid w:val="00D005FA"/>
    <w:rsid w:val="00D00BFD"/>
    <w:rsid w:val="00D01172"/>
    <w:rsid w:val="00D011F5"/>
    <w:rsid w:val="00D018AD"/>
    <w:rsid w:val="00D02474"/>
    <w:rsid w:val="00D024E9"/>
    <w:rsid w:val="00D02BB2"/>
    <w:rsid w:val="00D02DBD"/>
    <w:rsid w:val="00D0300B"/>
    <w:rsid w:val="00D034C7"/>
    <w:rsid w:val="00D03ABF"/>
    <w:rsid w:val="00D03BE8"/>
    <w:rsid w:val="00D04530"/>
    <w:rsid w:val="00D0532E"/>
    <w:rsid w:val="00D05E33"/>
    <w:rsid w:val="00D05F8F"/>
    <w:rsid w:val="00D06C3E"/>
    <w:rsid w:val="00D06FAD"/>
    <w:rsid w:val="00D07BD4"/>
    <w:rsid w:val="00D07D79"/>
    <w:rsid w:val="00D103AF"/>
    <w:rsid w:val="00D10AC0"/>
    <w:rsid w:val="00D10B99"/>
    <w:rsid w:val="00D111A3"/>
    <w:rsid w:val="00D111AF"/>
    <w:rsid w:val="00D11445"/>
    <w:rsid w:val="00D11680"/>
    <w:rsid w:val="00D11F3A"/>
    <w:rsid w:val="00D11FE3"/>
    <w:rsid w:val="00D1223F"/>
    <w:rsid w:val="00D122DD"/>
    <w:rsid w:val="00D1259B"/>
    <w:rsid w:val="00D1265A"/>
    <w:rsid w:val="00D1265D"/>
    <w:rsid w:val="00D128F8"/>
    <w:rsid w:val="00D13613"/>
    <w:rsid w:val="00D13623"/>
    <w:rsid w:val="00D13AA4"/>
    <w:rsid w:val="00D13C7C"/>
    <w:rsid w:val="00D13FFB"/>
    <w:rsid w:val="00D143A5"/>
    <w:rsid w:val="00D14712"/>
    <w:rsid w:val="00D147F0"/>
    <w:rsid w:val="00D149ED"/>
    <w:rsid w:val="00D1598A"/>
    <w:rsid w:val="00D15A7D"/>
    <w:rsid w:val="00D15E0F"/>
    <w:rsid w:val="00D166F7"/>
    <w:rsid w:val="00D16A86"/>
    <w:rsid w:val="00D16DC9"/>
    <w:rsid w:val="00D170C8"/>
    <w:rsid w:val="00D17A6A"/>
    <w:rsid w:val="00D20995"/>
    <w:rsid w:val="00D20AE3"/>
    <w:rsid w:val="00D20C01"/>
    <w:rsid w:val="00D20F08"/>
    <w:rsid w:val="00D2100C"/>
    <w:rsid w:val="00D2167E"/>
    <w:rsid w:val="00D21E83"/>
    <w:rsid w:val="00D22AD4"/>
    <w:rsid w:val="00D22B8F"/>
    <w:rsid w:val="00D23570"/>
    <w:rsid w:val="00D24BBD"/>
    <w:rsid w:val="00D24D44"/>
    <w:rsid w:val="00D25185"/>
    <w:rsid w:val="00D252AF"/>
    <w:rsid w:val="00D25410"/>
    <w:rsid w:val="00D256EC"/>
    <w:rsid w:val="00D25745"/>
    <w:rsid w:val="00D25979"/>
    <w:rsid w:val="00D25B81"/>
    <w:rsid w:val="00D25E32"/>
    <w:rsid w:val="00D263F3"/>
    <w:rsid w:val="00D2652B"/>
    <w:rsid w:val="00D26691"/>
    <w:rsid w:val="00D2696A"/>
    <w:rsid w:val="00D26BCA"/>
    <w:rsid w:val="00D26C73"/>
    <w:rsid w:val="00D26F4B"/>
    <w:rsid w:val="00D27608"/>
    <w:rsid w:val="00D2766F"/>
    <w:rsid w:val="00D27838"/>
    <w:rsid w:val="00D30175"/>
    <w:rsid w:val="00D301A4"/>
    <w:rsid w:val="00D302B8"/>
    <w:rsid w:val="00D304DC"/>
    <w:rsid w:val="00D3050C"/>
    <w:rsid w:val="00D30A3D"/>
    <w:rsid w:val="00D30FB5"/>
    <w:rsid w:val="00D30FBD"/>
    <w:rsid w:val="00D31954"/>
    <w:rsid w:val="00D32369"/>
    <w:rsid w:val="00D32D04"/>
    <w:rsid w:val="00D3348F"/>
    <w:rsid w:val="00D33D15"/>
    <w:rsid w:val="00D34ED7"/>
    <w:rsid w:val="00D3543B"/>
    <w:rsid w:val="00D355EC"/>
    <w:rsid w:val="00D36174"/>
    <w:rsid w:val="00D367AE"/>
    <w:rsid w:val="00D376EA"/>
    <w:rsid w:val="00D40559"/>
    <w:rsid w:val="00D4057A"/>
    <w:rsid w:val="00D41033"/>
    <w:rsid w:val="00D41151"/>
    <w:rsid w:val="00D41242"/>
    <w:rsid w:val="00D4139C"/>
    <w:rsid w:val="00D41926"/>
    <w:rsid w:val="00D41B20"/>
    <w:rsid w:val="00D42218"/>
    <w:rsid w:val="00D4272A"/>
    <w:rsid w:val="00D4275F"/>
    <w:rsid w:val="00D4295B"/>
    <w:rsid w:val="00D42E6E"/>
    <w:rsid w:val="00D43157"/>
    <w:rsid w:val="00D432AE"/>
    <w:rsid w:val="00D437DF"/>
    <w:rsid w:val="00D43936"/>
    <w:rsid w:val="00D443EE"/>
    <w:rsid w:val="00D44529"/>
    <w:rsid w:val="00D4489F"/>
    <w:rsid w:val="00D449C3"/>
    <w:rsid w:val="00D44C26"/>
    <w:rsid w:val="00D4526B"/>
    <w:rsid w:val="00D45460"/>
    <w:rsid w:val="00D456B9"/>
    <w:rsid w:val="00D45B0F"/>
    <w:rsid w:val="00D45C27"/>
    <w:rsid w:val="00D4618B"/>
    <w:rsid w:val="00D46A27"/>
    <w:rsid w:val="00D4725D"/>
    <w:rsid w:val="00D476E9"/>
    <w:rsid w:val="00D4782C"/>
    <w:rsid w:val="00D478C6"/>
    <w:rsid w:val="00D47C76"/>
    <w:rsid w:val="00D47CFB"/>
    <w:rsid w:val="00D47F18"/>
    <w:rsid w:val="00D47FA6"/>
    <w:rsid w:val="00D50A2E"/>
    <w:rsid w:val="00D50CED"/>
    <w:rsid w:val="00D51693"/>
    <w:rsid w:val="00D52A69"/>
    <w:rsid w:val="00D53B61"/>
    <w:rsid w:val="00D54247"/>
    <w:rsid w:val="00D545A5"/>
    <w:rsid w:val="00D55222"/>
    <w:rsid w:val="00D554B6"/>
    <w:rsid w:val="00D55CAA"/>
    <w:rsid w:val="00D55D95"/>
    <w:rsid w:val="00D56ABF"/>
    <w:rsid w:val="00D56DFA"/>
    <w:rsid w:val="00D5704E"/>
    <w:rsid w:val="00D5762A"/>
    <w:rsid w:val="00D576F8"/>
    <w:rsid w:val="00D577E0"/>
    <w:rsid w:val="00D57B27"/>
    <w:rsid w:val="00D60CB3"/>
    <w:rsid w:val="00D60E58"/>
    <w:rsid w:val="00D61102"/>
    <w:rsid w:val="00D613CD"/>
    <w:rsid w:val="00D619CF"/>
    <w:rsid w:val="00D61C53"/>
    <w:rsid w:val="00D62019"/>
    <w:rsid w:val="00D629F2"/>
    <w:rsid w:val="00D62B72"/>
    <w:rsid w:val="00D63171"/>
    <w:rsid w:val="00D6342B"/>
    <w:rsid w:val="00D635BB"/>
    <w:rsid w:val="00D638CE"/>
    <w:rsid w:val="00D63E8B"/>
    <w:rsid w:val="00D63F56"/>
    <w:rsid w:val="00D6454E"/>
    <w:rsid w:val="00D648D4"/>
    <w:rsid w:val="00D64AA5"/>
    <w:rsid w:val="00D64B19"/>
    <w:rsid w:val="00D64B67"/>
    <w:rsid w:val="00D64DAB"/>
    <w:rsid w:val="00D64E2C"/>
    <w:rsid w:val="00D652D2"/>
    <w:rsid w:val="00D653D1"/>
    <w:rsid w:val="00D65AA8"/>
    <w:rsid w:val="00D65BEC"/>
    <w:rsid w:val="00D65C56"/>
    <w:rsid w:val="00D66082"/>
    <w:rsid w:val="00D66C89"/>
    <w:rsid w:val="00D67020"/>
    <w:rsid w:val="00D67175"/>
    <w:rsid w:val="00D671B1"/>
    <w:rsid w:val="00D679E3"/>
    <w:rsid w:val="00D67B87"/>
    <w:rsid w:val="00D70521"/>
    <w:rsid w:val="00D70641"/>
    <w:rsid w:val="00D70D1C"/>
    <w:rsid w:val="00D70F0F"/>
    <w:rsid w:val="00D70FBD"/>
    <w:rsid w:val="00D7105D"/>
    <w:rsid w:val="00D7165C"/>
    <w:rsid w:val="00D716E2"/>
    <w:rsid w:val="00D7323E"/>
    <w:rsid w:val="00D73259"/>
    <w:rsid w:val="00D74079"/>
    <w:rsid w:val="00D741B8"/>
    <w:rsid w:val="00D74386"/>
    <w:rsid w:val="00D74417"/>
    <w:rsid w:val="00D746F9"/>
    <w:rsid w:val="00D748FD"/>
    <w:rsid w:val="00D74A94"/>
    <w:rsid w:val="00D74C0F"/>
    <w:rsid w:val="00D74DDB"/>
    <w:rsid w:val="00D754A5"/>
    <w:rsid w:val="00D7594E"/>
    <w:rsid w:val="00D75C33"/>
    <w:rsid w:val="00D75D7F"/>
    <w:rsid w:val="00D7615D"/>
    <w:rsid w:val="00D76D2F"/>
    <w:rsid w:val="00D77CC2"/>
    <w:rsid w:val="00D77D88"/>
    <w:rsid w:val="00D809C1"/>
    <w:rsid w:val="00D810A8"/>
    <w:rsid w:val="00D8131C"/>
    <w:rsid w:val="00D81588"/>
    <w:rsid w:val="00D81689"/>
    <w:rsid w:val="00D81C3E"/>
    <w:rsid w:val="00D81DAE"/>
    <w:rsid w:val="00D820D0"/>
    <w:rsid w:val="00D82107"/>
    <w:rsid w:val="00D82801"/>
    <w:rsid w:val="00D82C60"/>
    <w:rsid w:val="00D83A64"/>
    <w:rsid w:val="00D83C04"/>
    <w:rsid w:val="00D83F3D"/>
    <w:rsid w:val="00D83F64"/>
    <w:rsid w:val="00D84ACB"/>
    <w:rsid w:val="00D851C8"/>
    <w:rsid w:val="00D853D0"/>
    <w:rsid w:val="00D85BD0"/>
    <w:rsid w:val="00D85FCE"/>
    <w:rsid w:val="00D8632B"/>
    <w:rsid w:val="00D86478"/>
    <w:rsid w:val="00D867BD"/>
    <w:rsid w:val="00D87291"/>
    <w:rsid w:val="00D8745E"/>
    <w:rsid w:val="00D87946"/>
    <w:rsid w:val="00D87BA8"/>
    <w:rsid w:val="00D87EF6"/>
    <w:rsid w:val="00D90330"/>
    <w:rsid w:val="00D904A8"/>
    <w:rsid w:val="00D90612"/>
    <w:rsid w:val="00D9194B"/>
    <w:rsid w:val="00D91D30"/>
    <w:rsid w:val="00D92102"/>
    <w:rsid w:val="00D92363"/>
    <w:rsid w:val="00D928B0"/>
    <w:rsid w:val="00D929D2"/>
    <w:rsid w:val="00D9311F"/>
    <w:rsid w:val="00D93587"/>
    <w:rsid w:val="00D93A53"/>
    <w:rsid w:val="00D93D88"/>
    <w:rsid w:val="00D94930"/>
    <w:rsid w:val="00D94D39"/>
    <w:rsid w:val="00D94EC4"/>
    <w:rsid w:val="00D94EF1"/>
    <w:rsid w:val="00D95CF2"/>
    <w:rsid w:val="00D95F67"/>
    <w:rsid w:val="00D960C3"/>
    <w:rsid w:val="00D96336"/>
    <w:rsid w:val="00D96905"/>
    <w:rsid w:val="00D97166"/>
    <w:rsid w:val="00D971CB"/>
    <w:rsid w:val="00D971FD"/>
    <w:rsid w:val="00D9746A"/>
    <w:rsid w:val="00D97747"/>
    <w:rsid w:val="00D977F9"/>
    <w:rsid w:val="00D97D7D"/>
    <w:rsid w:val="00DA076C"/>
    <w:rsid w:val="00DA090E"/>
    <w:rsid w:val="00DA16EC"/>
    <w:rsid w:val="00DA1E40"/>
    <w:rsid w:val="00DA215D"/>
    <w:rsid w:val="00DA2687"/>
    <w:rsid w:val="00DA2759"/>
    <w:rsid w:val="00DA2EC1"/>
    <w:rsid w:val="00DA2F3D"/>
    <w:rsid w:val="00DA33D6"/>
    <w:rsid w:val="00DA3421"/>
    <w:rsid w:val="00DA447D"/>
    <w:rsid w:val="00DA45A4"/>
    <w:rsid w:val="00DA4DD8"/>
    <w:rsid w:val="00DA5020"/>
    <w:rsid w:val="00DA516D"/>
    <w:rsid w:val="00DA52B7"/>
    <w:rsid w:val="00DA553F"/>
    <w:rsid w:val="00DA5AE8"/>
    <w:rsid w:val="00DA5D0E"/>
    <w:rsid w:val="00DA5EBB"/>
    <w:rsid w:val="00DA6778"/>
    <w:rsid w:val="00DA760B"/>
    <w:rsid w:val="00DA7FBC"/>
    <w:rsid w:val="00DB050D"/>
    <w:rsid w:val="00DB0DCB"/>
    <w:rsid w:val="00DB0F20"/>
    <w:rsid w:val="00DB1C2F"/>
    <w:rsid w:val="00DB1CFF"/>
    <w:rsid w:val="00DB22D2"/>
    <w:rsid w:val="00DB2341"/>
    <w:rsid w:val="00DB2832"/>
    <w:rsid w:val="00DB299C"/>
    <w:rsid w:val="00DB31A6"/>
    <w:rsid w:val="00DB36CA"/>
    <w:rsid w:val="00DB372D"/>
    <w:rsid w:val="00DB3B71"/>
    <w:rsid w:val="00DB43A9"/>
    <w:rsid w:val="00DB4AC0"/>
    <w:rsid w:val="00DB4ADB"/>
    <w:rsid w:val="00DB4B44"/>
    <w:rsid w:val="00DB522C"/>
    <w:rsid w:val="00DB611B"/>
    <w:rsid w:val="00DB6419"/>
    <w:rsid w:val="00DB6422"/>
    <w:rsid w:val="00DB6793"/>
    <w:rsid w:val="00DB6E8D"/>
    <w:rsid w:val="00DB77E3"/>
    <w:rsid w:val="00DC033C"/>
    <w:rsid w:val="00DC12A1"/>
    <w:rsid w:val="00DC1508"/>
    <w:rsid w:val="00DC164A"/>
    <w:rsid w:val="00DC179B"/>
    <w:rsid w:val="00DC1AD3"/>
    <w:rsid w:val="00DC1B12"/>
    <w:rsid w:val="00DC1BD7"/>
    <w:rsid w:val="00DC1FE1"/>
    <w:rsid w:val="00DC2141"/>
    <w:rsid w:val="00DC2AD5"/>
    <w:rsid w:val="00DC3201"/>
    <w:rsid w:val="00DC3732"/>
    <w:rsid w:val="00DC3C58"/>
    <w:rsid w:val="00DC3F8E"/>
    <w:rsid w:val="00DC3FC3"/>
    <w:rsid w:val="00DC479C"/>
    <w:rsid w:val="00DC47BD"/>
    <w:rsid w:val="00DC5FE3"/>
    <w:rsid w:val="00DC61B0"/>
    <w:rsid w:val="00DC6259"/>
    <w:rsid w:val="00DC79DD"/>
    <w:rsid w:val="00DC7BED"/>
    <w:rsid w:val="00DC7BEE"/>
    <w:rsid w:val="00DD0117"/>
    <w:rsid w:val="00DD049A"/>
    <w:rsid w:val="00DD0DB3"/>
    <w:rsid w:val="00DD1107"/>
    <w:rsid w:val="00DD1662"/>
    <w:rsid w:val="00DD1680"/>
    <w:rsid w:val="00DD2A1B"/>
    <w:rsid w:val="00DD2E94"/>
    <w:rsid w:val="00DD38E9"/>
    <w:rsid w:val="00DD3A18"/>
    <w:rsid w:val="00DD3EED"/>
    <w:rsid w:val="00DD4327"/>
    <w:rsid w:val="00DD4476"/>
    <w:rsid w:val="00DD49AB"/>
    <w:rsid w:val="00DD4A92"/>
    <w:rsid w:val="00DD4B8B"/>
    <w:rsid w:val="00DD4B9F"/>
    <w:rsid w:val="00DD4CF5"/>
    <w:rsid w:val="00DD5112"/>
    <w:rsid w:val="00DD5153"/>
    <w:rsid w:val="00DD592C"/>
    <w:rsid w:val="00DD5940"/>
    <w:rsid w:val="00DD5B6E"/>
    <w:rsid w:val="00DD5E0F"/>
    <w:rsid w:val="00DD5E9A"/>
    <w:rsid w:val="00DD64DE"/>
    <w:rsid w:val="00DD6600"/>
    <w:rsid w:val="00DD68B7"/>
    <w:rsid w:val="00DD6958"/>
    <w:rsid w:val="00DD6B2B"/>
    <w:rsid w:val="00DD6C5E"/>
    <w:rsid w:val="00DD6D49"/>
    <w:rsid w:val="00DD73EC"/>
    <w:rsid w:val="00DD75D9"/>
    <w:rsid w:val="00DD7759"/>
    <w:rsid w:val="00DD77D7"/>
    <w:rsid w:val="00DD795E"/>
    <w:rsid w:val="00DD7A4E"/>
    <w:rsid w:val="00DD7E13"/>
    <w:rsid w:val="00DD7F6F"/>
    <w:rsid w:val="00DE01F9"/>
    <w:rsid w:val="00DE0CCB"/>
    <w:rsid w:val="00DE0CFE"/>
    <w:rsid w:val="00DE0E77"/>
    <w:rsid w:val="00DE14C3"/>
    <w:rsid w:val="00DE1955"/>
    <w:rsid w:val="00DE197D"/>
    <w:rsid w:val="00DE1B2F"/>
    <w:rsid w:val="00DE2219"/>
    <w:rsid w:val="00DE23B1"/>
    <w:rsid w:val="00DE2524"/>
    <w:rsid w:val="00DE304A"/>
    <w:rsid w:val="00DE353E"/>
    <w:rsid w:val="00DE375E"/>
    <w:rsid w:val="00DE39F7"/>
    <w:rsid w:val="00DE3CAB"/>
    <w:rsid w:val="00DE4064"/>
    <w:rsid w:val="00DE4AD3"/>
    <w:rsid w:val="00DE4D12"/>
    <w:rsid w:val="00DE50EA"/>
    <w:rsid w:val="00DE5550"/>
    <w:rsid w:val="00DE5593"/>
    <w:rsid w:val="00DE5991"/>
    <w:rsid w:val="00DE5BD1"/>
    <w:rsid w:val="00DE620B"/>
    <w:rsid w:val="00DE66D4"/>
    <w:rsid w:val="00DE6A72"/>
    <w:rsid w:val="00DE7184"/>
    <w:rsid w:val="00DE7D05"/>
    <w:rsid w:val="00DF001D"/>
    <w:rsid w:val="00DF03BC"/>
    <w:rsid w:val="00DF07B3"/>
    <w:rsid w:val="00DF0960"/>
    <w:rsid w:val="00DF0CEF"/>
    <w:rsid w:val="00DF10CD"/>
    <w:rsid w:val="00DF16B3"/>
    <w:rsid w:val="00DF176C"/>
    <w:rsid w:val="00DF1829"/>
    <w:rsid w:val="00DF20EE"/>
    <w:rsid w:val="00DF212A"/>
    <w:rsid w:val="00DF2226"/>
    <w:rsid w:val="00DF2354"/>
    <w:rsid w:val="00DF2546"/>
    <w:rsid w:val="00DF2E83"/>
    <w:rsid w:val="00DF31BE"/>
    <w:rsid w:val="00DF394D"/>
    <w:rsid w:val="00DF4181"/>
    <w:rsid w:val="00DF4373"/>
    <w:rsid w:val="00DF4B70"/>
    <w:rsid w:val="00DF4DEB"/>
    <w:rsid w:val="00DF540F"/>
    <w:rsid w:val="00DF5B9D"/>
    <w:rsid w:val="00DF631F"/>
    <w:rsid w:val="00DF6590"/>
    <w:rsid w:val="00DF7326"/>
    <w:rsid w:val="00DF7A02"/>
    <w:rsid w:val="00DF7AF4"/>
    <w:rsid w:val="00DF7B9C"/>
    <w:rsid w:val="00E00057"/>
    <w:rsid w:val="00E014FE"/>
    <w:rsid w:val="00E0182E"/>
    <w:rsid w:val="00E01D3D"/>
    <w:rsid w:val="00E01ED7"/>
    <w:rsid w:val="00E0203B"/>
    <w:rsid w:val="00E02913"/>
    <w:rsid w:val="00E02926"/>
    <w:rsid w:val="00E02AAE"/>
    <w:rsid w:val="00E02D63"/>
    <w:rsid w:val="00E02E11"/>
    <w:rsid w:val="00E03B31"/>
    <w:rsid w:val="00E040A9"/>
    <w:rsid w:val="00E04472"/>
    <w:rsid w:val="00E045EF"/>
    <w:rsid w:val="00E0463B"/>
    <w:rsid w:val="00E046B6"/>
    <w:rsid w:val="00E04B6A"/>
    <w:rsid w:val="00E04D07"/>
    <w:rsid w:val="00E05123"/>
    <w:rsid w:val="00E0515B"/>
    <w:rsid w:val="00E053A1"/>
    <w:rsid w:val="00E053B0"/>
    <w:rsid w:val="00E05538"/>
    <w:rsid w:val="00E05A71"/>
    <w:rsid w:val="00E05F75"/>
    <w:rsid w:val="00E0688B"/>
    <w:rsid w:val="00E068CE"/>
    <w:rsid w:val="00E06DF4"/>
    <w:rsid w:val="00E0704C"/>
    <w:rsid w:val="00E075DE"/>
    <w:rsid w:val="00E07708"/>
    <w:rsid w:val="00E100ED"/>
    <w:rsid w:val="00E1050E"/>
    <w:rsid w:val="00E1053A"/>
    <w:rsid w:val="00E108E7"/>
    <w:rsid w:val="00E10A25"/>
    <w:rsid w:val="00E10E72"/>
    <w:rsid w:val="00E10FBB"/>
    <w:rsid w:val="00E1117A"/>
    <w:rsid w:val="00E1149E"/>
    <w:rsid w:val="00E11F20"/>
    <w:rsid w:val="00E1254F"/>
    <w:rsid w:val="00E125A0"/>
    <w:rsid w:val="00E12694"/>
    <w:rsid w:val="00E12BDE"/>
    <w:rsid w:val="00E12D76"/>
    <w:rsid w:val="00E130B9"/>
    <w:rsid w:val="00E13162"/>
    <w:rsid w:val="00E13A73"/>
    <w:rsid w:val="00E13BBC"/>
    <w:rsid w:val="00E13E67"/>
    <w:rsid w:val="00E140A3"/>
    <w:rsid w:val="00E140F8"/>
    <w:rsid w:val="00E14388"/>
    <w:rsid w:val="00E1439A"/>
    <w:rsid w:val="00E144AE"/>
    <w:rsid w:val="00E14D6B"/>
    <w:rsid w:val="00E155A2"/>
    <w:rsid w:val="00E159D8"/>
    <w:rsid w:val="00E15EE7"/>
    <w:rsid w:val="00E16305"/>
    <w:rsid w:val="00E165DF"/>
    <w:rsid w:val="00E16702"/>
    <w:rsid w:val="00E16E55"/>
    <w:rsid w:val="00E171A5"/>
    <w:rsid w:val="00E178CE"/>
    <w:rsid w:val="00E17B6F"/>
    <w:rsid w:val="00E208F6"/>
    <w:rsid w:val="00E20E23"/>
    <w:rsid w:val="00E21256"/>
    <w:rsid w:val="00E21557"/>
    <w:rsid w:val="00E217BC"/>
    <w:rsid w:val="00E22311"/>
    <w:rsid w:val="00E22719"/>
    <w:rsid w:val="00E2298F"/>
    <w:rsid w:val="00E23204"/>
    <w:rsid w:val="00E23459"/>
    <w:rsid w:val="00E23BE8"/>
    <w:rsid w:val="00E23E71"/>
    <w:rsid w:val="00E2446A"/>
    <w:rsid w:val="00E24506"/>
    <w:rsid w:val="00E246E2"/>
    <w:rsid w:val="00E24A04"/>
    <w:rsid w:val="00E24C1A"/>
    <w:rsid w:val="00E24C50"/>
    <w:rsid w:val="00E24CD5"/>
    <w:rsid w:val="00E25499"/>
    <w:rsid w:val="00E2550E"/>
    <w:rsid w:val="00E25BBB"/>
    <w:rsid w:val="00E25C50"/>
    <w:rsid w:val="00E25EC6"/>
    <w:rsid w:val="00E25EF7"/>
    <w:rsid w:val="00E26099"/>
    <w:rsid w:val="00E26403"/>
    <w:rsid w:val="00E2667B"/>
    <w:rsid w:val="00E26C4F"/>
    <w:rsid w:val="00E26D00"/>
    <w:rsid w:val="00E26E49"/>
    <w:rsid w:val="00E26E73"/>
    <w:rsid w:val="00E271DA"/>
    <w:rsid w:val="00E2759C"/>
    <w:rsid w:val="00E275F0"/>
    <w:rsid w:val="00E278E0"/>
    <w:rsid w:val="00E27B58"/>
    <w:rsid w:val="00E3010E"/>
    <w:rsid w:val="00E3037B"/>
    <w:rsid w:val="00E3052E"/>
    <w:rsid w:val="00E30E5F"/>
    <w:rsid w:val="00E310C0"/>
    <w:rsid w:val="00E31397"/>
    <w:rsid w:val="00E31543"/>
    <w:rsid w:val="00E3171D"/>
    <w:rsid w:val="00E31777"/>
    <w:rsid w:val="00E318B7"/>
    <w:rsid w:val="00E3209E"/>
    <w:rsid w:val="00E320B3"/>
    <w:rsid w:val="00E320BC"/>
    <w:rsid w:val="00E326B4"/>
    <w:rsid w:val="00E32CD7"/>
    <w:rsid w:val="00E32D11"/>
    <w:rsid w:val="00E33024"/>
    <w:rsid w:val="00E33312"/>
    <w:rsid w:val="00E3336E"/>
    <w:rsid w:val="00E33810"/>
    <w:rsid w:val="00E33C04"/>
    <w:rsid w:val="00E3404C"/>
    <w:rsid w:val="00E340C7"/>
    <w:rsid w:val="00E344AB"/>
    <w:rsid w:val="00E34E76"/>
    <w:rsid w:val="00E35444"/>
    <w:rsid w:val="00E35794"/>
    <w:rsid w:val="00E357E4"/>
    <w:rsid w:val="00E357E9"/>
    <w:rsid w:val="00E359CD"/>
    <w:rsid w:val="00E359DF"/>
    <w:rsid w:val="00E35EDD"/>
    <w:rsid w:val="00E361A6"/>
    <w:rsid w:val="00E36573"/>
    <w:rsid w:val="00E365F2"/>
    <w:rsid w:val="00E366D2"/>
    <w:rsid w:val="00E36934"/>
    <w:rsid w:val="00E36B6E"/>
    <w:rsid w:val="00E36E11"/>
    <w:rsid w:val="00E36EA2"/>
    <w:rsid w:val="00E37567"/>
    <w:rsid w:val="00E37BA2"/>
    <w:rsid w:val="00E401A9"/>
    <w:rsid w:val="00E4065D"/>
    <w:rsid w:val="00E40731"/>
    <w:rsid w:val="00E40F65"/>
    <w:rsid w:val="00E416F1"/>
    <w:rsid w:val="00E41824"/>
    <w:rsid w:val="00E41C52"/>
    <w:rsid w:val="00E424FD"/>
    <w:rsid w:val="00E42505"/>
    <w:rsid w:val="00E42B8E"/>
    <w:rsid w:val="00E430F1"/>
    <w:rsid w:val="00E431C7"/>
    <w:rsid w:val="00E43589"/>
    <w:rsid w:val="00E436C1"/>
    <w:rsid w:val="00E436C7"/>
    <w:rsid w:val="00E43833"/>
    <w:rsid w:val="00E43DE8"/>
    <w:rsid w:val="00E43F58"/>
    <w:rsid w:val="00E44242"/>
    <w:rsid w:val="00E447F8"/>
    <w:rsid w:val="00E452E8"/>
    <w:rsid w:val="00E4534E"/>
    <w:rsid w:val="00E45521"/>
    <w:rsid w:val="00E455E6"/>
    <w:rsid w:val="00E45836"/>
    <w:rsid w:val="00E458D1"/>
    <w:rsid w:val="00E45E1C"/>
    <w:rsid w:val="00E45EFF"/>
    <w:rsid w:val="00E46200"/>
    <w:rsid w:val="00E465E0"/>
    <w:rsid w:val="00E47015"/>
    <w:rsid w:val="00E470DA"/>
    <w:rsid w:val="00E4717D"/>
    <w:rsid w:val="00E47231"/>
    <w:rsid w:val="00E47718"/>
    <w:rsid w:val="00E47A2A"/>
    <w:rsid w:val="00E47FCD"/>
    <w:rsid w:val="00E502B2"/>
    <w:rsid w:val="00E507AA"/>
    <w:rsid w:val="00E507F4"/>
    <w:rsid w:val="00E507FD"/>
    <w:rsid w:val="00E508CB"/>
    <w:rsid w:val="00E50A74"/>
    <w:rsid w:val="00E50F34"/>
    <w:rsid w:val="00E50F95"/>
    <w:rsid w:val="00E51812"/>
    <w:rsid w:val="00E5187F"/>
    <w:rsid w:val="00E51C70"/>
    <w:rsid w:val="00E51E38"/>
    <w:rsid w:val="00E51EAF"/>
    <w:rsid w:val="00E51FB1"/>
    <w:rsid w:val="00E52406"/>
    <w:rsid w:val="00E526BE"/>
    <w:rsid w:val="00E526D1"/>
    <w:rsid w:val="00E52D8C"/>
    <w:rsid w:val="00E53154"/>
    <w:rsid w:val="00E53381"/>
    <w:rsid w:val="00E5349F"/>
    <w:rsid w:val="00E53584"/>
    <w:rsid w:val="00E5368A"/>
    <w:rsid w:val="00E54A32"/>
    <w:rsid w:val="00E54B51"/>
    <w:rsid w:val="00E54F34"/>
    <w:rsid w:val="00E54F7A"/>
    <w:rsid w:val="00E552AE"/>
    <w:rsid w:val="00E5540B"/>
    <w:rsid w:val="00E5557B"/>
    <w:rsid w:val="00E556FE"/>
    <w:rsid w:val="00E557C5"/>
    <w:rsid w:val="00E55804"/>
    <w:rsid w:val="00E56139"/>
    <w:rsid w:val="00E561AA"/>
    <w:rsid w:val="00E562C8"/>
    <w:rsid w:val="00E56F4B"/>
    <w:rsid w:val="00E56FCD"/>
    <w:rsid w:val="00E57222"/>
    <w:rsid w:val="00E57C31"/>
    <w:rsid w:val="00E57E20"/>
    <w:rsid w:val="00E57EAA"/>
    <w:rsid w:val="00E57FE0"/>
    <w:rsid w:val="00E57FF6"/>
    <w:rsid w:val="00E600DB"/>
    <w:rsid w:val="00E61019"/>
    <w:rsid w:val="00E6139B"/>
    <w:rsid w:val="00E61A25"/>
    <w:rsid w:val="00E61CB9"/>
    <w:rsid w:val="00E61EB9"/>
    <w:rsid w:val="00E62142"/>
    <w:rsid w:val="00E62243"/>
    <w:rsid w:val="00E6260F"/>
    <w:rsid w:val="00E627E1"/>
    <w:rsid w:val="00E63141"/>
    <w:rsid w:val="00E631AD"/>
    <w:rsid w:val="00E632E9"/>
    <w:rsid w:val="00E634F5"/>
    <w:rsid w:val="00E637A7"/>
    <w:rsid w:val="00E63B42"/>
    <w:rsid w:val="00E63C40"/>
    <w:rsid w:val="00E641F0"/>
    <w:rsid w:val="00E6426D"/>
    <w:rsid w:val="00E64840"/>
    <w:rsid w:val="00E64A96"/>
    <w:rsid w:val="00E64F4E"/>
    <w:rsid w:val="00E65C3D"/>
    <w:rsid w:val="00E666F4"/>
    <w:rsid w:val="00E66B76"/>
    <w:rsid w:val="00E66F8B"/>
    <w:rsid w:val="00E6774E"/>
    <w:rsid w:val="00E677EF"/>
    <w:rsid w:val="00E67D24"/>
    <w:rsid w:val="00E67E8F"/>
    <w:rsid w:val="00E706B0"/>
    <w:rsid w:val="00E71163"/>
    <w:rsid w:val="00E71254"/>
    <w:rsid w:val="00E71861"/>
    <w:rsid w:val="00E7227D"/>
    <w:rsid w:val="00E72643"/>
    <w:rsid w:val="00E7285F"/>
    <w:rsid w:val="00E72A76"/>
    <w:rsid w:val="00E72F55"/>
    <w:rsid w:val="00E732C5"/>
    <w:rsid w:val="00E73878"/>
    <w:rsid w:val="00E73947"/>
    <w:rsid w:val="00E746CF"/>
    <w:rsid w:val="00E74788"/>
    <w:rsid w:val="00E74D6B"/>
    <w:rsid w:val="00E756ED"/>
    <w:rsid w:val="00E75AFD"/>
    <w:rsid w:val="00E761EB"/>
    <w:rsid w:val="00E76BC2"/>
    <w:rsid w:val="00E76FF7"/>
    <w:rsid w:val="00E77AAD"/>
    <w:rsid w:val="00E77ED2"/>
    <w:rsid w:val="00E77FA8"/>
    <w:rsid w:val="00E80244"/>
    <w:rsid w:val="00E8032E"/>
    <w:rsid w:val="00E80467"/>
    <w:rsid w:val="00E8066E"/>
    <w:rsid w:val="00E806A3"/>
    <w:rsid w:val="00E808D3"/>
    <w:rsid w:val="00E80CBF"/>
    <w:rsid w:val="00E8174A"/>
    <w:rsid w:val="00E8189B"/>
    <w:rsid w:val="00E81C55"/>
    <w:rsid w:val="00E81D70"/>
    <w:rsid w:val="00E81F73"/>
    <w:rsid w:val="00E828EA"/>
    <w:rsid w:val="00E83757"/>
    <w:rsid w:val="00E83952"/>
    <w:rsid w:val="00E83EF8"/>
    <w:rsid w:val="00E84029"/>
    <w:rsid w:val="00E84437"/>
    <w:rsid w:val="00E849C0"/>
    <w:rsid w:val="00E849DD"/>
    <w:rsid w:val="00E84BD4"/>
    <w:rsid w:val="00E850CC"/>
    <w:rsid w:val="00E853BF"/>
    <w:rsid w:val="00E859ED"/>
    <w:rsid w:val="00E86167"/>
    <w:rsid w:val="00E8644C"/>
    <w:rsid w:val="00E867D0"/>
    <w:rsid w:val="00E867F3"/>
    <w:rsid w:val="00E8704A"/>
    <w:rsid w:val="00E87380"/>
    <w:rsid w:val="00E87453"/>
    <w:rsid w:val="00E876E9"/>
    <w:rsid w:val="00E87CC4"/>
    <w:rsid w:val="00E87D85"/>
    <w:rsid w:val="00E87DC1"/>
    <w:rsid w:val="00E909F2"/>
    <w:rsid w:val="00E90C24"/>
    <w:rsid w:val="00E911AD"/>
    <w:rsid w:val="00E9120E"/>
    <w:rsid w:val="00E92153"/>
    <w:rsid w:val="00E9289A"/>
    <w:rsid w:val="00E92A7A"/>
    <w:rsid w:val="00E92AB5"/>
    <w:rsid w:val="00E92BB2"/>
    <w:rsid w:val="00E92EA9"/>
    <w:rsid w:val="00E92F60"/>
    <w:rsid w:val="00E93027"/>
    <w:rsid w:val="00E9361B"/>
    <w:rsid w:val="00E938D3"/>
    <w:rsid w:val="00E93FB0"/>
    <w:rsid w:val="00E94078"/>
    <w:rsid w:val="00E94153"/>
    <w:rsid w:val="00E94EAA"/>
    <w:rsid w:val="00E952B9"/>
    <w:rsid w:val="00E95416"/>
    <w:rsid w:val="00E95FAB"/>
    <w:rsid w:val="00E961F5"/>
    <w:rsid w:val="00E96679"/>
    <w:rsid w:val="00E9676D"/>
    <w:rsid w:val="00E96F58"/>
    <w:rsid w:val="00E96FBC"/>
    <w:rsid w:val="00E971F0"/>
    <w:rsid w:val="00E97BA4"/>
    <w:rsid w:val="00E97FA9"/>
    <w:rsid w:val="00EA0D19"/>
    <w:rsid w:val="00EA0D33"/>
    <w:rsid w:val="00EA1358"/>
    <w:rsid w:val="00EA1761"/>
    <w:rsid w:val="00EA1E3C"/>
    <w:rsid w:val="00EA25BB"/>
    <w:rsid w:val="00EA2D0D"/>
    <w:rsid w:val="00EA2ECF"/>
    <w:rsid w:val="00EA32E3"/>
    <w:rsid w:val="00EA3544"/>
    <w:rsid w:val="00EA3A86"/>
    <w:rsid w:val="00EA3ACE"/>
    <w:rsid w:val="00EA3C4E"/>
    <w:rsid w:val="00EA440E"/>
    <w:rsid w:val="00EA44FC"/>
    <w:rsid w:val="00EA4982"/>
    <w:rsid w:val="00EA5087"/>
    <w:rsid w:val="00EA50CA"/>
    <w:rsid w:val="00EA518A"/>
    <w:rsid w:val="00EA53C4"/>
    <w:rsid w:val="00EA5498"/>
    <w:rsid w:val="00EA575C"/>
    <w:rsid w:val="00EA58FF"/>
    <w:rsid w:val="00EA6101"/>
    <w:rsid w:val="00EA6168"/>
    <w:rsid w:val="00EA617E"/>
    <w:rsid w:val="00EA643A"/>
    <w:rsid w:val="00EA6C12"/>
    <w:rsid w:val="00EA71DA"/>
    <w:rsid w:val="00EA784E"/>
    <w:rsid w:val="00EA79EE"/>
    <w:rsid w:val="00EB04CC"/>
    <w:rsid w:val="00EB086A"/>
    <w:rsid w:val="00EB0DDF"/>
    <w:rsid w:val="00EB0F5A"/>
    <w:rsid w:val="00EB14B4"/>
    <w:rsid w:val="00EB17E7"/>
    <w:rsid w:val="00EB1AEA"/>
    <w:rsid w:val="00EB218F"/>
    <w:rsid w:val="00EB21D6"/>
    <w:rsid w:val="00EB2355"/>
    <w:rsid w:val="00EB26E1"/>
    <w:rsid w:val="00EB28AB"/>
    <w:rsid w:val="00EB3CD5"/>
    <w:rsid w:val="00EB3CF0"/>
    <w:rsid w:val="00EB3EC1"/>
    <w:rsid w:val="00EB40B4"/>
    <w:rsid w:val="00EB4B26"/>
    <w:rsid w:val="00EB4B58"/>
    <w:rsid w:val="00EB4CAF"/>
    <w:rsid w:val="00EB524F"/>
    <w:rsid w:val="00EB5DE3"/>
    <w:rsid w:val="00EB5F40"/>
    <w:rsid w:val="00EB669D"/>
    <w:rsid w:val="00EB68A0"/>
    <w:rsid w:val="00EB74E5"/>
    <w:rsid w:val="00EB7531"/>
    <w:rsid w:val="00EB7C51"/>
    <w:rsid w:val="00EB7C86"/>
    <w:rsid w:val="00EB7D88"/>
    <w:rsid w:val="00EB7E8A"/>
    <w:rsid w:val="00EC00C6"/>
    <w:rsid w:val="00EC0306"/>
    <w:rsid w:val="00EC06AC"/>
    <w:rsid w:val="00EC13AA"/>
    <w:rsid w:val="00EC15B7"/>
    <w:rsid w:val="00EC17C5"/>
    <w:rsid w:val="00EC1994"/>
    <w:rsid w:val="00EC21D2"/>
    <w:rsid w:val="00EC2FCE"/>
    <w:rsid w:val="00EC3037"/>
    <w:rsid w:val="00EC309B"/>
    <w:rsid w:val="00EC3F5E"/>
    <w:rsid w:val="00EC41E1"/>
    <w:rsid w:val="00EC4AAE"/>
    <w:rsid w:val="00EC4EE5"/>
    <w:rsid w:val="00EC4F62"/>
    <w:rsid w:val="00EC4FCC"/>
    <w:rsid w:val="00EC50AD"/>
    <w:rsid w:val="00EC50C2"/>
    <w:rsid w:val="00EC6073"/>
    <w:rsid w:val="00EC614E"/>
    <w:rsid w:val="00EC66CE"/>
    <w:rsid w:val="00EC7059"/>
    <w:rsid w:val="00EC7084"/>
    <w:rsid w:val="00EC715E"/>
    <w:rsid w:val="00EC731C"/>
    <w:rsid w:val="00EC75B4"/>
    <w:rsid w:val="00EC799A"/>
    <w:rsid w:val="00ED018A"/>
    <w:rsid w:val="00ED02BC"/>
    <w:rsid w:val="00ED05FF"/>
    <w:rsid w:val="00ED0B60"/>
    <w:rsid w:val="00ED1206"/>
    <w:rsid w:val="00ED1B22"/>
    <w:rsid w:val="00ED1BF3"/>
    <w:rsid w:val="00ED1F48"/>
    <w:rsid w:val="00ED1F69"/>
    <w:rsid w:val="00ED2184"/>
    <w:rsid w:val="00ED2379"/>
    <w:rsid w:val="00ED267F"/>
    <w:rsid w:val="00ED2962"/>
    <w:rsid w:val="00ED2A83"/>
    <w:rsid w:val="00ED3C93"/>
    <w:rsid w:val="00ED484C"/>
    <w:rsid w:val="00ED4C2B"/>
    <w:rsid w:val="00ED4C2D"/>
    <w:rsid w:val="00ED4F3E"/>
    <w:rsid w:val="00ED5923"/>
    <w:rsid w:val="00ED60DB"/>
    <w:rsid w:val="00ED652A"/>
    <w:rsid w:val="00ED69BF"/>
    <w:rsid w:val="00ED6C4A"/>
    <w:rsid w:val="00ED6CF1"/>
    <w:rsid w:val="00EE0B9C"/>
    <w:rsid w:val="00EE0CF3"/>
    <w:rsid w:val="00EE1256"/>
    <w:rsid w:val="00EE1389"/>
    <w:rsid w:val="00EE1633"/>
    <w:rsid w:val="00EE16BB"/>
    <w:rsid w:val="00EE2559"/>
    <w:rsid w:val="00EE29D4"/>
    <w:rsid w:val="00EE2F94"/>
    <w:rsid w:val="00EE3663"/>
    <w:rsid w:val="00EE36D4"/>
    <w:rsid w:val="00EE3A64"/>
    <w:rsid w:val="00EE3C61"/>
    <w:rsid w:val="00EE3EC4"/>
    <w:rsid w:val="00EE45E6"/>
    <w:rsid w:val="00EE4912"/>
    <w:rsid w:val="00EE4CF7"/>
    <w:rsid w:val="00EE4DCD"/>
    <w:rsid w:val="00EE5B3B"/>
    <w:rsid w:val="00EE5F09"/>
    <w:rsid w:val="00EE6076"/>
    <w:rsid w:val="00EE6163"/>
    <w:rsid w:val="00EE64B7"/>
    <w:rsid w:val="00EE66C8"/>
    <w:rsid w:val="00EE6E80"/>
    <w:rsid w:val="00EE73EA"/>
    <w:rsid w:val="00EE74F1"/>
    <w:rsid w:val="00EE77D8"/>
    <w:rsid w:val="00EE79CC"/>
    <w:rsid w:val="00EE7B8D"/>
    <w:rsid w:val="00EF0981"/>
    <w:rsid w:val="00EF09A6"/>
    <w:rsid w:val="00EF112C"/>
    <w:rsid w:val="00EF11AF"/>
    <w:rsid w:val="00EF121A"/>
    <w:rsid w:val="00EF12C6"/>
    <w:rsid w:val="00EF190A"/>
    <w:rsid w:val="00EF1A44"/>
    <w:rsid w:val="00EF1EF2"/>
    <w:rsid w:val="00EF25E1"/>
    <w:rsid w:val="00EF28E0"/>
    <w:rsid w:val="00EF2C67"/>
    <w:rsid w:val="00EF32F5"/>
    <w:rsid w:val="00EF37FD"/>
    <w:rsid w:val="00EF42E2"/>
    <w:rsid w:val="00EF4361"/>
    <w:rsid w:val="00EF4584"/>
    <w:rsid w:val="00EF47E1"/>
    <w:rsid w:val="00EF487E"/>
    <w:rsid w:val="00EF4CBE"/>
    <w:rsid w:val="00EF4ED1"/>
    <w:rsid w:val="00EF4F2D"/>
    <w:rsid w:val="00EF5041"/>
    <w:rsid w:val="00EF575F"/>
    <w:rsid w:val="00EF57D5"/>
    <w:rsid w:val="00EF5ED8"/>
    <w:rsid w:val="00EF5F5C"/>
    <w:rsid w:val="00EF7166"/>
    <w:rsid w:val="00EF71A6"/>
    <w:rsid w:val="00EF7D0C"/>
    <w:rsid w:val="00EF7D4C"/>
    <w:rsid w:val="00F006B8"/>
    <w:rsid w:val="00F00971"/>
    <w:rsid w:val="00F00BD0"/>
    <w:rsid w:val="00F01144"/>
    <w:rsid w:val="00F01809"/>
    <w:rsid w:val="00F01AD1"/>
    <w:rsid w:val="00F01B6B"/>
    <w:rsid w:val="00F02144"/>
    <w:rsid w:val="00F028A8"/>
    <w:rsid w:val="00F029D1"/>
    <w:rsid w:val="00F02A1C"/>
    <w:rsid w:val="00F02BF8"/>
    <w:rsid w:val="00F02D8C"/>
    <w:rsid w:val="00F037A8"/>
    <w:rsid w:val="00F052C7"/>
    <w:rsid w:val="00F05977"/>
    <w:rsid w:val="00F05987"/>
    <w:rsid w:val="00F076A4"/>
    <w:rsid w:val="00F07C20"/>
    <w:rsid w:val="00F07CBF"/>
    <w:rsid w:val="00F11074"/>
    <w:rsid w:val="00F11461"/>
    <w:rsid w:val="00F114E4"/>
    <w:rsid w:val="00F1182D"/>
    <w:rsid w:val="00F11BB9"/>
    <w:rsid w:val="00F11BCC"/>
    <w:rsid w:val="00F11D48"/>
    <w:rsid w:val="00F11E92"/>
    <w:rsid w:val="00F12310"/>
    <w:rsid w:val="00F1234C"/>
    <w:rsid w:val="00F12719"/>
    <w:rsid w:val="00F12A7C"/>
    <w:rsid w:val="00F12B2E"/>
    <w:rsid w:val="00F12CDC"/>
    <w:rsid w:val="00F12DE8"/>
    <w:rsid w:val="00F12DFA"/>
    <w:rsid w:val="00F13137"/>
    <w:rsid w:val="00F133E4"/>
    <w:rsid w:val="00F135E9"/>
    <w:rsid w:val="00F138F7"/>
    <w:rsid w:val="00F1393C"/>
    <w:rsid w:val="00F13B59"/>
    <w:rsid w:val="00F13C56"/>
    <w:rsid w:val="00F13EBB"/>
    <w:rsid w:val="00F14968"/>
    <w:rsid w:val="00F15182"/>
    <w:rsid w:val="00F15626"/>
    <w:rsid w:val="00F1590E"/>
    <w:rsid w:val="00F159A9"/>
    <w:rsid w:val="00F16A00"/>
    <w:rsid w:val="00F16F05"/>
    <w:rsid w:val="00F16F10"/>
    <w:rsid w:val="00F16F54"/>
    <w:rsid w:val="00F17389"/>
    <w:rsid w:val="00F1795F"/>
    <w:rsid w:val="00F17B79"/>
    <w:rsid w:val="00F17D0F"/>
    <w:rsid w:val="00F20179"/>
    <w:rsid w:val="00F204AD"/>
    <w:rsid w:val="00F2050D"/>
    <w:rsid w:val="00F20C5F"/>
    <w:rsid w:val="00F21BF6"/>
    <w:rsid w:val="00F22891"/>
    <w:rsid w:val="00F228C2"/>
    <w:rsid w:val="00F22D62"/>
    <w:rsid w:val="00F236B2"/>
    <w:rsid w:val="00F23A01"/>
    <w:rsid w:val="00F23ECE"/>
    <w:rsid w:val="00F247B3"/>
    <w:rsid w:val="00F2544D"/>
    <w:rsid w:val="00F25B01"/>
    <w:rsid w:val="00F26105"/>
    <w:rsid w:val="00F26841"/>
    <w:rsid w:val="00F26C9B"/>
    <w:rsid w:val="00F27AE9"/>
    <w:rsid w:val="00F27D62"/>
    <w:rsid w:val="00F306A8"/>
    <w:rsid w:val="00F30785"/>
    <w:rsid w:val="00F312E1"/>
    <w:rsid w:val="00F319AC"/>
    <w:rsid w:val="00F319C6"/>
    <w:rsid w:val="00F31C69"/>
    <w:rsid w:val="00F31EC7"/>
    <w:rsid w:val="00F325FC"/>
    <w:rsid w:val="00F32959"/>
    <w:rsid w:val="00F331E7"/>
    <w:rsid w:val="00F33419"/>
    <w:rsid w:val="00F33473"/>
    <w:rsid w:val="00F33E01"/>
    <w:rsid w:val="00F341C2"/>
    <w:rsid w:val="00F3423D"/>
    <w:rsid w:val="00F345AF"/>
    <w:rsid w:val="00F34694"/>
    <w:rsid w:val="00F3577D"/>
    <w:rsid w:val="00F36177"/>
    <w:rsid w:val="00F36322"/>
    <w:rsid w:val="00F36CF2"/>
    <w:rsid w:val="00F374C0"/>
    <w:rsid w:val="00F37545"/>
    <w:rsid w:val="00F37659"/>
    <w:rsid w:val="00F37C08"/>
    <w:rsid w:val="00F37D53"/>
    <w:rsid w:val="00F40078"/>
    <w:rsid w:val="00F404E0"/>
    <w:rsid w:val="00F4051B"/>
    <w:rsid w:val="00F40670"/>
    <w:rsid w:val="00F407A3"/>
    <w:rsid w:val="00F40986"/>
    <w:rsid w:val="00F409C8"/>
    <w:rsid w:val="00F40BD2"/>
    <w:rsid w:val="00F412B4"/>
    <w:rsid w:val="00F413A0"/>
    <w:rsid w:val="00F41E30"/>
    <w:rsid w:val="00F42EA2"/>
    <w:rsid w:val="00F43705"/>
    <w:rsid w:val="00F43C9F"/>
    <w:rsid w:val="00F43E1E"/>
    <w:rsid w:val="00F44203"/>
    <w:rsid w:val="00F4457F"/>
    <w:rsid w:val="00F445CE"/>
    <w:rsid w:val="00F44BB3"/>
    <w:rsid w:val="00F44D8F"/>
    <w:rsid w:val="00F44F6C"/>
    <w:rsid w:val="00F45436"/>
    <w:rsid w:val="00F466E4"/>
    <w:rsid w:val="00F46718"/>
    <w:rsid w:val="00F46755"/>
    <w:rsid w:val="00F468EF"/>
    <w:rsid w:val="00F46970"/>
    <w:rsid w:val="00F46AA6"/>
    <w:rsid w:val="00F47223"/>
    <w:rsid w:val="00F4746D"/>
    <w:rsid w:val="00F47A26"/>
    <w:rsid w:val="00F50365"/>
    <w:rsid w:val="00F5099C"/>
    <w:rsid w:val="00F50BB5"/>
    <w:rsid w:val="00F50E80"/>
    <w:rsid w:val="00F510F5"/>
    <w:rsid w:val="00F51144"/>
    <w:rsid w:val="00F51552"/>
    <w:rsid w:val="00F51C7E"/>
    <w:rsid w:val="00F51F71"/>
    <w:rsid w:val="00F52A67"/>
    <w:rsid w:val="00F52C80"/>
    <w:rsid w:val="00F5330F"/>
    <w:rsid w:val="00F533ED"/>
    <w:rsid w:val="00F538EC"/>
    <w:rsid w:val="00F5449A"/>
    <w:rsid w:val="00F545D0"/>
    <w:rsid w:val="00F5465A"/>
    <w:rsid w:val="00F54E9B"/>
    <w:rsid w:val="00F55067"/>
    <w:rsid w:val="00F5533A"/>
    <w:rsid w:val="00F562C5"/>
    <w:rsid w:val="00F5650F"/>
    <w:rsid w:val="00F56C28"/>
    <w:rsid w:val="00F56D41"/>
    <w:rsid w:val="00F56E5A"/>
    <w:rsid w:val="00F57024"/>
    <w:rsid w:val="00F57241"/>
    <w:rsid w:val="00F57488"/>
    <w:rsid w:val="00F57656"/>
    <w:rsid w:val="00F57F44"/>
    <w:rsid w:val="00F60218"/>
    <w:rsid w:val="00F60A84"/>
    <w:rsid w:val="00F60F06"/>
    <w:rsid w:val="00F61325"/>
    <w:rsid w:val="00F6178A"/>
    <w:rsid w:val="00F61D4F"/>
    <w:rsid w:val="00F6271A"/>
    <w:rsid w:val="00F6299C"/>
    <w:rsid w:val="00F62CB5"/>
    <w:rsid w:val="00F630B9"/>
    <w:rsid w:val="00F63721"/>
    <w:rsid w:val="00F640C3"/>
    <w:rsid w:val="00F64633"/>
    <w:rsid w:val="00F64803"/>
    <w:rsid w:val="00F6487F"/>
    <w:rsid w:val="00F65749"/>
    <w:rsid w:val="00F65A24"/>
    <w:rsid w:val="00F65B6E"/>
    <w:rsid w:val="00F66294"/>
    <w:rsid w:val="00F663ED"/>
    <w:rsid w:val="00F66ACE"/>
    <w:rsid w:val="00F66BA3"/>
    <w:rsid w:val="00F66D47"/>
    <w:rsid w:val="00F66EDB"/>
    <w:rsid w:val="00F670D8"/>
    <w:rsid w:val="00F6738C"/>
    <w:rsid w:val="00F673FD"/>
    <w:rsid w:val="00F677E1"/>
    <w:rsid w:val="00F67B18"/>
    <w:rsid w:val="00F70D6B"/>
    <w:rsid w:val="00F721A3"/>
    <w:rsid w:val="00F7240A"/>
    <w:rsid w:val="00F72778"/>
    <w:rsid w:val="00F727A1"/>
    <w:rsid w:val="00F7385A"/>
    <w:rsid w:val="00F73D3A"/>
    <w:rsid w:val="00F74989"/>
    <w:rsid w:val="00F7499F"/>
    <w:rsid w:val="00F749C0"/>
    <w:rsid w:val="00F74A71"/>
    <w:rsid w:val="00F74B46"/>
    <w:rsid w:val="00F74BF2"/>
    <w:rsid w:val="00F75048"/>
    <w:rsid w:val="00F75540"/>
    <w:rsid w:val="00F75882"/>
    <w:rsid w:val="00F75A3C"/>
    <w:rsid w:val="00F761DD"/>
    <w:rsid w:val="00F76298"/>
    <w:rsid w:val="00F7659A"/>
    <w:rsid w:val="00F7681A"/>
    <w:rsid w:val="00F76AB3"/>
    <w:rsid w:val="00F77572"/>
    <w:rsid w:val="00F77680"/>
    <w:rsid w:val="00F77ED8"/>
    <w:rsid w:val="00F803BD"/>
    <w:rsid w:val="00F809E3"/>
    <w:rsid w:val="00F811B2"/>
    <w:rsid w:val="00F811CD"/>
    <w:rsid w:val="00F816CA"/>
    <w:rsid w:val="00F81A28"/>
    <w:rsid w:val="00F81DF9"/>
    <w:rsid w:val="00F82148"/>
    <w:rsid w:val="00F821E7"/>
    <w:rsid w:val="00F823A7"/>
    <w:rsid w:val="00F824F7"/>
    <w:rsid w:val="00F8282F"/>
    <w:rsid w:val="00F83975"/>
    <w:rsid w:val="00F83E33"/>
    <w:rsid w:val="00F84153"/>
    <w:rsid w:val="00F842BA"/>
    <w:rsid w:val="00F84618"/>
    <w:rsid w:val="00F84689"/>
    <w:rsid w:val="00F846E7"/>
    <w:rsid w:val="00F84B07"/>
    <w:rsid w:val="00F853A8"/>
    <w:rsid w:val="00F854AC"/>
    <w:rsid w:val="00F85691"/>
    <w:rsid w:val="00F856A0"/>
    <w:rsid w:val="00F85861"/>
    <w:rsid w:val="00F859B7"/>
    <w:rsid w:val="00F85F4C"/>
    <w:rsid w:val="00F8601B"/>
    <w:rsid w:val="00F86294"/>
    <w:rsid w:val="00F862DC"/>
    <w:rsid w:val="00F86413"/>
    <w:rsid w:val="00F87221"/>
    <w:rsid w:val="00F87909"/>
    <w:rsid w:val="00F87CF2"/>
    <w:rsid w:val="00F904DF"/>
    <w:rsid w:val="00F9057E"/>
    <w:rsid w:val="00F905BB"/>
    <w:rsid w:val="00F90FC6"/>
    <w:rsid w:val="00F910D8"/>
    <w:rsid w:val="00F9138B"/>
    <w:rsid w:val="00F91462"/>
    <w:rsid w:val="00F91711"/>
    <w:rsid w:val="00F9174F"/>
    <w:rsid w:val="00F91EBB"/>
    <w:rsid w:val="00F92853"/>
    <w:rsid w:val="00F92DBA"/>
    <w:rsid w:val="00F92DF2"/>
    <w:rsid w:val="00F92F36"/>
    <w:rsid w:val="00F93512"/>
    <w:rsid w:val="00F93A3D"/>
    <w:rsid w:val="00F93BB2"/>
    <w:rsid w:val="00F93D7B"/>
    <w:rsid w:val="00F93DDE"/>
    <w:rsid w:val="00F94F2B"/>
    <w:rsid w:val="00F9545F"/>
    <w:rsid w:val="00F9550A"/>
    <w:rsid w:val="00F956A0"/>
    <w:rsid w:val="00F958EF"/>
    <w:rsid w:val="00F95E7F"/>
    <w:rsid w:val="00F96003"/>
    <w:rsid w:val="00F9629B"/>
    <w:rsid w:val="00F96D13"/>
    <w:rsid w:val="00F97117"/>
    <w:rsid w:val="00F9718E"/>
    <w:rsid w:val="00F971A1"/>
    <w:rsid w:val="00F97933"/>
    <w:rsid w:val="00F979EA"/>
    <w:rsid w:val="00FA0758"/>
    <w:rsid w:val="00FA12CE"/>
    <w:rsid w:val="00FA199D"/>
    <w:rsid w:val="00FA1C41"/>
    <w:rsid w:val="00FA1F40"/>
    <w:rsid w:val="00FA2037"/>
    <w:rsid w:val="00FA271D"/>
    <w:rsid w:val="00FA2A5B"/>
    <w:rsid w:val="00FA2C73"/>
    <w:rsid w:val="00FA3123"/>
    <w:rsid w:val="00FA34D7"/>
    <w:rsid w:val="00FA3556"/>
    <w:rsid w:val="00FA3B70"/>
    <w:rsid w:val="00FA3BE8"/>
    <w:rsid w:val="00FA43B7"/>
    <w:rsid w:val="00FA43C5"/>
    <w:rsid w:val="00FA4817"/>
    <w:rsid w:val="00FA4A7F"/>
    <w:rsid w:val="00FA4D63"/>
    <w:rsid w:val="00FA50F4"/>
    <w:rsid w:val="00FA5411"/>
    <w:rsid w:val="00FA54F0"/>
    <w:rsid w:val="00FA5AEB"/>
    <w:rsid w:val="00FA5F6C"/>
    <w:rsid w:val="00FA6172"/>
    <w:rsid w:val="00FA61D9"/>
    <w:rsid w:val="00FA62E8"/>
    <w:rsid w:val="00FA6762"/>
    <w:rsid w:val="00FA77D0"/>
    <w:rsid w:val="00FA7905"/>
    <w:rsid w:val="00FB0005"/>
    <w:rsid w:val="00FB0294"/>
    <w:rsid w:val="00FB0AEE"/>
    <w:rsid w:val="00FB0D88"/>
    <w:rsid w:val="00FB0FF8"/>
    <w:rsid w:val="00FB10B2"/>
    <w:rsid w:val="00FB14BB"/>
    <w:rsid w:val="00FB1B3F"/>
    <w:rsid w:val="00FB1FE0"/>
    <w:rsid w:val="00FB23F6"/>
    <w:rsid w:val="00FB2813"/>
    <w:rsid w:val="00FB281A"/>
    <w:rsid w:val="00FB300F"/>
    <w:rsid w:val="00FB32C8"/>
    <w:rsid w:val="00FB362E"/>
    <w:rsid w:val="00FB3705"/>
    <w:rsid w:val="00FB37C8"/>
    <w:rsid w:val="00FB3CFE"/>
    <w:rsid w:val="00FB405D"/>
    <w:rsid w:val="00FB4759"/>
    <w:rsid w:val="00FB4F96"/>
    <w:rsid w:val="00FB507F"/>
    <w:rsid w:val="00FB516F"/>
    <w:rsid w:val="00FB57AD"/>
    <w:rsid w:val="00FB5C64"/>
    <w:rsid w:val="00FB601C"/>
    <w:rsid w:val="00FB63CC"/>
    <w:rsid w:val="00FB64AA"/>
    <w:rsid w:val="00FB6908"/>
    <w:rsid w:val="00FB6930"/>
    <w:rsid w:val="00FB6CCD"/>
    <w:rsid w:val="00FB6EB7"/>
    <w:rsid w:val="00FB753F"/>
    <w:rsid w:val="00FB7690"/>
    <w:rsid w:val="00FC0272"/>
    <w:rsid w:val="00FC03E9"/>
    <w:rsid w:val="00FC04C4"/>
    <w:rsid w:val="00FC05A1"/>
    <w:rsid w:val="00FC0751"/>
    <w:rsid w:val="00FC0766"/>
    <w:rsid w:val="00FC0B4E"/>
    <w:rsid w:val="00FC0D15"/>
    <w:rsid w:val="00FC0EB1"/>
    <w:rsid w:val="00FC0F30"/>
    <w:rsid w:val="00FC138F"/>
    <w:rsid w:val="00FC1CCE"/>
    <w:rsid w:val="00FC1FDE"/>
    <w:rsid w:val="00FC2060"/>
    <w:rsid w:val="00FC2DDE"/>
    <w:rsid w:val="00FC2EEC"/>
    <w:rsid w:val="00FC3249"/>
    <w:rsid w:val="00FC343A"/>
    <w:rsid w:val="00FC35C5"/>
    <w:rsid w:val="00FC36DE"/>
    <w:rsid w:val="00FC3828"/>
    <w:rsid w:val="00FC3E92"/>
    <w:rsid w:val="00FC3ECD"/>
    <w:rsid w:val="00FC3F65"/>
    <w:rsid w:val="00FC4183"/>
    <w:rsid w:val="00FC4280"/>
    <w:rsid w:val="00FC470F"/>
    <w:rsid w:val="00FC47B1"/>
    <w:rsid w:val="00FC5619"/>
    <w:rsid w:val="00FC57F0"/>
    <w:rsid w:val="00FC5879"/>
    <w:rsid w:val="00FC6406"/>
    <w:rsid w:val="00FC6A21"/>
    <w:rsid w:val="00FC7058"/>
    <w:rsid w:val="00FC70DE"/>
    <w:rsid w:val="00FC71CE"/>
    <w:rsid w:val="00FC7AC1"/>
    <w:rsid w:val="00FC7C6B"/>
    <w:rsid w:val="00FD06BA"/>
    <w:rsid w:val="00FD0C99"/>
    <w:rsid w:val="00FD14BA"/>
    <w:rsid w:val="00FD1655"/>
    <w:rsid w:val="00FD16F8"/>
    <w:rsid w:val="00FD192C"/>
    <w:rsid w:val="00FD1C06"/>
    <w:rsid w:val="00FD1E0D"/>
    <w:rsid w:val="00FD22B0"/>
    <w:rsid w:val="00FD23AD"/>
    <w:rsid w:val="00FD24C9"/>
    <w:rsid w:val="00FD2898"/>
    <w:rsid w:val="00FD2E41"/>
    <w:rsid w:val="00FD2F66"/>
    <w:rsid w:val="00FD304F"/>
    <w:rsid w:val="00FD30B1"/>
    <w:rsid w:val="00FD4069"/>
    <w:rsid w:val="00FD45C8"/>
    <w:rsid w:val="00FD4627"/>
    <w:rsid w:val="00FD4982"/>
    <w:rsid w:val="00FD4FF0"/>
    <w:rsid w:val="00FD5075"/>
    <w:rsid w:val="00FD51AD"/>
    <w:rsid w:val="00FD5232"/>
    <w:rsid w:val="00FD5B11"/>
    <w:rsid w:val="00FD5BDA"/>
    <w:rsid w:val="00FD5D88"/>
    <w:rsid w:val="00FD5EA1"/>
    <w:rsid w:val="00FD6418"/>
    <w:rsid w:val="00FD675C"/>
    <w:rsid w:val="00FD6775"/>
    <w:rsid w:val="00FD6C94"/>
    <w:rsid w:val="00FD6DD6"/>
    <w:rsid w:val="00FD71A2"/>
    <w:rsid w:val="00FD7957"/>
    <w:rsid w:val="00FD7E75"/>
    <w:rsid w:val="00FD7ED2"/>
    <w:rsid w:val="00FE04D4"/>
    <w:rsid w:val="00FE0B2C"/>
    <w:rsid w:val="00FE10D9"/>
    <w:rsid w:val="00FE17E6"/>
    <w:rsid w:val="00FE17F2"/>
    <w:rsid w:val="00FE1906"/>
    <w:rsid w:val="00FE1F7C"/>
    <w:rsid w:val="00FE21F6"/>
    <w:rsid w:val="00FE2624"/>
    <w:rsid w:val="00FE2B2D"/>
    <w:rsid w:val="00FE30C0"/>
    <w:rsid w:val="00FE347C"/>
    <w:rsid w:val="00FE3694"/>
    <w:rsid w:val="00FE3A32"/>
    <w:rsid w:val="00FE41FE"/>
    <w:rsid w:val="00FE420A"/>
    <w:rsid w:val="00FE4551"/>
    <w:rsid w:val="00FE45F0"/>
    <w:rsid w:val="00FE460D"/>
    <w:rsid w:val="00FE478C"/>
    <w:rsid w:val="00FE592C"/>
    <w:rsid w:val="00FE6227"/>
    <w:rsid w:val="00FE62E4"/>
    <w:rsid w:val="00FE6C93"/>
    <w:rsid w:val="00FE7137"/>
    <w:rsid w:val="00FE75CB"/>
    <w:rsid w:val="00FE7B22"/>
    <w:rsid w:val="00FE7C4C"/>
    <w:rsid w:val="00FF0263"/>
    <w:rsid w:val="00FF0B47"/>
    <w:rsid w:val="00FF0FD6"/>
    <w:rsid w:val="00FF13F3"/>
    <w:rsid w:val="00FF1463"/>
    <w:rsid w:val="00FF1597"/>
    <w:rsid w:val="00FF17EE"/>
    <w:rsid w:val="00FF247B"/>
    <w:rsid w:val="00FF247E"/>
    <w:rsid w:val="00FF27CA"/>
    <w:rsid w:val="00FF2D4E"/>
    <w:rsid w:val="00FF3628"/>
    <w:rsid w:val="00FF435F"/>
    <w:rsid w:val="00FF4E89"/>
    <w:rsid w:val="00FF4E98"/>
    <w:rsid w:val="00FF4F78"/>
    <w:rsid w:val="00FF51E0"/>
    <w:rsid w:val="00FF5270"/>
    <w:rsid w:val="00FF5407"/>
    <w:rsid w:val="00FF5760"/>
    <w:rsid w:val="00FF59F8"/>
    <w:rsid w:val="00FF5A42"/>
    <w:rsid w:val="00FF690D"/>
    <w:rsid w:val="00FF6B89"/>
    <w:rsid w:val="00FF6C4F"/>
    <w:rsid w:val="00FF7152"/>
    <w:rsid w:val="00FF7259"/>
    <w:rsid w:val="00FF755D"/>
    <w:rsid w:val="00FF75A6"/>
    <w:rsid w:val="00FF7A59"/>
    <w:rsid w:val="00FF7A87"/>
    <w:rsid w:val="01314994"/>
    <w:rsid w:val="022F574D"/>
    <w:rsid w:val="02312F59"/>
    <w:rsid w:val="02AE03CC"/>
    <w:rsid w:val="02AE281A"/>
    <w:rsid w:val="02AF530D"/>
    <w:rsid w:val="02B602F9"/>
    <w:rsid w:val="02CD2D8A"/>
    <w:rsid w:val="037C1E12"/>
    <w:rsid w:val="03890158"/>
    <w:rsid w:val="038B0E94"/>
    <w:rsid w:val="03C5615A"/>
    <w:rsid w:val="03CF203B"/>
    <w:rsid w:val="03DA7CF4"/>
    <w:rsid w:val="03F26B41"/>
    <w:rsid w:val="043318FC"/>
    <w:rsid w:val="045952D5"/>
    <w:rsid w:val="04B5154C"/>
    <w:rsid w:val="06114C81"/>
    <w:rsid w:val="06330168"/>
    <w:rsid w:val="063406ED"/>
    <w:rsid w:val="074A7B38"/>
    <w:rsid w:val="07830F0E"/>
    <w:rsid w:val="07E45595"/>
    <w:rsid w:val="0874090F"/>
    <w:rsid w:val="08AA6EEE"/>
    <w:rsid w:val="08CF199D"/>
    <w:rsid w:val="08E33C65"/>
    <w:rsid w:val="092F35BA"/>
    <w:rsid w:val="09474257"/>
    <w:rsid w:val="095666B5"/>
    <w:rsid w:val="09E3651C"/>
    <w:rsid w:val="0A1E527E"/>
    <w:rsid w:val="0A7301DC"/>
    <w:rsid w:val="0ACE2281"/>
    <w:rsid w:val="0AD951F5"/>
    <w:rsid w:val="0B6C4184"/>
    <w:rsid w:val="0B8447AA"/>
    <w:rsid w:val="0C014659"/>
    <w:rsid w:val="0C4A7C31"/>
    <w:rsid w:val="0C7770D8"/>
    <w:rsid w:val="0CF416FD"/>
    <w:rsid w:val="0DEC583B"/>
    <w:rsid w:val="0DF13B23"/>
    <w:rsid w:val="0E1F5910"/>
    <w:rsid w:val="0E2100BC"/>
    <w:rsid w:val="0E2C202B"/>
    <w:rsid w:val="0E952F07"/>
    <w:rsid w:val="0F5027C3"/>
    <w:rsid w:val="0FC37B95"/>
    <w:rsid w:val="1032642C"/>
    <w:rsid w:val="10524E5B"/>
    <w:rsid w:val="10DD1B04"/>
    <w:rsid w:val="10E80D2C"/>
    <w:rsid w:val="11077512"/>
    <w:rsid w:val="116040AB"/>
    <w:rsid w:val="119858A3"/>
    <w:rsid w:val="121D0C8B"/>
    <w:rsid w:val="12284A09"/>
    <w:rsid w:val="123F5FDC"/>
    <w:rsid w:val="12433BA0"/>
    <w:rsid w:val="12885883"/>
    <w:rsid w:val="12D1041B"/>
    <w:rsid w:val="135A51C2"/>
    <w:rsid w:val="13725008"/>
    <w:rsid w:val="13C45E14"/>
    <w:rsid w:val="14C126A9"/>
    <w:rsid w:val="14C51CDD"/>
    <w:rsid w:val="14DF6744"/>
    <w:rsid w:val="151706A7"/>
    <w:rsid w:val="152C0347"/>
    <w:rsid w:val="15601E35"/>
    <w:rsid w:val="1586361D"/>
    <w:rsid w:val="15B978EE"/>
    <w:rsid w:val="15C16E81"/>
    <w:rsid w:val="15D302B7"/>
    <w:rsid w:val="15D3308B"/>
    <w:rsid w:val="15F16E6F"/>
    <w:rsid w:val="15F2621A"/>
    <w:rsid w:val="1634799C"/>
    <w:rsid w:val="164C019D"/>
    <w:rsid w:val="1731481A"/>
    <w:rsid w:val="178E7449"/>
    <w:rsid w:val="186C699A"/>
    <w:rsid w:val="193449C2"/>
    <w:rsid w:val="199D1745"/>
    <w:rsid w:val="19B001BC"/>
    <w:rsid w:val="19DD1164"/>
    <w:rsid w:val="1AC97EEF"/>
    <w:rsid w:val="1AFC7D74"/>
    <w:rsid w:val="1B4605D0"/>
    <w:rsid w:val="1BB91715"/>
    <w:rsid w:val="1BC91094"/>
    <w:rsid w:val="1C796DCB"/>
    <w:rsid w:val="1C937C02"/>
    <w:rsid w:val="1C983F18"/>
    <w:rsid w:val="1CCD7A00"/>
    <w:rsid w:val="1D3B3CB4"/>
    <w:rsid w:val="1D6F2E72"/>
    <w:rsid w:val="1D7354EE"/>
    <w:rsid w:val="1DFF745B"/>
    <w:rsid w:val="1E4820D8"/>
    <w:rsid w:val="1E514A3E"/>
    <w:rsid w:val="1ED52AA6"/>
    <w:rsid w:val="1F0D5398"/>
    <w:rsid w:val="1F1954FD"/>
    <w:rsid w:val="1F506BC2"/>
    <w:rsid w:val="1F5E1E6E"/>
    <w:rsid w:val="1FA262C3"/>
    <w:rsid w:val="1FBE6C16"/>
    <w:rsid w:val="20083D82"/>
    <w:rsid w:val="20372024"/>
    <w:rsid w:val="20375340"/>
    <w:rsid w:val="212F5C1F"/>
    <w:rsid w:val="215448F0"/>
    <w:rsid w:val="21586E90"/>
    <w:rsid w:val="21723EA6"/>
    <w:rsid w:val="21AD0D11"/>
    <w:rsid w:val="21EE12EA"/>
    <w:rsid w:val="22284CFE"/>
    <w:rsid w:val="224348E6"/>
    <w:rsid w:val="225F40A2"/>
    <w:rsid w:val="22610833"/>
    <w:rsid w:val="226C3F0A"/>
    <w:rsid w:val="227A6816"/>
    <w:rsid w:val="228828C8"/>
    <w:rsid w:val="228B557E"/>
    <w:rsid w:val="22AE63E7"/>
    <w:rsid w:val="23761E79"/>
    <w:rsid w:val="238251BD"/>
    <w:rsid w:val="23B61F0E"/>
    <w:rsid w:val="240E74C4"/>
    <w:rsid w:val="242E1878"/>
    <w:rsid w:val="243C1308"/>
    <w:rsid w:val="247E77C5"/>
    <w:rsid w:val="24E6667A"/>
    <w:rsid w:val="2504519E"/>
    <w:rsid w:val="253656AC"/>
    <w:rsid w:val="254E5F3D"/>
    <w:rsid w:val="25DC0388"/>
    <w:rsid w:val="261F0044"/>
    <w:rsid w:val="266C7BDE"/>
    <w:rsid w:val="27580595"/>
    <w:rsid w:val="27E0537D"/>
    <w:rsid w:val="284937D5"/>
    <w:rsid w:val="28571B2D"/>
    <w:rsid w:val="28640CC3"/>
    <w:rsid w:val="28BE278C"/>
    <w:rsid w:val="28BE718A"/>
    <w:rsid w:val="28C56BED"/>
    <w:rsid w:val="2A306864"/>
    <w:rsid w:val="2A517744"/>
    <w:rsid w:val="2B062A8E"/>
    <w:rsid w:val="2BD03A86"/>
    <w:rsid w:val="2BD8747E"/>
    <w:rsid w:val="2C111F22"/>
    <w:rsid w:val="2C6C5E4E"/>
    <w:rsid w:val="2C700021"/>
    <w:rsid w:val="2C73629D"/>
    <w:rsid w:val="2C850A84"/>
    <w:rsid w:val="2CB37759"/>
    <w:rsid w:val="2CF44814"/>
    <w:rsid w:val="2D1249C6"/>
    <w:rsid w:val="2D5F33EE"/>
    <w:rsid w:val="2DBC1FE5"/>
    <w:rsid w:val="2E4E56E9"/>
    <w:rsid w:val="2E4E69D7"/>
    <w:rsid w:val="2EBD596E"/>
    <w:rsid w:val="2EC01162"/>
    <w:rsid w:val="2ECA6195"/>
    <w:rsid w:val="2F875A64"/>
    <w:rsid w:val="2F9C1FFF"/>
    <w:rsid w:val="2FC15E06"/>
    <w:rsid w:val="2FC177BC"/>
    <w:rsid w:val="2FDA0567"/>
    <w:rsid w:val="30125497"/>
    <w:rsid w:val="301F2080"/>
    <w:rsid w:val="303A64AB"/>
    <w:rsid w:val="3069721B"/>
    <w:rsid w:val="30717894"/>
    <w:rsid w:val="30920956"/>
    <w:rsid w:val="30E145EC"/>
    <w:rsid w:val="31323FD4"/>
    <w:rsid w:val="3193253D"/>
    <w:rsid w:val="31BF31B9"/>
    <w:rsid w:val="321B41C1"/>
    <w:rsid w:val="3278560E"/>
    <w:rsid w:val="32CB2F84"/>
    <w:rsid w:val="330D7F3D"/>
    <w:rsid w:val="33D61A40"/>
    <w:rsid w:val="34990E01"/>
    <w:rsid w:val="34A4396E"/>
    <w:rsid w:val="34AA3C83"/>
    <w:rsid w:val="34C20AFB"/>
    <w:rsid w:val="35376861"/>
    <w:rsid w:val="35930508"/>
    <w:rsid w:val="359F2480"/>
    <w:rsid w:val="36BE3356"/>
    <w:rsid w:val="36E9207A"/>
    <w:rsid w:val="37AB0021"/>
    <w:rsid w:val="37B5686F"/>
    <w:rsid w:val="37D418BB"/>
    <w:rsid w:val="37D54C2D"/>
    <w:rsid w:val="380D21FF"/>
    <w:rsid w:val="381017BD"/>
    <w:rsid w:val="383C17A8"/>
    <w:rsid w:val="38C47F17"/>
    <w:rsid w:val="38CF1084"/>
    <w:rsid w:val="38D102B6"/>
    <w:rsid w:val="38D13A8E"/>
    <w:rsid w:val="38EB44F2"/>
    <w:rsid w:val="38FA1B48"/>
    <w:rsid w:val="39476414"/>
    <w:rsid w:val="39800FD7"/>
    <w:rsid w:val="39CE7E5A"/>
    <w:rsid w:val="39DB72E1"/>
    <w:rsid w:val="39FF5659"/>
    <w:rsid w:val="3A2B71B3"/>
    <w:rsid w:val="3A34234B"/>
    <w:rsid w:val="3A4710D9"/>
    <w:rsid w:val="3A4932A1"/>
    <w:rsid w:val="3A9C0304"/>
    <w:rsid w:val="3ACF20A4"/>
    <w:rsid w:val="3ADB7CDC"/>
    <w:rsid w:val="3B1614D6"/>
    <w:rsid w:val="3B4F6579"/>
    <w:rsid w:val="3B960633"/>
    <w:rsid w:val="3BD35091"/>
    <w:rsid w:val="3C3E42F6"/>
    <w:rsid w:val="3CAC6B15"/>
    <w:rsid w:val="3CBD3456"/>
    <w:rsid w:val="3D29237E"/>
    <w:rsid w:val="3DC662B1"/>
    <w:rsid w:val="3E8946C1"/>
    <w:rsid w:val="3E995250"/>
    <w:rsid w:val="3EB75EC2"/>
    <w:rsid w:val="3F4979B3"/>
    <w:rsid w:val="3F5543E2"/>
    <w:rsid w:val="3F6A6873"/>
    <w:rsid w:val="400015D4"/>
    <w:rsid w:val="40771A8F"/>
    <w:rsid w:val="40A61FEE"/>
    <w:rsid w:val="40AF381E"/>
    <w:rsid w:val="40D7697C"/>
    <w:rsid w:val="40DF4BF0"/>
    <w:rsid w:val="414B0FB7"/>
    <w:rsid w:val="41A347EF"/>
    <w:rsid w:val="41C474EB"/>
    <w:rsid w:val="42111A79"/>
    <w:rsid w:val="42C753AE"/>
    <w:rsid w:val="43564AAD"/>
    <w:rsid w:val="438F0851"/>
    <w:rsid w:val="43920EAD"/>
    <w:rsid w:val="442C13A1"/>
    <w:rsid w:val="45805966"/>
    <w:rsid w:val="4589315E"/>
    <w:rsid w:val="460E7CE0"/>
    <w:rsid w:val="4710540E"/>
    <w:rsid w:val="477A4B33"/>
    <w:rsid w:val="47A967BB"/>
    <w:rsid w:val="482F33CE"/>
    <w:rsid w:val="48881252"/>
    <w:rsid w:val="48AC1820"/>
    <w:rsid w:val="48C36561"/>
    <w:rsid w:val="49DB30BD"/>
    <w:rsid w:val="4A3363E2"/>
    <w:rsid w:val="4AC44D11"/>
    <w:rsid w:val="4BE32588"/>
    <w:rsid w:val="4C441282"/>
    <w:rsid w:val="4C572255"/>
    <w:rsid w:val="4C574B1B"/>
    <w:rsid w:val="4CE26546"/>
    <w:rsid w:val="4D434DDB"/>
    <w:rsid w:val="4D9C1519"/>
    <w:rsid w:val="4DC81865"/>
    <w:rsid w:val="4E052DDD"/>
    <w:rsid w:val="4E3D36A7"/>
    <w:rsid w:val="4F4444C7"/>
    <w:rsid w:val="4F702A2E"/>
    <w:rsid w:val="506E25FE"/>
    <w:rsid w:val="50F00897"/>
    <w:rsid w:val="50F27AEA"/>
    <w:rsid w:val="51122202"/>
    <w:rsid w:val="51227BB1"/>
    <w:rsid w:val="51246C7A"/>
    <w:rsid w:val="5180077C"/>
    <w:rsid w:val="518F1163"/>
    <w:rsid w:val="51D76D00"/>
    <w:rsid w:val="521E609E"/>
    <w:rsid w:val="52305F99"/>
    <w:rsid w:val="5253142A"/>
    <w:rsid w:val="52594C60"/>
    <w:rsid w:val="52B00C46"/>
    <w:rsid w:val="52B40ADA"/>
    <w:rsid w:val="535E0075"/>
    <w:rsid w:val="53614DA3"/>
    <w:rsid w:val="539F1922"/>
    <w:rsid w:val="53FA6E96"/>
    <w:rsid w:val="53FF24D6"/>
    <w:rsid w:val="54714DBE"/>
    <w:rsid w:val="557A1DE9"/>
    <w:rsid w:val="55BD54EA"/>
    <w:rsid w:val="55EF73FB"/>
    <w:rsid w:val="561072C2"/>
    <w:rsid w:val="564930DB"/>
    <w:rsid w:val="56505FFC"/>
    <w:rsid w:val="565D2DEB"/>
    <w:rsid w:val="568D54E4"/>
    <w:rsid w:val="56AF7C9A"/>
    <w:rsid w:val="570E25C2"/>
    <w:rsid w:val="57226DAC"/>
    <w:rsid w:val="57807F90"/>
    <w:rsid w:val="579B2E0A"/>
    <w:rsid w:val="579C3874"/>
    <w:rsid w:val="57CD7C81"/>
    <w:rsid w:val="57E27573"/>
    <w:rsid w:val="57EB40E6"/>
    <w:rsid w:val="57F83B12"/>
    <w:rsid w:val="589F16AE"/>
    <w:rsid w:val="58B05E8D"/>
    <w:rsid w:val="58E704F0"/>
    <w:rsid w:val="59BD686C"/>
    <w:rsid w:val="5A6D3387"/>
    <w:rsid w:val="5ABF5030"/>
    <w:rsid w:val="5B6B6D4A"/>
    <w:rsid w:val="5BDA336D"/>
    <w:rsid w:val="5C46706E"/>
    <w:rsid w:val="5C625AEE"/>
    <w:rsid w:val="5C6F482A"/>
    <w:rsid w:val="5C797E51"/>
    <w:rsid w:val="5D06074E"/>
    <w:rsid w:val="5DED1535"/>
    <w:rsid w:val="5E347ACE"/>
    <w:rsid w:val="5E7E57B2"/>
    <w:rsid w:val="5ED160E1"/>
    <w:rsid w:val="5F0211BD"/>
    <w:rsid w:val="5F53626B"/>
    <w:rsid w:val="5FAB02BF"/>
    <w:rsid w:val="5FEE17F5"/>
    <w:rsid w:val="603D4D08"/>
    <w:rsid w:val="60524E96"/>
    <w:rsid w:val="61275305"/>
    <w:rsid w:val="614319CB"/>
    <w:rsid w:val="630F30E7"/>
    <w:rsid w:val="63192C97"/>
    <w:rsid w:val="634438E6"/>
    <w:rsid w:val="63545D6C"/>
    <w:rsid w:val="64590B25"/>
    <w:rsid w:val="64591C4E"/>
    <w:rsid w:val="6466015C"/>
    <w:rsid w:val="647F5F86"/>
    <w:rsid w:val="64DE71D5"/>
    <w:rsid w:val="6590178C"/>
    <w:rsid w:val="65B4633E"/>
    <w:rsid w:val="65B95AF0"/>
    <w:rsid w:val="65C9515C"/>
    <w:rsid w:val="65E573B1"/>
    <w:rsid w:val="663747D8"/>
    <w:rsid w:val="665C1473"/>
    <w:rsid w:val="669A34DA"/>
    <w:rsid w:val="67EC6309"/>
    <w:rsid w:val="68070DF3"/>
    <w:rsid w:val="693B21AE"/>
    <w:rsid w:val="693D77D3"/>
    <w:rsid w:val="6957285C"/>
    <w:rsid w:val="69BE0524"/>
    <w:rsid w:val="69DC0A1E"/>
    <w:rsid w:val="6A3428C7"/>
    <w:rsid w:val="6A3D1675"/>
    <w:rsid w:val="6A4C1FB9"/>
    <w:rsid w:val="6A896E9F"/>
    <w:rsid w:val="6B55598C"/>
    <w:rsid w:val="6B6C32CF"/>
    <w:rsid w:val="6BA01078"/>
    <w:rsid w:val="6C050783"/>
    <w:rsid w:val="6C6C0F45"/>
    <w:rsid w:val="6CAD7901"/>
    <w:rsid w:val="6CB47BC1"/>
    <w:rsid w:val="6CFA46E0"/>
    <w:rsid w:val="6D4C25DE"/>
    <w:rsid w:val="6DBB71C0"/>
    <w:rsid w:val="6E49306A"/>
    <w:rsid w:val="6EAC23FF"/>
    <w:rsid w:val="6F140DCF"/>
    <w:rsid w:val="6F4C4B5D"/>
    <w:rsid w:val="6F9F21CF"/>
    <w:rsid w:val="6FAF1E0C"/>
    <w:rsid w:val="6FB003C9"/>
    <w:rsid w:val="6FBB5D8F"/>
    <w:rsid w:val="70CB1A0E"/>
    <w:rsid w:val="71C37D41"/>
    <w:rsid w:val="71CD2050"/>
    <w:rsid w:val="71F07D39"/>
    <w:rsid w:val="723C0D03"/>
    <w:rsid w:val="725C2EB5"/>
    <w:rsid w:val="72604D77"/>
    <w:rsid w:val="726D225F"/>
    <w:rsid w:val="73342397"/>
    <w:rsid w:val="734865F5"/>
    <w:rsid w:val="73724BE8"/>
    <w:rsid w:val="744B59D8"/>
    <w:rsid w:val="7485527A"/>
    <w:rsid w:val="74DF1491"/>
    <w:rsid w:val="750D79E1"/>
    <w:rsid w:val="7528620D"/>
    <w:rsid w:val="756E4C35"/>
    <w:rsid w:val="75B91371"/>
    <w:rsid w:val="76377430"/>
    <w:rsid w:val="76D84566"/>
    <w:rsid w:val="76E839BE"/>
    <w:rsid w:val="776D31A5"/>
    <w:rsid w:val="77A800EB"/>
    <w:rsid w:val="77B15A8B"/>
    <w:rsid w:val="77BB1DF6"/>
    <w:rsid w:val="77BE2DF7"/>
    <w:rsid w:val="78236D3F"/>
    <w:rsid w:val="784058AB"/>
    <w:rsid w:val="79075EBE"/>
    <w:rsid w:val="79453AAB"/>
    <w:rsid w:val="79602544"/>
    <w:rsid w:val="79A724CF"/>
    <w:rsid w:val="7A1E1517"/>
    <w:rsid w:val="7A383F63"/>
    <w:rsid w:val="7A6621B5"/>
    <w:rsid w:val="7B4563A7"/>
    <w:rsid w:val="7B4A0289"/>
    <w:rsid w:val="7B733400"/>
    <w:rsid w:val="7B865C65"/>
    <w:rsid w:val="7BC2716F"/>
    <w:rsid w:val="7C2936B3"/>
    <w:rsid w:val="7CC63BD6"/>
    <w:rsid w:val="7CF857CC"/>
    <w:rsid w:val="7D292400"/>
    <w:rsid w:val="7D7A5477"/>
    <w:rsid w:val="7D7B3B4C"/>
    <w:rsid w:val="7E000B8E"/>
    <w:rsid w:val="7F04120A"/>
    <w:rsid w:val="7FA77AF8"/>
    <w:rsid w:val="7FB40AEF"/>
    <w:rsid w:val="7FB505F7"/>
    <w:rsid w:val="7FFD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2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fi-FI" w:eastAsia="zh-CN" w:bidi="ar-SA"/>
    </w:rPr>
  </w:style>
  <w:style w:type="paragraph" w:styleId="4">
    <w:name w:val="heading 1"/>
    <w:basedOn w:val="1"/>
    <w:next w:val="1"/>
    <w:qFormat/>
    <w:uiPriority w:val="0"/>
    <w:pPr>
      <w:keepNext/>
      <w:snapToGrid w:val="0"/>
      <w:spacing w:line="360" w:lineRule="auto"/>
      <w:jc w:val="center"/>
      <w:outlineLvl w:val="0"/>
    </w:pPr>
    <w:rPr>
      <w:b/>
      <w:bCs/>
      <w:spacing w:val="-4"/>
    </w:rPr>
  </w:style>
  <w:style w:type="paragraph" w:styleId="5">
    <w:name w:val="heading 2"/>
    <w:basedOn w:val="1"/>
    <w:next w:val="1"/>
    <w:link w:val="154"/>
    <w:qFormat/>
    <w:uiPriority w:val="0"/>
    <w:pPr>
      <w:keepNext/>
      <w:keepLines/>
      <w:spacing w:before="260" w:after="260" w:line="413" w:lineRule="auto"/>
      <w:outlineLvl w:val="1"/>
    </w:pPr>
    <w:rPr>
      <w:rFonts w:ascii="Arial" w:hAnsi="Arial" w:eastAsia="黑体"/>
      <w:b/>
      <w:bCs/>
      <w:sz w:val="32"/>
      <w:szCs w:val="32"/>
      <w:lang w:val="en-U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tLeast"/>
      <w:outlineLvl w:val="4"/>
    </w:pPr>
    <w:rPr>
      <w:b/>
      <w:bCs/>
      <w:sz w:val="28"/>
      <w:szCs w:val="28"/>
    </w:rPr>
  </w:style>
  <w:style w:type="paragraph" w:styleId="9">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tLeast"/>
      <w:outlineLvl w:val="6"/>
    </w:pPr>
    <w:rPr>
      <w:b/>
      <w:bCs/>
      <w:sz w:val="24"/>
      <w:szCs w:val="24"/>
    </w:rPr>
  </w:style>
  <w:style w:type="paragraph" w:styleId="11">
    <w:name w:val="heading 8"/>
    <w:basedOn w:val="1"/>
    <w:next w:val="1"/>
    <w:qFormat/>
    <w:uiPriority w:val="0"/>
    <w:pPr>
      <w:keepNext/>
      <w:keepLines/>
      <w:spacing w:before="240" w:after="64" w:line="320" w:lineRule="atLeast"/>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tLeast"/>
      <w:outlineLvl w:val="8"/>
    </w:pPr>
    <w:rPr>
      <w:rFonts w:ascii="Arial" w:hAnsi="Arial" w:eastAsia="黑体"/>
      <w:szCs w:val="21"/>
    </w:rPr>
  </w:style>
  <w:style w:type="character" w:default="1" w:styleId="77">
    <w:name w:val="Default Paragraph Font"/>
    <w:semiHidden/>
    <w:unhideWhenUsed/>
    <w:qFormat/>
    <w:uiPriority w:val="1"/>
  </w:style>
  <w:style w:type="table" w:default="1" w:styleId="7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tabs>
        <w:tab w:val="left" w:pos="2040"/>
      </w:tabs>
      <w:spacing w:line="500" w:lineRule="atLeast"/>
      <w:ind w:left="2040" w:hanging="360"/>
    </w:pPr>
    <w:rPr>
      <w:sz w:val="24"/>
      <w:szCs w:val="24"/>
    </w:rPr>
  </w:style>
  <w:style w:type="paragraph" w:styleId="13">
    <w:name w:val="List 3"/>
    <w:basedOn w:val="1"/>
    <w:qFormat/>
    <w:uiPriority w:val="0"/>
    <w:pPr>
      <w:spacing w:line="500" w:lineRule="atLeast"/>
      <w:ind w:left="1260" w:hanging="420"/>
    </w:pPr>
    <w:rPr>
      <w:sz w:val="24"/>
      <w:szCs w:val="24"/>
    </w:rPr>
  </w:style>
  <w:style w:type="paragraph" w:styleId="14">
    <w:name w:val="toc 7"/>
    <w:basedOn w:val="1"/>
    <w:next w:val="1"/>
    <w:unhideWhenUsed/>
    <w:qFormat/>
    <w:uiPriority w:val="39"/>
    <w:pPr>
      <w:ind w:left="1260"/>
      <w:jc w:val="left"/>
    </w:pPr>
    <w:rPr>
      <w:rFonts w:ascii="Calibri" w:hAnsi="Calibri"/>
      <w:sz w:val="18"/>
      <w:szCs w:val="18"/>
    </w:rPr>
  </w:style>
  <w:style w:type="paragraph" w:styleId="15">
    <w:name w:val="List Number 2"/>
    <w:basedOn w:val="1"/>
    <w:qFormat/>
    <w:uiPriority w:val="0"/>
    <w:pPr>
      <w:tabs>
        <w:tab w:val="left" w:pos="780"/>
      </w:tabs>
      <w:spacing w:line="500" w:lineRule="atLeast"/>
      <w:ind w:left="780" w:hanging="360"/>
    </w:pPr>
    <w:rPr>
      <w:sz w:val="24"/>
      <w:szCs w:val="24"/>
    </w:rPr>
  </w:style>
  <w:style w:type="paragraph" w:styleId="16">
    <w:name w:val="Note Heading"/>
    <w:basedOn w:val="1"/>
    <w:next w:val="1"/>
    <w:qFormat/>
    <w:uiPriority w:val="0"/>
    <w:pPr>
      <w:spacing w:line="500" w:lineRule="atLeast"/>
      <w:jc w:val="center"/>
    </w:pPr>
    <w:rPr>
      <w:sz w:val="24"/>
      <w:szCs w:val="24"/>
    </w:rPr>
  </w:style>
  <w:style w:type="paragraph" w:styleId="17">
    <w:name w:val="List Bullet 4"/>
    <w:basedOn w:val="1"/>
    <w:qFormat/>
    <w:uiPriority w:val="0"/>
    <w:pPr>
      <w:tabs>
        <w:tab w:val="left" w:pos="1620"/>
      </w:tabs>
      <w:spacing w:line="500" w:lineRule="atLeast"/>
      <w:ind w:left="1620" w:hanging="360"/>
    </w:pPr>
    <w:rPr>
      <w:sz w:val="24"/>
      <w:szCs w:val="24"/>
    </w:rPr>
  </w:style>
  <w:style w:type="paragraph" w:styleId="18">
    <w:name w:val="E-mail Signature"/>
    <w:basedOn w:val="1"/>
    <w:qFormat/>
    <w:uiPriority w:val="0"/>
    <w:pPr>
      <w:spacing w:line="500" w:lineRule="atLeast"/>
    </w:pPr>
    <w:rPr>
      <w:sz w:val="24"/>
      <w:szCs w:val="24"/>
    </w:rPr>
  </w:style>
  <w:style w:type="paragraph" w:styleId="19">
    <w:name w:val="List Number"/>
    <w:basedOn w:val="1"/>
    <w:qFormat/>
    <w:uiPriority w:val="0"/>
    <w:pPr>
      <w:tabs>
        <w:tab w:val="left" w:pos="360"/>
      </w:tabs>
      <w:spacing w:line="500" w:lineRule="atLeast"/>
      <w:ind w:left="360" w:hanging="360"/>
    </w:pPr>
    <w:rPr>
      <w:sz w:val="24"/>
      <w:szCs w:val="24"/>
    </w:rPr>
  </w:style>
  <w:style w:type="paragraph" w:styleId="20">
    <w:name w:val="Normal Indent"/>
    <w:basedOn w:val="1"/>
    <w:link w:val="137"/>
    <w:qFormat/>
    <w:uiPriority w:val="0"/>
    <w:pPr>
      <w:spacing w:line="200" w:lineRule="atLeast"/>
      <w:ind w:firstLine="420"/>
    </w:pPr>
    <w:rPr>
      <w:lang w:val="en-US"/>
    </w:rPr>
  </w:style>
  <w:style w:type="paragraph" w:styleId="21">
    <w:name w:val="caption"/>
    <w:basedOn w:val="1"/>
    <w:next w:val="1"/>
    <w:qFormat/>
    <w:uiPriority w:val="0"/>
    <w:pPr>
      <w:spacing w:line="500" w:lineRule="atLeast"/>
    </w:pPr>
    <w:rPr>
      <w:rFonts w:ascii="Arial" w:hAnsi="Arial" w:eastAsia="黑体" w:cs="Arial"/>
      <w:sz w:val="20"/>
    </w:rPr>
  </w:style>
  <w:style w:type="paragraph" w:styleId="22">
    <w:name w:val="List Bullet"/>
    <w:basedOn w:val="1"/>
    <w:qFormat/>
    <w:uiPriority w:val="0"/>
    <w:pPr>
      <w:tabs>
        <w:tab w:val="left" w:pos="360"/>
      </w:tabs>
      <w:spacing w:line="500" w:lineRule="atLeast"/>
      <w:ind w:left="360" w:hanging="360"/>
    </w:pPr>
    <w:rPr>
      <w:sz w:val="24"/>
      <w:szCs w:val="24"/>
    </w:rPr>
  </w:style>
  <w:style w:type="paragraph" w:styleId="23">
    <w:name w:val="envelope address"/>
    <w:basedOn w:val="1"/>
    <w:qFormat/>
    <w:uiPriority w:val="0"/>
    <w:pPr>
      <w:snapToGrid w:val="0"/>
      <w:spacing w:line="500" w:lineRule="atLeast"/>
      <w:ind w:left="2880"/>
    </w:pPr>
    <w:rPr>
      <w:rFonts w:ascii="Arial" w:hAnsi="Arial" w:cs="Arial"/>
      <w:sz w:val="24"/>
      <w:szCs w:val="24"/>
    </w:rPr>
  </w:style>
  <w:style w:type="paragraph" w:styleId="24">
    <w:name w:val="Document Map"/>
    <w:basedOn w:val="1"/>
    <w:qFormat/>
    <w:uiPriority w:val="0"/>
    <w:pPr>
      <w:shd w:val="clear" w:color="auto" w:fill="000080"/>
    </w:pPr>
  </w:style>
  <w:style w:type="paragraph" w:styleId="25">
    <w:name w:val="toa heading"/>
    <w:basedOn w:val="1"/>
    <w:next w:val="1"/>
    <w:unhideWhenUsed/>
    <w:qFormat/>
    <w:uiPriority w:val="0"/>
    <w:pPr>
      <w:spacing w:before="120" w:line="360" w:lineRule="auto"/>
    </w:pPr>
    <w:rPr>
      <w:rFonts w:ascii="Arial" w:hAnsi="Arial" w:cs="Arial"/>
      <w:sz w:val="24"/>
      <w:szCs w:val="24"/>
    </w:rPr>
  </w:style>
  <w:style w:type="paragraph" w:styleId="26">
    <w:name w:val="annotation text"/>
    <w:basedOn w:val="1"/>
    <w:link w:val="122"/>
    <w:qFormat/>
    <w:uiPriority w:val="0"/>
    <w:pPr>
      <w:spacing w:line="500" w:lineRule="atLeast"/>
      <w:jc w:val="left"/>
    </w:pPr>
    <w:rPr>
      <w:kern w:val="0"/>
      <w:sz w:val="24"/>
      <w:szCs w:val="24"/>
    </w:rPr>
  </w:style>
  <w:style w:type="paragraph" w:styleId="27">
    <w:name w:val="Salutation"/>
    <w:basedOn w:val="1"/>
    <w:next w:val="1"/>
    <w:qFormat/>
    <w:uiPriority w:val="0"/>
    <w:pPr>
      <w:spacing w:line="500" w:lineRule="atLeast"/>
    </w:pPr>
    <w:rPr>
      <w:sz w:val="24"/>
      <w:szCs w:val="24"/>
    </w:rPr>
  </w:style>
  <w:style w:type="paragraph" w:styleId="28">
    <w:name w:val="Body Text 3"/>
    <w:basedOn w:val="1"/>
    <w:qFormat/>
    <w:uiPriority w:val="0"/>
    <w:pPr>
      <w:spacing w:after="120" w:line="500" w:lineRule="atLeast"/>
    </w:pPr>
    <w:rPr>
      <w:sz w:val="16"/>
      <w:szCs w:val="16"/>
    </w:rPr>
  </w:style>
  <w:style w:type="paragraph" w:styleId="29">
    <w:name w:val="Closing"/>
    <w:basedOn w:val="1"/>
    <w:qFormat/>
    <w:uiPriority w:val="0"/>
    <w:pPr>
      <w:spacing w:line="500" w:lineRule="atLeast"/>
      <w:ind w:left="4320"/>
    </w:pPr>
    <w:rPr>
      <w:sz w:val="24"/>
      <w:szCs w:val="24"/>
    </w:rPr>
  </w:style>
  <w:style w:type="paragraph" w:styleId="30">
    <w:name w:val="List Bullet 3"/>
    <w:basedOn w:val="1"/>
    <w:qFormat/>
    <w:uiPriority w:val="0"/>
    <w:pPr>
      <w:tabs>
        <w:tab w:val="left" w:pos="1200"/>
      </w:tabs>
      <w:spacing w:line="500" w:lineRule="atLeast"/>
      <w:ind w:left="1200" w:hanging="360"/>
    </w:pPr>
    <w:rPr>
      <w:sz w:val="24"/>
      <w:szCs w:val="24"/>
    </w:rPr>
  </w:style>
  <w:style w:type="paragraph" w:styleId="31">
    <w:name w:val="Body Text Indent"/>
    <w:basedOn w:val="1"/>
    <w:link w:val="121"/>
    <w:qFormat/>
    <w:uiPriority w:val="0"/>
    <w:pPr>
      <w:spacing w:after="120"/>
      <w:ind w:left="420" w:leftChars="200"/>
    </w:pPr>
    <w:rPr>
      <w:lang w:val="en-US"/>
    </w:rPr>
  </w:style>
  <w:style w:type="paragraph" w:styleId="32">
    <w:name w:val="List Number 3"/>
    <w:basedOn w:val="1"/>
    <w:qFormat/>
    <w:uiPriority w:val="0"/>
    <w:pPr>
      <w:tabs>
        <w:tab w:val="left" w:pos="1200"/>
      </w:tabs>
      <w:spacing w:line="500" w:lineRule="atLeast"/>
      <w:ind w:left="1200" w:hanging="360"/>
    </w:pPr>
    <w:rPr>
      <w:sz w:val="24"/>
      <w:szCs w:val="24"/>
    </w:rPr>
  </w:style>
  <w:style w:type="paragraph" w:styleId="33">
    <w:name w:val="List 2"/>
    <w:basedOn w:val="1"/>
    <w:qFormat/>
    <w:uiPriority w:val="0"/>
    <w:pPr>
      <w:spacing w:line="500" w:lineRule="atLeast"/>
      <w:ind w:left="840" w:hanging="420"/>
    </w:pPr>
    <w:rPr>
      <w:sz w:val="24"/>
      <w:szCs w:val="24"/>
    </w:rPr>
  </w:style>
  <w:style w:type="paragraph" w:styleId="34">
    <w:name w:val="List Continue"/>
    <w:basedOn w:val="1"/>
    <w:qFormat/>
    <w:uiPriority w:val="0"/>
    <w:pPr>
      <w:spacing w:after="120" w:line="500" w:lineRule="atLeast"/>
      <w:ind w:left="420"/>
    </w:pPr>
    <w:rPr>
      <w:sz w:val="24"/>
      <w:szCs w:val="24"/>
    </w:rPr>
  </w:style>
  <w:style w:type="paragraph" w:styleId="35">
    <w:name w:val="Block Text"/>
    <w:basedOn w:val="1"/>
    <w:qFormat/>
    <w:uiPriority w:val="0"/>
    <w:pPr>
      <w:spacing w:after="120" w:line="500" w:lineRule="atLeast"/>
      <w:ind w:left="1440" w:right="1440"/>
    </w:pPr>
    <w:rPr>
      <w:sz w:val="24"/>
      <w:szCs w:val="24"/>
    </w:rPr>
  </w:style>
  <w:style w:type="paragraph" w:styleId="36">
    <w:name w:val="List Bullet 2"/>
    <w:basedOn w:val="1"/>
    <w:qFormat/>
    <w:uiPriority w:val="0"/>
    <w:pPr>
      <w:tabs>
        <w:tab w:val="left" w:pos="780"/>
      </w:tabs>
      <w:spacing w:line="500" w:lineRule="atLeast"/>
      <w:ind w:left="780" w:hanging="360"/>
    </w:pPr>
    <w:rPr>
      <w:sz w:val="24"/>
      <w:szCs w:val="24"/>
    </w:rPr>
  </w:style>
  <w:style w:type="paragraph" w:styleId="37">
    <w:name w:val="HTML Address"/>
    <w:basedOn w:val="1"/>
    <w:qFormat/>
    <w:uiPriority w:val="0"/>
    <w:pPr>
      <w:spacing w:line="500" w:lineRule="atLeast"/>
    </w:pPr>
    <w:rPr>
      <w:i/>
      <w:iCs/>
      <w:sz w:val="24"/>
      <w:szCs w:val="24"/>
    </w:rPr>
  </w:style>
  <w:style w:type="paragraph" w:styleId="38">
    <w:name w:val="toc 5"/>
    <w:basedOn w:val="1"/>
    <w:next w:val="1"/>
    <w:unhideWhenUsed/>
    <w:qFormat/>
    <w:uiPriority w:val="39"/>
    <w:pPr>
      <w:ind w:left="840"/>
      <w:jc w:val="left"/>
    </w:pPr>
    <w:rPr>
      <w:rFonts w:ascii="Calibri" w:hAnsi="Calibri"/>
      <w:sz w:val="18"/>
      <w:szCs w:val="18"/>
    </w:rPr>
  </w:style>
  <w:style w:type="paragraph" w:styleId="39">
    <w:name w:val="toc 3"/>
    <w:basedOn w:val="1"/>
    <w:next w:val="1"/>
    <w:unhideWhenUsed/>
    <w:qFormat/>
    <w:uiPriority w:val="39"/>
    <w:pPr>
      <w:ind w:left="420"/>
      <w:jc w:val="left"/>
    </w:pPr>
    <w:rPr>
      <w:rFonts w:ascii="Calibri" w:hAnsi="Calibri"/>
      <w:i/>
      <w:iCs/>
      <w:sz w:val="20"/>
    </w:rPr>
  </w:style>
  <w:style w:type="paragraph" w:styleId="40">
    <w:name w:val="Plain Text"/>
    <w:basedOn w:val="1"/>
    <w:link w:val="104"/>
    <w:qFormat/>
    <w:uiPriority w:val="0"/>
    <w:rPr>
      <w:rFonts w:ascii="宋体" w:hAnsi="Courier New"/>
      <w:lang w:val="en-US"/>
    </w:rPr>
  </w:style>
  <w:style w:type="paragraph" w:styleId="41">
    <w:name w:val="List Number 4"/>
    <w:basedOn w:val="1"/>
    <w:qFormat/>
    <w:uiPriority w:val="0"/>
    <w:pPr>
      <w:tabs>
        <w:tab w:val="left" w:pos="1620"/>
      </w:tabs>
      <w:spacing w:line="500" w:lineRule="atLeast"/>
      <w:ind w:left="1620" w:hanging="360"/>
    </w:pPr>
    <w:rPr>
      <w:sz w:val="24"/>
      <w:szCs w:val="24"/>
    </w:rPr>
  </w:style>
  <w:style w:type="paragraph" w:styleId="42">
    <w:name w:val="toc 8"/>
    <w:basedOn w:val="1"/>
    <w:next w:val="1"/>
    <w:unhideWhenUsed/>
    <w:qFormat/>
    <w:uiPriority w:val="39"/>
    <w:pPr>
      <w:ind w:left="1470"/>
      <w:jc w:val="left"/>
    </w:pPr>
    <w:rPr>
      <w:rFonts w:ascii="Calibri" w:hAnsi="Calibri"/>
      <w:sz w:val="18"/>
      <w:szCs w:val="18"/>
    </w:rPr>
  </w:style>
  <w:style w:type="paragraph" w:styleId="43">
    <w:name w:val="Date"/>
    <w:basedOn w:val="1"/>
    <w:next w:val="1"/>
    <w:qFormat/>
    <w:uiPriority w:val="0"/>
    <w:rPr>
      <w:rFonts w:ascii="Plotter" w:hAnsi="Plotter"/>
    </w:rPr>
  </w:style>
  <w:style w:type="paragraph" w:styleId="44">
    <w:name w:val="Body Text Indent 2"/>
    <w:basedOn w:val="1"/>
    <w:qFormat/>
    <w:uiPriority w:val="0"/>
    <w:pPr>
      <w:spacing w:after="120" w:line="480" w:lineRule="auto"/>
      <w:ind w:left="420" w:leftChars="200"/>
    </w:pPr>
  </w:style>
  <w:style w:type="paragraph" w:styleId="45">
    <w:name w:val="List Continue 5"/>
    <w:basedOn w:val="1"/>
    <w:qFormat/>
    <w:uiPriority w:val="0"/>
    <w:pPr>
      <w:spacing w:after="120" w:line="500" w:lineRule="atLeast"/>
      <w:ind w:left="2100"/>
    </w:pPr>
    <w:rPr>
      <w:sz w:val="24"/>
      <w:szCs w:val="24"/>
    </w:rPr>
  </w:style>
  <w:style w:type="paragraph" w:styleId="46">
    <w:name w:val="Balloon Text"/>
    <w:basedOn w:val="1"/>
    <w:qFormat/>
    <w:uiPriority w:val="0"/>
    <w:pPr>
      <w:spacing w:line="500" w:lineRule="atLeast"/>
    </w:pPr>
    <w:rPr>
      <w:sz w:val="18"/>
      <w:szCs w:val="18"/>
    </w:rPr>
  </w:style>
  <w:style w:type="paragraph" w:styleId="47">
    <w:name w:val="footer"/>
    <w:basedOn w:val="1"/>
    <w:qFormat/>
    <w:uiPriority w:val="0"/>
    <w:pPr>
      <w:tabs>
        <w:tab w:val="center" w:pos="4153"/>
        <w:tab w:val="right" w:pos="8306"/>
      </w:tabs>
      <w:snapToGrid w:val="0"/>
      <w:jc w:val="left"/>
    </w:pPr>
    <w:rPr>
      <w:sz w:val="18"/>
      <w:szCs w:val="18"/>
    </w:rPr>
  </w:style>
  <w:style w:type="paragraph" w:styleId="48">
    <w:name w:val="envelope return"/>
    <w:basedOn w:val="1"/>
    <w:qFormat/>
    <w:uiPriority w:val="0"/>
    <w:pPr>
      <w:snapToGrid w:val="0"/>
      <w:spacing w:line="500" w:lineRule="atLeast"/>
    </w:pPr>
    <w:rPr>
      <w:rFonts w:ascii="Arial" w:hAnsi="Arial" w:cs="Arial"/>
      <w:sz w:val="24"/>
      <w:szCs w:val="24"/>
    </w:rPr>
  </w:style>
  <w:style w:type="paragraph" w:styleId="49">
    <w:name w:val="header"/>
    <w:basedOn w:val="1"/>
    <w:link w:val="157"/>
    <w:qFormat/>
    <w:uiPriority w:val="0"/>
    <w:pPr>
      <w:pBdr>
        <w:bottom w:val="single" w:color="auto" w:sz="6" w:space="1"/>
      </w:pBdr>
      <w:tabs>
        <w:tab w:val="center" w:pos="4153"/>
        <w:tab w:val="right" w:pos="8306"/>
      </w:tabs>
      <w:snapToGrid w:val="0"/>
      <w:jc w:val="center"/>
    </w:pPr>
    <w:rPr>
      <w:sz w:val="18"/>
      <w:szCs w:val="18"/>
      <w:lang w:val="en-US"/>
    </w:rPr>
  </w:style>
  <w:style w:type="paragraph" w:styleId="50">
    <w:name w:val="Signature"/>
    <w:basedOn w:val="1"/>
    <w:qFormat/>
    <w:uiPriority w:val="0"/>
    <w:pPr>
      <w:spacing w:line="500" w:lineRule="atLeast"/>
      <w:ind w:left="4320"/>
    </w:pPr>
    <w:rPr>
      <w:sz w:val="24"/>
      <w:szCs w:val="24"/>
    </w:rPr>
  </w:style>
  <w:style w:type="paragraph" w:styleId="51">
    <w:name w:val="toc 1"/>
    <w:basedOn w:val="1"/>
    <w:next w:val="1"/>
    <w:link w:val="93"/>
    <w:qFormat/>
    <w:uiPriority w:val="39"/>
    <w:pPr>
      <w:spacing w:line="360" w:lineRule="auto"/>
    </w:pPr>
    <w:rPr>
      <w:bCs/>
      <w:caps/>
      <w:kern w:val="0"/>
      <w:sz w:val="28"/>
    </w:rPr>
  </w:style>
  <w:style w:type="paragraph" w:styleId="52">
    <w:name w:val="List Continue 4"/>
    <w:basedOn w:val="1"/>
    <w:qFormat/>
    <w:uiPriority w:val="0"/>
    <w:pPr>
      <w:spacing w:after="120" w:line="500" w:lineRule="atLeast"/>
      <w:ind w:left="1680"/>
    </w:pPr>
    <w:rPr>
      <w:sz w:val="24"/>
      <w:szCs w:val="24"/>
    </w:rPr>
  </w:style>
  <w:style w:type="paragraph" w:styleId="53">
    <w:name w:val="toc 4"/>
    <w:basedOn w:val="1"/>
    <w:next w:val="1"/>
    <w:unhideWhenUsed/>
    <w:qFormat/>
    <w:uiPriority w:val="39"/>
    <w:pPr>
      <w:ind w:left="630"/>
      <w:jc w:val="left"/>
    </w:pPr>
    <w:rPr>
      <w:rFonts w:ascii="Calibri" w:hAnsi="Calibri"/>
      <w:sz w:val="18"/>
      <w:szCs w:val="18"/>
    </w:rPr>
  </w:style>
  <w:style w:type="paragraph" w:styleId="54">
    <w:name w:val="Subtitle"/>
    <w:basedOn w:val="1"/>
    <w:qFormat/>
    <w:uiPriority w:val="0"/>
    <w:pPr>
      <w:spacing w:before="240" w:after="60" w:line="312" w:lineRule="atLeast"/>
      <w:jc w:val="center"/>
      <w:outlineLvl w:val="1"/>
    </w:pPr>
    <w:rPr>
      <w:rFonts w:ascii="Arial" w:hAnsi="Arial" w:cs="Arial"/>
      <w:b/>
      <w:bCs/>
      <w:kern w:val="28"/>
      <w:sz w:val="32"/>
      <w:szCs w:val="32"/>
    </w:rPr>
  </w:style>
  <w:style w:type="paragraph" w:styleId="55">
    <w:name w:val="List Number 5"/>
    <w:basedOn w:val="1"/>
    <w:qFormat/>
    <w:uiPriority w:val="0"/>
    <w:pPr>
      <w:tabs>
        <w:tab w:val="left" w:pos="2040"/>
      </w:tabs>
      <w:spacing w:line="500" w:lineRule="atLeast"/>
      <w:ind w:left="2040" w:hanging="360"/>
    </w:pPr>
    <w:rPr>
      <w:sz w:val="24"/>
      <w:szCs w:val="24"/>
    </w:rPr>
  </w:style>
  <w:style w:type="paragraph" w:styleId="56">
    <w:name w:val="List"/>
    <w:basedOn w:val="1"/>
    <w:link w:val="130"/>
    <w:qFormat/>
    <w:uiPriority w:val="0"/>
    <w:pPr>
      <w:widowControl/>
      <w:spacing w:line="360" w:lineRule="auto"/>
    </w:pPr>
    <w:rPr>
      <w:kern w:val="0"/>
      <w:sz w:val="24"/>
    </w:rPr>
  </w:style>
  <w:style w:type="paragraph" w:styleId="57">
    <w:name w:val="toc 6"/>
    <w:basedOn w:val="1"/>
    <w:next w:val="1"/>
    <w:unhideWhenUsed/>
    <w:qFormat/>
    <w:uiPriority w:val="39"/>
    <w:pPr>
      <w:ind w:left="1050"/>
      <w:jc w:val="left"/>
    </w:pPr>
    <w:rPr>
      <w:rFonts w:ascii="Calibri" w:hAnsi="Calibri"/>
      <w:sz w:val="18"/>
      <w:szCs w:val="18"/>
    </w:rPr>
  </w:style>
  <w:style w:type="paragraph" w:styleId="58">
    <w:name w:val="List 5"/>
    <w:basedOn w:val="1"/>
    <w:qFormat/>
    <w:uiPriority w:val="0"/>
    <w:pPr>
      <w:spacing w:line="500" w:lineRule="atLeast"/>
      <w:ind w:left="2100" w:hanging="420"/>
    </w:pPr>
    <w:rPr>
      <w:sz w:val="24"/>
      <w:szCs w:val="24"/>
    </w:rPr>
  </w:style>
  <w:style w:type="paragraph" w:styleId="59">
    <w:name w:val="Body Text Indent 3"/>
    <w:basedOn w:val="1"/>
    <w:qFormat/>
    <w:uiPriority w:val="0"/>
    <w:pPr>
      <w:spacing w:after="120" w:line="500" w:lineRule="atLeast"/>
      <w:ind w:left="420"/>
    </w:pPr>
    <w:rPr>
      <w:sz w:val="16"/>
      <w:szCs w:val="16"/>
    </w:rPr>
  </w:style>
  <w:style w:type="paragraph" w:styleId="60">
    <w:name w:val="table of figures"/>
    <w:basedOn w:val="1"/>
    <w:next w:val="1"/>
    <w:qFormat/>
    <w:uiPriority w:val="0"/>
    <w:pPr>
      <w:ind w:left="200" w:leftChars="200" w:hanging="200" w:hangingChars="200"/>
    </w:pPr>
  </w:style>
  <w:style w:type="paragraph" w:styleId="61">
    <w:name w:val="toc 2"/>
    <w:basedOn w:val="1"/>
    <w:next w:val="1"/>
    <w:qFormat/>
    <w:uiPriority w:val="39"/>
    <w:pPr>
      <w:ind w:left="210"/>
      <w:jc w:val="left"/>
    </w:pPr>
    <w:rPr>
      <w:rFonts w:ascii="Calibri" w:hAnsi="Calibri"/>
      <w:smallCaps/>
      <w:sz w:val="20"/>
    </w:rPr>
  </w:style>
  <w:style w:type="paragraph" w:styleId="62">
    <w:name w:val="toc 9"/>
    <w:basedOn w:val="1"/>
    <w:next w:val="1"/>
    <w:qFormat/>
    <w:uiPriority w:val="39"/>
    <w:pPr>
      <w:ind w:left="1680"/>
      <w:jc w:val="left"/>
    </w:pPr>
    <w:rPr>
      <w:rFonts w:ascii="Calibri" w:hAnsi="Calibri"/>
      <w:sz w:val="18"/>
      <w:szCs w:val="18"/>
    </w:rPr>
  </w:style>
  <w:style w:type="paragraph" w:styleId="63">
    <w:name w:val="Body Text 2"/>
    <w:basedOn w:val="1"/>
    <w:qFormat/>
    <w:uiPriority w:val="0"/>
    <w:pPr>
      <w:spacing w:after="120" w:line="480" w:lineRule="auto"/>
    </w:pPr>
    <w:rPr>
      <w:sz w:val="24"/>
      <w:szCs w:val="24"/>
    </w:rPr>
  </w:style>
  <w:style w:type="paragraph" w:styleId="64">
    <w:name w:val="List 4"/>
    <w:basedOn w:val="1"/>
    <w:qFormat/>
    <w:uiPriority w:val="0"/>
    <w:pPr>
      <w:spacing w:line="500" w:lineRule="atLeast"/>
      <w:ind w:left="1680" w:hanging="420"/>
    </w:pPr>
    <w:rPr>
      <w:sz w:val="24"/>
      <w:szCs w:val="24"/>
    </w:rPr>
  </w:style>
  <w:style w:type="paragraph" w:styleId="65">
    <w:name w:val="List Continue 2"/>
    <w:basedOn w:val="1"/>
    <w:qFormat/>
    <w:uiPriority w:val="0"/>
    <w:pPr>
      <w:spacing w:after="120" w:line="500" w:lineRule="atLeast"/>
      <w:ind w:left="840"/>
    </w:pPr>
    <w:rPr>
      <w:sz w:val="24"/>
      <w:szCs w:val="24"/>
    </w:rPr>
  </w:style>
  <w:style w:type="paragraph" w:styleId="6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line="500" w:lineRule="atLeast"/>
      <w:ind w:left="1080" w:hanging="1080"/>
    </w:pPr>
    <w:rPr>
      <w:rFonts w:ascii="Arial" w:hAnsi="Arial" w:cs="Arial"/>
      <w:sz w:val="24"/>
      <w:szCs w:val="24"/>
    </w:rPr>
  </w:style>
  <w:style w:type="paragraph" w:styleId="67">
    <w:name w:val="HTML Preformatted"/>
    <w:basedOn w:val="1"/>
    <w:qFormat/>
    <w:uiPriority w:val="0"/>
    <w:pPr>
      <w:spacing w:line="500" w:lineRule="atLeast"/>
    </w:pPr>
    <w:rPr>
      <w:rFonts w:ascii="Courier New" w:hAnsi="Courier New" w:cs="Courier New"/>
      <w:sz w:val="20"/>
    </w:rPr>
  </w:style>
  <w:style w:type="paragraph" w:styleId="68">
    <w:name w:val="Normal (Web)"/>
    <w:basedOn w:val="1"/>
    <w:qFormat/>
    <w:uiPriority w:val="99"/>
    <w:pPr>
      <w:widowControl/>
      <w:spacing w:before="100" w:beforeAutospacing="1" w:after="100" w:afterAutospacing="1"/>
      <w:jc w:val="left"/>
    </w:pPr>
    <w:rPr>
      <w:rFonts w:hAnsi="宋体"/>
      <w:color w:val="282828"/>
      <w:kern w:val="0"/>
      <w:sz w:val="18"/>
      <w:szCs w:val="18"/>
    </w:rPr>
  </w:style>
  <w:style w:type="paragraph" w:styleId="69">
    <w:name w:val="List Continue 3"/>
    <w:basedOn w:val="1"/>
    <w:qFormat/>
    <w:uiPriority w:val="0"/>
    <w:pPr>
      <w:spacing w:after="120" w:line="500" w:lineRule="atLeast"/>
      <w:ind w:left="1260"/>
    </w:pPr>
    <w:rPr>
      <w:sz w:val="24"/>
      <w:szCs w:val="24"/>
    </w:rPr>
  </w:style>
  <w:style w:type="paragraph" w:styleId="70">
    <w:name w:val="index 1"/>
    <w:basedOn w:val="1"/>
    <w:next w:val="1"/>
    <w:qFormat/>
    <w:uiPriority w:val="0"/>
    <w:pPr>
      <w:jc w:val="center"/>
    </w:pPr>
    <w:rPr>
      <w:rFonts w:eastAsia="仿宋_GB2312"/>
      <w:szCs w:val="21"/>
    </w:rPr>
  </w:style>
  <w:style w:type="paragraph" w:styleId="71">
    <w:name w:val="Title"/>
    <w:basedOn w:val="1"/>
    <w:qFormat/>
    <w:uiPriority w:val="0"/>
    <w:pPr>
      <w:spacing w:before="240" w:after="60" w:line="500" w:lineRule="atLeast"/>
      <w:jc w:val="center"/>
      <w:outlineLvl w:val="0"/>
    </w:pPr>
    <w:rPr>
      <w:rFonts w:ascii="Arial" w:hAnsi="Arial" w:cs="Arial"/>
      <w:b/>
      <w:bCs/>
      <w:sz w:val="32"/>
      <w:szCs w:val="32"/>
    </w:rPr>
  </w:style>
  <w:style w:type="paragraph" w:styleId="72">
    <w:name w:val="annotation subject"/>
    <w:basedOn w:val="26"/>
    <w:next w:val="26"/>
    <w:qFormat/>
    <w:uiPriority w:val="0"/>
    <w:rPr>
      <w:b/>
      <w:bCs/>
    </w:rPr>
  </w:style>
  <w:style w:type="paragraph" w:styleId="73">
    <w:name w:val="Body Text First Indent"/>
    <w:basedOn w:val="2"/>
    <w:next w:val="1"/>
    <w:qFormat/>
    <w:uiPriority w:val="0"/>
    <w:pPr>
      <w:ind w:firstLine="420" w:firstLineChars="100"/>
    </w:pPr>
  </w:style>
  <w:style w:type="paragraph" w:styleId="74">
    <w:name w:val="Body Text First Indent 2"/>
    <w:basedOn w:val="1"/>
    <w:next w:val="73"/>
    <w:link w:val="136"/>
    <w:qFormat/>
    <w:uiPriority w:val="0"/>
    <w:pPr>
      <w:spacing w:after="0" w:line="500" w:lineRule="atLeast"/>
      <w:ind w:left="0" w:leftChars="0" w:firstLine="200" w:firstLineChars="200"/>
    </w:pPr>
    <w:rPr>
      <w:sz w:val="24"/>
      <w:szCs w:val="24"/>
    </w:rPr>
  </w:style>
  <w:style w:type="table" w:styleId="76">
    <w:name w:val="Table Grid"/>
    <w:basedOn w:val="7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8">
    <w:name w:val="Strong"/>
    <w:qFormat/>
    <w:uiPriority w:val="0"/>
    <w:rPr>
      <w:b/>
      <w:bCs/>
    </w:rPr>
  </w:style>
  <w:style w:type="character" w:styleId="79">
    <w:name w:val="page number"/>
    <w:basedOn w:val="77"/>
    <w:qFormat/>
    <w:uiPriority w:val="0"/>
  </w:style>
  <w:style w:type="character" w:styleId="80">
    <w:name w:val="FollowedHyperlink"/>
    <w:basedOn w:val="77"/>
    <w:qFormat/>
    <w:uiPriority w:val="0"/>
    <w:rPr>
      <w:color w:val="333333"/>
      <w:u w:val="none"/>
    </w:rPr>
  </w:style>
  <w:style w:type="character" w:styleId="81">
    <w:name w:val="Emphasis"/>
    <w:qFormat/>
    <w:uiPriority w:val="0"/>
    <w:rPr>
      <w:i/>
      <w:iCs/>
    </w:rPr>
  </w:style>
  <w:style w:type="character" w:styleId="82">
    <w:name w:val="line number"/>
    <w:basedOn w:val="77"/>
    <w:qFormat/>
    <w:uiPriority w:val="0"/>
  </w:style>
  <w:style w:type="character" w:styleId="83">
    <w:name w:val="HTML Definition"/>
    <w:qFormat/>
    <w:uiPriority w:val="0"/>
    <w:rPr>
      <w:i/>
      <w:iCs/>
    </w:rPr>
  </w:style>
  <w:style w:type="character" w:styleId="84">
    <w:name w:val="HTML Typewriter"/>
    <w:qFormat/>
    <w:uiPriority w:val="0"/>
    <w:rPr>
      <w:rFonts w:ascii="Courier New" w:hAnsi="Courier New" w:cs="Courier New"/>
      <w:sz w:val="20"/>
      <w:szCs w:val="20"/>
    </w:rPr>
  </w:style>
  <w:style w:type="character" w:styleId="85">
    <w:name w:val="HTML Acronym"/>
    <w:basedOn w:val="77"/>
    <w:qFormat/>
    <w:uiPriority w:val="0"/>
  </w:style>
  <w:style w:type="character" w:styleId="86">
    <w:name w:val="HTML Variable"/>
    <w:qFormat/>
    <w:uiPriority w:val="0"/>
    <w:rPr>
      <w:i/>
      <w:iCs/>
    </w:rPr>
  </w:style>
  <w:style w:type="character" w:styleId="87">
    <w:name w:val="Hyperlink"/>
    <w:basedOn w:val="77"/>
    <w:qFormat/>
    <w:uiPriority w:val="99"/>
    <w:rPr>
      <w:color w:val="333333"/>
      <w:u w:val="none"/>
    </w:rPr>
  </w:style>
  <w:style w:type="character" w:styleId="88">
    <w:name w:val="HTML Code"/>
    <w:qFormat/>
    <w:uiPriority w:val="0"/>
    <w:rPr>
      <w:rFonts w:ascii="Courier New" w:hAnsi="Courier New" w:cs="Courier New"/>
      <w:sz w:val="20"/>
      <w:szCs w:val="20"/>
    </w:rPr>
  </w:style>
  <w:style w:type="character" w:styleId="89">
    <w:name w:val="annotation reference"/>
    <w:qFormat/>
    <w:uiPriority w:val="0"/>
    <w:rPr>
      <w:sz w:val="21"/>
      <w:szCs w:val="21"/>
    </w:rPr>
  </w:style>
  <w:style w:type="character" w:styleId="90">
    <w:name w:val="HTML Cite"/>
    <w:qFormat/>
    <w:uiPriority w:val="0"/>
    <w:rPr>
      <w:i/>
      <w:iCs/>
    </w:rPr>
  </w:style>
  <w:style w:type="character" w:styleId="91">
    <w:name w:val="HTML Keyboard"/>
    <w:qFormat/>
    <w:uiPriority w:val="0"/>
    <w:rPr>
      <w:rFonts w:ascii="Courier New" w:hAnsi="Courier New" w:cs="Courier New"/>
      <w:sz w:val="20"/>
      <w:szCs w:val="20"/>
    </w:rPr>
  </w:style>
  <w:style w:type="character" w:styleId="92">
    <w:name w:val="HTML Sample"/>
    <w:qFormat/>
    <w:uiPriority w:val="0"/>
    <w:rPr>
      <w:rFonts w:ascii="Courier New" w:hAnsi="Courier New" w:cs="Courier New"/>
    </w:rPr>
  </w:style>
  <w:style w:type="character" w:customStyle="1" w:styleId="93">
    <w:name w:val="目录 1 Char"/>
    <w:link w:val="51"/>
    <w:qFormat/>
    <w:uiPriority w:val="39"/>
    <w:rPr>
      <w:bCs/>
      <w:caps/>
      <w:sz w:val="28"/>
      <w:lang w:val="fi-FI"/>
    </w:rPr>
  </w:style>
  <w:style w:type="character" w:customStyle="1" w:styleId="94">
    <w:name w:val="表2-1 Char"/>
    <w:link w:val="95"/>
    <w:qFormat/>
    <w:uiPriority w:val="0"/>
    <w:rPr>
      <w:rFonts w:eastAsia="宋体"/>
      <w:b/>
      <w:kern w:val="2"/>
      <w:sz w:val="21"/>
      <w:szCs w:val="21"/>
      <w:lang w:val="fi-FI" w:eastAsia="zh-CN" w:bidi="ar-SA"/>
    </w:rPr>
  </w:style>
  <w:style w:type="paragraph" w:customStyle="1" w:styleId="95">
    <w:name w:val="表2-1"/>
    <w:basedOn w:val="1"/>
    <w:link w:val="94"/>
    <w:qFormat/>
    <w:uiPriority w:val="0"/>
    <w:pPr>
      <w:numPr>
        <w:ilvl w:val="0"/>
        <w:numId w:val="1"/>
      </w:numPr>
      <w:snapToGrid w:val="0"/>
      <w:ind w:left="0" w:firstLine="0"/>
      <w:jc w:val="center"/>
    </w:pPr>
    <w:rPr>
      <w:b/>
      <w:szCs w:val="21"/>
    </w:rPr>
  </w:style>
  <w:style w:type="character" w:customStyle="1" w:styleId="96">
    <w:name w:val="表格内标 Char"/>
    <w:link w:val="97"/>
    <w:qFormat/>
    <w:uiPriority w:val="0"/>
    <w:rPr>
      <w:rFonts w:eastAsia="黑体"/>
      <w:kern w:val="2"/>
      <w:lang w:val="en-US" w:eastAsia="zh-CN" w:bidi="ar-SA"/>
    </w:rPr>
  </w:style>
  <w:style w:type="paragraph" w:customStyle="1" w:styleId="97">
    <w:name w:val="表格内标"/>
    <w:basedOn w:val="1"/>
    <w:next w:val="1"/>
    <w:link w:val="96"/>
    <w:qFormat/>
    <w:uiPriority w:val="0"/>
    <w:pPr>
      <w:adjustRightInd w:val="0"/>
      <w:snapToGrid w:val="0"/>
      <w:jc w:val="center"/>
    </w:pPr>
    <w:rPr>
      <w:rFonts w:eastAsia="黑体"/>
      <w:sz w:val="20"/>
      <w:lang w:val="en-US"/>
    </w:rPr>
  </w:style>
  <w:style w:type="character" w:customStyle="1" w:styleId="98">
    <w:name w:val="正文 首行缩进:  2 字符 SL CON Char"/>
    <w:link w:val="99"/>
    <w:qFormat/>
    <w:uiPriority w:val="0"/>
    <w:rPr>
      <w:rFonts w:ascii="宋体" w:eastAsia="宋体" w:cs="宋体"/>
      <w:sz w:val="24"/>
      <w:szCs w:val="24"/>
      <w:lang w:val="en-US" w:eastAsia="zh-CN" w:bidi="ar-SA"/>
    </w:rPr>
  </w:style>
  <w:style w:type="paragraph" w:customStyle="1" w:styleId="99">
    <w:name w:val="正文 首行缩进:  2 字符 SL CON"/>
    <w:basedOn w:val="1"/>
    <w:link w:val="98"/>
    <w:qFormat/>
    <w:uiPriority w:val="0"/>
    <w:pPr>
      <w:widowControl/>
      <w:tabs>
        <w:tab w:val="left" w:pos="377"/>
      </w:tabs>
      <w:spacing w:line="360" w:lineRule="auto"/>
      <w:ind w:firstLine="200" w:firstLineChars="200"/>
    </w:pPr>
    <w:rPr>
      <w:rFonts w:ascii="宋体" w:cs="宋体"/>
      <w:kern w:val="0"/>
      <w:sz w:val="24"/>
      <w:szCs w:val="24"/>
      <w:lang w:val="en-US"/>
    </w:rPr>
  </w:style>
  <w:style w:type="character" w:customStyle="1" w:styleId="100">
    <w:name w:val="Plain Text Char4"/>
    <w:qFormat/>
    <w:uiPriority w:val="0"/>
    <w:rPr>
      <w:rFonts w:ascii="宋体" w:hAnsi="Courier New" w:eastAsia="宋体"/>
      <w:kern w:val="2"/>
      <w:sz w:val="21"/>
      <w:lang w:val="en-US" w:eastAsia="zh-CN" w:bidi="ar-SA"/>
    </w:rPr>
  </w:style>
  <w:style w:type="character" w:customStyle="1" w:styleId="101">
    <w:name w:val="表格文字2 Char"/>
    <w:link w:val="102"/>
    <w:qFormat/>
    <w:uiPriority w:val="0"/>
    <w:rPr>
      <w:rFonts w:ascii="宋体" w:eastAsia="宋体"/>
      <w:sz w:val="24"/>
      <w:lang w:val="en-US" w:eastAsia="zh-CN" w:bidi="ar-SA"/>
    </w:rPr>
  </w:style>
  <w:style w:type="paragraph" w:customStyle="1" w:styleId="102">
    <w:name w:val="表格文字2"/>
    <w:basedOn w:val="1"/>
    <w:link w:val="101"/>
    <w:qFormat/>
    <w:uiPriority w:val="0"/>
    <w:pPr>
      <w:adjustRightInd w:val="0"/>
      <w:spacing w:before="60"/>
      <w:jc w:val="center"/>
      <w:textAlignment w:val="baseline"/>
    </w:pPr>
    <w:rPr>
      <w:rFonts w:ascii="宋体"/>
      <w:kern w:val="0"/>
      <w:sz w:val="24"/>
      <w:lang w:val="en-US"/>
    </w:rPr>
  </w:style>
  <w:style w:type="character" w:customStyle="1" w:styleId="103">
    <w:name w:val="apple-style-span"/>
    <w:basedOn w:val="77"/>
    <w:qFormat/>
    <w:uiPriority w:val="0"/>
  </w:style>
  <w:style w:type="character" w:customStyle="1" w:styleId="104">
    <w:name w:val="纯文本 Char"/>
    <w:link w:val="40"/>
    <w:qFormat/>
    <w:uiPriority w:val="0"/>
    <w:rPr>
      <w:rFonts w:ascii="宋体" w:hAnsi="Courier New" w:eastAsia="宋体"/>
      <w:kern w:val="2"/>
      <w:sz w:val="21"/>
      <w:lang w:val="en-US" w:eastAsia="zh-CN" w:bidi="ar-SA"/>
    </w:rPr>
  </w:style>
  <w:style w:type="character" w:customStyle="1" w:styleId="105">
    <w:name w:val="headline-content2"/>
    <w:basedOn w:val="77"/>
    <w:qFormat/>
    <w:uiPriority w:val="0"/>
  </w:style>
  <w:style w:type="character" w:customStyle="1" w:styleId="106">
    <w:name w:val="表格 Char Char"/>
    <w:link w:val="107"/>
    <w:qFormat/>
    <w:uiPriority w:val="0"/>
    <w:rPr>
      <w:rFonts w:ascii="宋体" w:hAnsi="宋体"/>
      <w:snapToGrid w:val="0"/>
      <w:sz w:val="21"/>
      <w:lang w:val="en-US" w:eastAsia="zh-CN" w:bidi="ar-SA"/>
    </w:rPr>
  </w:style>
  <w:style w:type="paragraph" w:customStyle="1" w:styleId="107">
    <w:name w:val="表格"/>
    <w:link w:val="106"/>
    <w:qFormat/>
    <w:uiPriority w:val="0"/>
    <w:pPr>
      <w:spacing w:line="380" w:lineRule="exact"/>
      <w:jc w:val="center"/>
    </w:pPr>
    <w:rPr>
      <w:rFonts w:ascii="宋体" w:hAnsi="宋体" w:eastAsia="宋体" w:cs="Times New Roman"/>
      <w:snapToGrid w:val="0"/>
      <w:sz w:val="21"/>
      <w:lang w:val="en-US" w:eastAsia="zh-CN" w:bidi="ar-SA"/>
    </w:rPr>
  </w:style>
  <w:style w:type="character" w:customStyle="1" w:styleId="108">
    <w:name w:val="正文（首行缩进两字） Char2"/>
    <w:qFormat/>
    <w:uiPriority w:val="0"/>
    <w:rPr>
      <w:rFonts w:eastAsia="宋体"/>
      <w:kern w:val="2"/>
      <w:sz w:val="21"/>
      <w:lang w:val="en-US" w:eastAsia="zh-CN" w:bidi="ar-SA"/>
    </w:rPr>
  </w:style>
  <w:style w:type="character" w:customStyle="1" w:styleId="109">
    <w:name w:val="Plain Text Char3"/>
    <w:qFormat/>
    <w:uiPriority w:val="0"/>
    <w:rPr>
      <w:rFonts w:ascii="宋体" w:hAnsi="Courier New" w:eastAsia="宋体"/>
      <w:kern w:val="2"/>
      <w:sz w:val="21"/>
      <w:lang w:val="en-US" w:eastAsia="zh-CN" w:bidi="ar-SA"/>
    </w:rPr>
  </w:style>
  <w:style w:type="character" w:customStyle="1" w:styleId="110">
    <w:name w:val="s"/>
    <w:basedOn w:val="77"/>
    <w:qFormat/>
    <w:uiPriority w:val="0"/>
  </w:style>
  <w:style w:type="character" w:styleId="111">
    <w:name w:val="Placeholder Text"/>
    <w:semiHidden/>
    <w:qFormat/>
    <w:uiPriority w:val="99"/>
    <w:rPr>
      <w:color w:val="808080"/>
    </w:rPr>
  </w:style>
  <w:style w:type="character" w:customStyle="1" w:styleId="112">
    <w:name w:val="正文01 Char Char"/>
    <w:qFormat/>
    <w:uiPriority w:val="0"/>
    <w:rPr>
      <w:rFonts w:eastAsia="宋体"/>
      <w:kern w:val="2"/>
      <w:sz w:val="24"/>
      <w:szCs w:val="24"/>
      <w:lang w:val="en-US" w:eastAsia="zh-CN" w:bidi="ar-SA"/>
    </w:rPr>
  </w:style>
  <w:style w:type="character" w:customStyle="1" w:styleId="113">
    <w:name w:val="表3-1 Char"/>
    <w:link w:val="114"/>
    <w:qFormat/>
    <w:uiPriority w:val="0"/>
    <w:rPr>
      <w:b/>
      <w:kern w:val="2"/>
      <w:sz w:val="21"/>
      <w:szCs w:val="21"/>
      <w:lang w:val="fi-FI" w:eastAsia="zh-CN" w:bidi="ar-SA"/>
    </w:rPr>
  </w:style>
  <w:style w:type="paragraph" w:customStyle="1" w:styleId="114">
    <w:name w:val="表3-1"/>
    <w:link w:val="113"/>
    <w:qFormat/>
    <w:uiPriority w:val="0"/>
    <w:pPr>
      <w:numPr>
        <w:ilvl w:val="0"/>
        <w:numId w:val="2"/>
      </w:numPr>
      <w:jc w:val="center"/>
    </w:pPr>
    <w:rPr>
      <w:rFonts w:ascii="Times New Roman" w:hAnsi="Times New Roman" w:eastAsia="宋体" w:cs="Times New Roman"/>
      <w:b/>
      <w:kern w:val="2"/>
      <w:sz w:val="21"/>
      <w:szCs w:val="21"/>
      <w:lang w:val="fi-FI" w:eastAsia="zh-CN" w:bidi="ar-SA"/>
    </w:rPr>
  </w:style>
  <w:style w:type="character" w:customStyle="1" w:styleId="115">
    <w:name w:val="表格标题 Char"/>
    <w:link w:val="116"/>
    <w:qFormat/>
    <w:uiPriority w:val="0"/>
    <w:rPr>
      <w:rFonts w:ascii="黑体" w:eastAsia="黑体"/>
      <w:sz w:val="24"/>
      <w:lang w:val="en-US" w:eastAsia="zh-CN" w:bidi="ar-SA"/>
    </w:rPr>
  </w:style>
  <w:style w:type="paragraph" w:customStyle="1" w:styleId="116">
    <w:name w:val="表格标题"/>
    <w:link w:val="115"/>
    <w:qFormat/>
    <w:uiPriority w:val="0"/>
    <w:pPr>
      <w:adjustRightInd w:val="0"/>
      <w:snapToGrid w:val="0"/>
      <w:spacing w:beforeLines="70" w:afterLines="20"/>
      <w:jc w:val="center"/>
    </w:pPr>
    <w:rPr>
      <w:rFonts w:ascii="黑体" w:hAnsi="Times New Roman" w:eastAsia="黑体" w:cs="Times New Roman"/>
      <w:sz w:val="24"/>
      <w:lang w:val="en-US" w:eastAsia="zh-CN" w:bidi="ar-SA"/>
    </w:rPr>
  </w:style>
  <w:style w:type="character" w:customStyle="1" w:styleId="117">
    <w:name w:val="表头 Char"/>
    <w:link w:val="118"/>
    <w:qFormat/>
    <w:uiPriority w:val="0"/>
    <w:rPr>
      <w:rFonts w:eastAsia="黑体"/>
      <w:sz w:val="24"/>
      <w:szCs w:val="24"/>
      <w:lang w:val="en-US" w:eastAsia="zh-CN" w:bidi="ar-SA"/>
    </w:rPr>
  </w:style>
  <w:style w:type="paragraph" w:customStyle="1" w:styleId="118">
    <w:name w:val="表头"/>
    <w:link w:val="117"/>
    <w:qFormat/>
    <w:uiPriority w:val="0"/>
    <w:pPr>
      <w:adjustRightInd w:val="0"/>
      <w:snapToGrid w:val="0"/>
      <w:spacing w:beforeLines="90" w:afterLines="40"/>
      <w:jc w:val="center"/>
    </w:pPr>
    <w:rPr>
      <w:rFonts w:ascii="Times New Roman" w:hAnsi="Times New Roman" w:eastAsia="黑体" w:cs="Times New Roman"/>
      <w:sz w:val="24"/>
      <w:szCs w:val="24"/>
      <w:lang w:val="en-US" w:eastAsia="zh-CN" w:bidi="ar-SA"/>
    </w:rPr>
  </w:style>
  <w:style w:type="character" w:customStyle="1" w:styleId="119">
    <w:name w:val="正文四号 Char"/>
    <w:link w:val="120"/>
    <w:qFormat/>
    <w:uiPriority w:val="0"/>
    <w:rPr>
      <w:rFonts w:eastAsia="宋体"/>
      <w:kern w:val="2"/>
      <w:sz w:val="28"/>
      <w:szCs w:val="28"/>
      <w:lang w:bidi="ar-SA"/>
    </w:rPr>
  </w:style>
  <w:style w:type="paragraph" w:customStyle="1" w:styleId="120">
    <w:name w:val="正文四号"/>
    <w:basedOn w:val="1"/>
    <w:link w:val="119"/>
    <w:qFormat/>
    <w:uiPriority w:val="0"/>
    <w:pPr>
      <w:spacing w:line="360" w:lineRule="auto"/>
      <w:ind w:firstLine="200" w:firstLineChars="200"/>
    </w:pPr>
    <w:rPr>
      <w:sz w:val="28"/>
      <w:szCs w:val="28"/>
    </w:rPr>
  </w:style>
  <w:style w:type="character" w:customStyle="1" w:styleId="121">
    <w:name w:val="正文文本缩进 Char"/>
    <w:link w:val="31"/>
    <w:qFormat/>
    <w:uiPriority w:val="0"/>
    <w:rPr>
      <w:rFonts w:eastAsia="宋体"/>
      <w:kern w:val="2"/>
      <w:sz w:val="21"/>
      <w:lang w:val="en-US" w:eastAsia="zh-CN" w:bidi="ar-SA"/>
    </w:rPr>
  </w:style>
  <w:style w:type="character" w:customStyle="1" w:styleId="122">
    <w:name w:val="批注文字 Char"/>
    <w:link w:val="26"/>
    <w:qFormat/>
    <w:uiPriority w:val="0"/>
    <w:rPr>
      <w:sz w:val="24"/>
      <w:szCs w:val="24"/>
    </w:rPr>
  </w:style>
  <w:style w:type="character" w:customStyle="1" w:styleId="123">
    <w:name w:val="正文文字缩进 Char Char"/>
    <w:qFormat/>
    <w:uiPriority w:val="0"/>
    <w:rPr>
      <w:rFonts w:ascii="宋体" w:eastAsia="宋体"/>
      <w:kern w:val="2"/>
      <w:sz w:val="24"/>
      <w:szCs w:val="24"/>
      <w:lang w:val="en-US" w:eastAsia="zh-CN" w:bidi="ar-SA"/>
    </w:rPr>
  </w:style>
  <w:style w:type="character" w:customStyle="1" w:styleId="124">
    <w:name w:val="正文2 Char"/>
    <w:link w:val="125"/>
    <w:qFormat/>
    <w:locked/>
    <w:uiPriority w:val="0"/>
    <w:rPr>
      <w:rFonts w:eastAsia="宋体"/>
      <w:kern w:val="2"/>
      <w:sz w:val="16"/>
      <w:lang w:val="fi-FI" w:eastAsia="zh-CN" w:bidi="ar-SA"/>
    </w:rPr>
  </w:style>
  <w:style w:type="paragraph" w:customStyle="1" w:styleId="125">
    <w:name w:val="正文2"/>
    <w:basedOn w:val="1"/>
    <w:link w:val="124"/>
    <w:qFormat/>
    <w:uiPriority w:val="0"/>
    <w:pPr>
      <w:adjustRightInd w:val="0"/>
      <w:snapToGrid w:val="0"/>
      <w:jc w:val="center"/>
    </w:pPr>
    <w:rPr>
      <w:sz w:val="16"/>
    </w:rPr>
  </w:style>
  <w:style w:type="character" w:customStyle="1" w:styleId="126">
    <w:name w:val="表格正文 Char"/>
    <w:link w:val="127"/>
    <w:qFormat/>
    <w:uiPriority w:val="0"/>
    <w:rPr>
      <w:rFonts w:ascii="Arial" w:hAnsi="Arial" w:eastAsia="宋体" w:cs="Arial"/>
      <w:kern w:val="2"/>
      <w:sz w:val="21"/>
      <w:szCs w:val="24"/>
      <w:lang w:val="en-US" w:eastAsia="zh-CN" w:bidi="ar-SA"/>
    </w:rPr>
  </w:style>
  <w:style w:type="paragraph" w:customStyle="1" w:styleId="127">
    <w:name w:val="表格正文"/>
    <w:basedOn w:val="1"/>
    <w:link w:val="126"/>
    <w:qFormat/>
    <w:uiPriority w:val="0"/>
    <w:pPr>
      <w:spacing w:line="360" w:lineRule="exact"/>
      <w:jc w:val="center"/>
    </w:pPr>
    <w:rPr>
      <w:rFonts w:ascii="Arial" w:hAnsi="Arial" w:cs="Arial"/>
      <w:szCs w:val="24"/>
      <w:lang w:val="en-US"/>
    </w:rPr>
  </w:style>
  <w:style w:type="character" w:customStyle="1" w:styleId="128">
    <w:name w:val="报告表格 Char"/>
    <w:link w:val="129"/>
    <w:qFormat/>
    <w:uiPriority w:val="0"/>
    <w:rPr>
      <w:rFonts w:eastAsia="宋体"/>
      <w:sz w:val="21"/>
      <w:lang w:val="en-US" w:eastAsia="zh-CN" w:bidi="ar-SA"/>
    </w:rPr>
  </w:style>
  <w:style w:type="paragraph" w:customStyle="1" w:styleId="129">
    <w:name w:val="报告表格"/>
    <w:basedOn w:val="1"/>
    <w:link w:val="128"/>
    <w:qFormat/>
    <w:uiPriority w:val="0"/>
    <w:pPr>
      <w:autoSpaceDE w:val="0"/>
      <w:autoSpaceDN w:val="0"/>
      <w:adjustRightInd w:val="0"/>
      <w:spacing w:before="40" w:after="40"/>
      <w:jc w:val="center"/>
      <w:textAlignment w:val="baseline"/>
    </w:pPr>
    <w:rPr>
      <w:kern w:val="0"/>
      <w:lang w:val="en-US"/>
    </w:rPr>
  </w:style>
  <w:style w:type="character" w:customStyle="1" w:styleId="130">
    <w:name w:val="列表 Char"/>
    <w:link w:val="56"/>
    <w:qFormat/>
    <w:uiPriority w:val="0"/>
    <w:rPr>
      <w:sz w:val="24"/>
    </w:rPr>
  </w:style>
  <w:style w:type="character" w:customStyle="1" w:styleId="131">
    <w:name w:val="表1-1 Char"/>
    <w:link w:val="132"/>
    <w:qFormat/>
    <w:uiPriority w:val="0"/>
    <w:rPr>
      <w:b/>
      <w:kern w:val="2"/>
      <w:sz w:val="21"/>
      <w:szCs w:val="21"/>
      <w:lang w:val="fi-FI"/>
    </w:rPr>
  </w:style>
  <w:style w:type="paragraph" w:customStyle="1" w:styleId="132">
    <w:name w:val="表1-1"/>
    <w:basedOn w:val="1"/>
    <w:link w:val="131"/>
    <w:qFormat/>
    <w:uiPriority w:val="0"/>
    <w:pPr>
      <w:snapToGrid w:val="0"/>
      <w:ind w:left="420" w:hanging="420"/>
      <w:jc w:val="center"/>
    </w:pPr>
    <w:rPr>
      <w:b/>
      <w:szCs w:val="21"/>
    </w:rPr>
  </w:style>
  <w:style w:type="character" w:customStyle="1" w:styleId="133">
    <w:name w:val="表4-1 Char"/>
    <w:link w:val="134"/>
    <w:qFormat/>
    <w:uiPriority w:val="0"/>
    <w:rPr>
      <w:rFonts w:hAnsi="宋体"/>
      <w:b/>
      <w:kern w:val="2"/>
      <w:sz w:val="21"/>
      <w:szCs w:val="21"/>
      <w:lang w:val="en-US" w:eastAsia="zh-CN" w:bidi="ar-SA"/>
    </w:rPr>
  </w:style>
  <w:style w:type="paragraph" w:customStyle="1" w:styleId="134">
    <w:name w:val="表4-1"/>
    <w:link w:val="133"/>
    <w:qFormat/>
    <w:uiPriority w:val="0"/>
    <w:pPr>
      <w:numPr>
        <w:ilvl w:val="0"/>
        <w:numId w:val="3"/>
      </w:numPr>
      <w:jc w:val="center"/>
    </w:pPr>
    <w:rPr>
      <w:rFonts w:ascii="Times New Roman" w:hAnsi="宋体" w:eastAsia="宋体" w:cs="Times New Roman"/>
      <w:b/>
      <w:kern w:val="2"/>
      <w:sz w:val="21"/>
      <w:szCs w:val="21"/>
      <w:lang w:val="en-US" w:eastAsia="zh-CN" w:bidi="ar-SA"/>
    </w:rPr>
  </w:style>
  <w:style w:type="character" w:customStyle="1" w:styleId="135">
    <w:name w:val="Char Char2"/>
    <w:qFormat/>
    <w:uiPriority w:val="0"/>
    <w:rPr>
      <w:rFonts w:eastAsia="黑体"/>
      <w:bCs/>
      <w:kern w:val="2"/>
      <w:sz w:val="24"/>
      <w:szCs w:val="24"/>
      <w:lang w:val="en-US" w:eastAsia="zh-CN" w:bidi="ar-SA"/>
    </w:rPr>
  </w:style>
  <w:style w:type="character" w:customStyle="1" w:styleId="136">
    <w:name w:val="正文首行缩进 2 Char"/>
    <w:link w:val="74"/>
    <w:qFormat/>
    <w:uiPriority w:val="0"/>
    <w:rPr>
      <w:rFonts w:eastAsia="宋体"/>
      <w:kern w:val="2"/>
      <w:sz w:val="24"/>
      <w:szCs w:val="24"/>
      <w:lang w:val="en-US" w:eastAsia="zh-CN" w:bidi="ar-SA"/>
    </w:rPr>
  </w:style>
  <w:style w:type="character" w:customStyle="1" w:styleId="137">
    <w:name w:val="正文缩进 Char"/>
    <w:link w:val="20"/>
    <w:qFormat/>
    <w:uiPriority w:val="0"/>
    <w:rPr>
      <w:rFonts w:eastAsia="宋体"/>
      <w:kern w:val="2"/>
      <w:sz w:val="21"/>
      <w:lang w:val="en-US" w:eastAsia="zh-CN" w:bidi="ar-SA"/>
    </w:rPr>
  </w:style>
  <w:style w:type="character" w:customStyle="1" w:styleId="138">
    <w:name w:val="unnamed11"/>
    <w:qFormat/>
    <w:uiPriority w:val="0"/>
    <w:rPr>
      <w:spacing w:val="330"/>
      <w:sz w:val="18"/>
      <w:szCs w:val="18"/>
      <w:u w:val="none"/>
    </w:rPr>
  </w:style>
  <w:style w:type="character" w:customStyle="1" w:styleId="139">
    <w:name w:val="样式 表7-1 + (符号) 宋体 Char"/>
    <w:link w:val="140"/>
    <w:qFormat/>
    <w:uiPriority w:val="0"/>
    <w:rPr>
      <w:b/>
      <w:bCs/>
      <w:kern w:val="2"/>
      <w:sz w:val="21"/>
      <w:szCs w:val="21"/>
      <w:lang w:val="en-US" w:eastAsia="zh-CN" w:bidi="ar-SA"/>
    </w:rPr>
  </w:style>
  <w:style w:type="paragraph" w:customStyle="1" w:styleId="140">
    <w:name w:val="样式 表7-1 + (符号) 宋体"/>
    <w:link w:val="139"/>
    <w:qFormat/>
    <w:uiPriority w:val="0"/>
    <w:rPr>
      <w:rFonts w:ascii="Times New Roman" w:hAnsi="Times New Roman" w:eastAsia="宋体" w:cs="Times New Roman"/>
      <w:b/>
      <w:bCs/>
      <w:kern w:val="2"/>
      <w:sz w:val="21"/>
      <w:szCs w:val="21"/>
      <w:lang w:val="en-US" w:eastAsia="zh-CN" w:bidi="ar-SA"/>
    </w:rPr>
  </w:style>
  <w:style w:type="character" w:customStyle="1" w:styleId="141">
    <w:name w:val="表5-1 Char"/>
    <w:link w:val="142"/>
    <w:qFormat/>
    <w:uiPriority w:val="0"/>
    <w:rPr>
      <w:rFonts w:eastAsia="宋体"/>
      <w:b/>
      <w:kern w:val="2"/>
      <w:sz w:val="21"/>
      <w:szCs w:val="21"/>
      <w:lang w:val="fi-FI" w:eastAsia="zh-CN" w:bidi="ar-SA"/>
    </w:rPr>
  </w:style>
  <w:style w:type="paragraph" w:customStyle="1" w:styleId="142">
    <w:name w:val="表5-1"/>
    <w:basedOn w:val="1"/>
    <w:link w:val="141"/>
    <w:qFormat/>
    <w:uiPriority w:val="0"/>
    <w:pPr>
      <w:numPr>
        <w:ilvl w:val="0"/>
        <w:numId w:val="4"/>
      </w:numPr>
      <w:ind w:left="0" w:firstLine="0"/>
      <w:jc w:val="center"/>
    </w:pPr>
    <w:rPr>
      <w:b/>
      <w:szCs w:val="21"/>
    </w:rPr>
  </w:style>
  <w:style w:type="character" w:customStyle="1" w:styleId="143">
    <w:name w:val="表格内容 Char"/>
    <w:link w:val="144"/>
    <w:qFormat/>
    <w:uiPriority w:val="0"/>
    <w:rPr>
      <w:rFonts w:eastAsia="宋体"/>
      <w:kern w:val="2"/>
      <w:lang w:val="en-US" w:eastAsia="zh-CN" w:bidi="ar-SA"/>
    </w:rPr>
  </w:style>
  <w:style w:type="paragraph" w:customStyle="1" w:styleId="144">
    <w:name w:val="表格内容"/>
    <w:basedOn w:val="1"/>
    <w:next w:val="1"/>
    <w:link w:val="143"/>
    <w:qFormat/>
    <w:uiPriority w:val="0"/>
    <w:pPr>
      <w:adjustRightInd w:val="0"/>
      <w:snapToGrid w:val="0"/>
      <w:jc w:val="center"/>
    </w:pPr>
    <w:rPr>
      <w:sz w:val="20"/>
      <w:lang w:val="en-US"/>
    </w:rPr>
  </w:style>
  <w:style w:type="character" w:customStyle="1" w:styleId="145">
    <w:name w:val="正文01 Char"/>
    <w:qFormat/>
    <w:locked/>
    <w:uiPriority w:val="0"/>
    <w:rPr>
      <w:rFonts w:eastAsia="宋体"/>
      <w:kern w:val="2"/>
      <w:sz w:val="24"/>
      <w:szCs w:val="24"/>
      <w:lang w:val="en-US" w:eastAsia="zh-CN" w:bidi="ar-SA"/>
    </w:rPr>
  </w:style>
  <w:style w:type="character" w:customStyle="1" w:styleId="146">
    <w:name w:val="三级标题 Char"/>
    <w:link w:val="147"/>
    <w:qFormat/>
    <w:uiPriority w:val="0"/>
    <w:rPr>
      <w:rFonts w:eastAsia="宋体"/>
      <w:b/>
      <w:bCs/>
      <w:kern w:val="2"/>
      <w:sz w:val="24"/>
      <w:szCs w:val="24"/>
      <w:lang w:val="en-US" w:eastAsia="zh-CN" w:bidi="ar-SA"/>
    </w:rPr>
  </w:style>
  <w:style w:type="paragraph" w:customStyle="1" w:styleId="147">
    <w:name w:val="三级标题"/>
    <w:basedOn w:val="1"/>
    <w:link w:val="146"/>
    <w:qFormat/>
    <w:uiPriority w:val="0"/>
    <w:pPr>
      <w:spacing w:before="300" w:line="460" w:lineRule="exact"/>
      <w:outlineLvl w:val="2"/>
    </w:pPr>
    <w:rPr>
      <w:b/>
      <w:bCs/>
      <w:sz w:val="24"/>
      <w:szCs w:val="24"/>
      <w:lang w:val="en-US"/>
    </w:rPr>
  </w:style>
  <w:style w:type="character" w:customStyle="1" w:styleId="148">
    <w:name w:val="正文01 Char1"/>
    <w:link w:val="149"/>
    <w:qFormat/>
    <w:uiPriority w:val="0"/>
    <w:rPr>
      <w:rFonts w:ascii="Arial" w:hAnsi="Arial" w:eastAsia="宋体"/>
      <w:kern w:val="2"/>
      <w:sz w:val="24"/>
      <w:szCs w:val="24"/>
      <w:lang w:val="en-US" w:eastAsia="zh-CN" w:bidi="ar-SA"/>
    </w:rPr>
  </w:style>
  <w:style w:type="paragraph" w:customStyle="1" w:styleId="149">
    <w:name w:val="正文01"/>
    <w:basedOn w:val="1"/>
    <w:link w:val="148"/>
    <w:qFormat/>
    <w:uiPriority w:val="0"/>
    <w:pPr>
      <w:spacing w:before="60" w:line="460" w:lineRule="exact"/>
      <w:ind w:firstLine="200" w:firstLineChars="200"/>
    </w:pPr>
    <w:rPr>
      <w:rFonts w:ascii="Arial" w:hAnsi="Arial"/>
      <w:sz w:val="24"/>
      <w:szCs w:val="24"/>
      <w:lang w:val="en-US"/>
    </w:rPr>
  </w:style>
  <w:style w:type="character" w:customStyle="1" w:styleId="150">
    <w:name w:val="正文000 Char"/>
    <w:link w:val="151"/>
    <w:qFormat/>
    <w:uiPriority w:val="0"/>
    <w:rPr>
      <w:rFonts w:eastAsia="宋体"/>
      <w:sz w:val="24"/>
      <w:lang w:bidi="ar-SA"/>
    </w:rPr>
  </w:style>
  <w:style w:type="paragraph" w:customStyle="1" w:styleId="151">
    <w:name w:val="正文000"/>
    <w:basedOn w:val="1"/>
    <w:link w:val="150"/>
    <w:qFormat/>
    <w:uiPriority w:val="0"/>
    <w:pPr>
      <w:adjustRightInd w:val="0"/>
      <w:spacing w:line="360" w:lineRule="auto"/>
      <w:ind w:firstLine="480" w:firstLineChars="200"/>
      <w:textAlignment w:val="center"/>
    </w:pPr>
    <w:rPr>
      <w:kern w:val="0"/>
      <w:sz w:val="24"/>
    </w:rPr>
  </w:style>
  <w:style w:type="character" w:customStyle="1" w:styleId="152">
    <w:name w:val="标题 2 Char"/>
    <w:qFormat/>
    <w:uiPriority w:val="0"/>
    <w:rPr>
      <w:rFonts w:ascii="黑体" w:hAnsi="Arial" w:eastAsia="黑体"/>
      <w:bCs/>
      <w:kern w:val="2"/>
      <w:sz w:val="24"/>
      <w:szCs w:val="24"/>
      <w:lang w:val="en-US" w:eastAsia="zh-CN" w:bidi="ar-SA"/>
    </w:rPr>
  </w:style>
  <w:style w:type="character" w:customStyle="1" w:styleId="153">
    <w:name w:val="正文（首行缩进两字） Char1"/>
    <w:qFormat/>
    <w:uiPriority w:val="0"/>
    <w:rPr>
      <w:rFonts w:eastAsia="宋体"/>
      <w:kern w:val="2"/>
      <w:sz w:val="21"/>
      <w:lang w:val="en-US" w:eastAsia="zh-CN" w:bidi="ar-SA"/>
    </w:rPr>
  </w:style>
  <w:style w:type="character" w:customStyle="1" w:styleId="154">
    <w:name w:val="标题 2 Char1"/>
    <w:link w:val="5"/>
    <w:qFormat/>
    <w:uiPriority w:val="0"/>
    <w:rPr>
      <w:rFonts w:ascii="Arial" w:hAnsi="Arial" w:eastAsia="黑体"/>
      <w:b/>
      <w:bCs/>
      <w:kern w:val="2"/>
      <w:sz w:val="32"/>
      <w:szCs w:val="32"/>
      <w:lang w:val="en-US" w:eastAsia="zh-CN" w:bidi="ar-SA"/>
    </w:rPr>
  </w:style>
  <w:style w:type="character" w:customStyle="1" w:styleId="155">
    <w:name w:val="表格外标 Char"/>
    <w:link w:val="156"/>
    <w:qFormat/>
    <w:uiPriority w:val="0"/>
    <w:rPr>
      <w:rFonts w:eastAsia="黑体"/>
      <w:kern w:val="2"/>
      <w:sz w:val="24"/>
      <w:szCs w:val="24"/>
      <w:lang w:val="en-US" w:eastAsia="zh-CN" w:bidi="ar-SA"/>
    </w:rPr>
  </w:style>
  <w:style w:type="paragraph" w:customStyle="1" w:styleId="156">
    <w:name w:val="表格外标"/>
    <w:basedOn w:val="1"/>
    <w:next w:val="1"/>
    <w:link w:val="155"/>
    <w:qFormat/>
    <w:uiPriority w:val="0"/>
    <w:pPr>
      <w:adjustRightInd w:val="0"/>
      <w:snapToGrid w:val="0"/>
      <w:spacing w:beforeLines="50" w:afterLines="20"/>
      <w:jc w:val="center"/>
    </w:pPr>
    <w:rPr>
      <w:rFonts w:eastAsia="黑体"/>
      <w:sz w:val="24"/>
      <w:szCs w:val="24"/>
      <w:lang w:val="en-US"/>
    </w:rPr>
  </w:style>
  <w:style w:type="character" w:customStyle="1" w:styleId="157">
    <w:name w:val="页眉 Char"/>
    <w:link w:val="49"/>
    <w:qFormat/>
    <w:uiPriority w:val="0"/>
    <w:rPr>
      <w:rFonts w:eastAsia="宋体"/>
      <w:kern w:val="2"/>
      <w:sz w:val="18"/>
      <w:szCs w:val="18"/>
      <w:lang w:val="en-US" w:eastAsia="zh-CN" w:bidi="ar-SA"/>
    </w:rPr>
  </w:style>
  <w:style w:type="character" w:customStyle="1" w:styleId="158">
    <w:name w:val="报告 Char"/>
    <w:link w:val="159"/>
    <w:qFormat/>
    <w:uiPriority w:val="0"/>
    <w:rPr>
      <w:sz w:val="24"/>
    </w:rPr>
  </w:style>
  <w:style w:type="paragraph" w:customStyle="1" w:styleId="159">
    <w:name w:val="报告"/>
    <w:basedOn w:val="1"/>
    <w:link w:val="158"/>
    <w:qFormat/>
    <w:uiPriority w:val="0"/>
    <w:pPr>
      <w:adjustRightInd w:val="0"/>
      <w:spacing w:line="360" w:lineRule="auto"/>
      <w:ind w:firstLine="505"/>
      <w:jc w:val="left"/>
      <w:textAlignment w:val="baseline"/>
    </w:pPr>
    <w:rPr>
      <w:kern w:val="0"/>
      <w:sz w:val="24"/>
    </w:rPr>
  </w:style>
  <w:style w:type="character" w:customStyle="1" w:styleId="160">
    <w:name w:val="报告表正文 Char"/>
    <w:link w:val="161"/>
    <w:qFormat/>
    <w:uiPriority w:val="0"/>
    <w:rPr>
      <w:rFonts w:eastAsia="宋体"/>
      <w:sz w:val="24"/>
      <w:lang w:val="en-US" w:eastAsia="zh-CN" w:bidi="ar-SA"/>
    </w:rPr>
  </w:style>
  <w:style w:type="paragraph" w:customStyle="1" w:styleId="161">
    <w:name w:val="报告表正文"/>
    <w:basedOn w:val="1"/>
    <w:link w:val="160"/>
    <w:qFormat/>
    <w:uiPriority w:val="0"/>
    <w:pPr>
      <w:adjustRightInd w:val="0"/>
      <w:spacing w:line="312" w:lineRule="auto"/>
      <w:ind w:left="113" w:right="113" w:firstLine="482"/>
      <w:jc w:val="left"/>
      <w:textAlignment w:val="baseline"/>
    </w:pPr>
    <w:rPr>
      <w:kern w:val="0"/>
      <w:sz w:val="24"/>
      <w:lang w:val="en-US"/>
    </w:rPr>
  </w:style>
  <w:style w:type="paragraph" w:customStyle="1" w:styleId="162">
    <w:name w:val="表6-1"/>
    <w:basedOn w:val="1"/>
    <w:qFormat/>
    <w:uiPriority w:val="0"/>
    <w:pPr>
      <w:numPr>
        <w:ilvl w:val="0"/>
        <w:numId w:val="5"/>
      </w:numPr>
      <w:jc w:val="center"/>
    </w:pPr>
    <w:rPr>
      <w:b/>
      <w:kern w:val="0"/>
      <w:szCs w:val="24"/>
    </w:rPr>
  </w:style>
  <w:style w:type="paragraph" w:customStyle="1" w:styleId="163">
    <w:name w:val="居中正文"/>
    <w:basedOn w:val="1"/>
    <w:qFormat/>
    <w:uiPriority w:val="0"/>
    <w:pPr>
      <w:adjustRightInd w:val="0"/>
      <w:snapToGrid w:val="0"/>
      <w:jc w:val="center"/>
      <w:textAlignment w:val="baseline"/>
    </w:pPr>
    <w:rPr>
      <w:kern w:val="28"/>
      <w:szCs w:val="21"/>
    </w:rPr>
  </w:style>
  <w:style w:type="paragraph" w:customStyle="1" w:styleId="164">
    <w:name w:val="正文中表格"/>
    <w:basedOn w:val="31"/>
    <w:qFormat/>
    <w:uiPriority w:val="0"/>
    <w:pPr>
      <w:spacing w:after="0" w:line="360" w:lineRule="exact"/>
      <w:ind w:left="0" w:leftChars="0"/>
      <w:jc w:val="center"/>
    </w:pPr>
    <w:rPr>
      <w:rFonts w:ascii="宋体" w:hAnsi="宋体"/>
      <w:color w:val="000000"/>
      <w:sz w:val="24"/>
    </w:rPr>
  </w:style>
  <w:style w:type="paragraph" w:customStyle="1" w:styleId="165">
    <w:name w:val="表7-1"/>
    <w:basedOn w:val="1"/>
    <w:qFormat/>
    <w:uiPriority w:val="0"/>
    <w:pPr>
      <w:numPr>
        <w:ilvl w:val="0"/>
        <w:numId w:val="6"/>
      </w:numPr>
      <w:jc w:val="center"/>
    </w:pPr>
    <w:rPr>
      <w:b/>
      <w:szCs w:val="21"/>
    </w:rPr>
  </w:style>
  <w:style w:type="paragraph" w:customStyle="1" w:styleId="166">
    <w:name w:val="Char Char Char Char Char Char2 Char Char Char Char"/>
    <w:basedOn w:val="1"/>
    <w:qFormat/>
    <w:uiPriority w:val="0"/>
    <w:rPr>
      <w:szCs w:val="24"/>
    </w:rPr>
  </w:style>
  <w:style w:type="paragraph" w:customStyle="1" w:styleId="167">
    <w:name w:val="样式 表1-1 + 两端对齐"/>
    <w:basedOn w:val="132"/>
    <w:qFormat/>
    <w:uiPriority w:val="0"/>
    <w:rPr>
      <w:rFonts w:cs="宋体"/>
      <w:bCs/>
      <w:szCs w:val="20"/>
    </w:rPr>
  </w:style>
  <w:style w:type="paragraph" w:customStyle="1" w:styleId="168">
    <w:name w:val="TOC 标题1"/>
    <w:basedOn w:val="4"/>
    <w:next w:val="1"/>
    <w:qFormat/>
    <w:uiPriority w:val="39"/>
    <w:pPr>
      <w:keepLines/>
      <w:widowControl/>
      <w:snapToGrid/>
      <w:spacing w:before="480" w:line="276" w:lineRule="auto"/>
      <w:jc w:val="left"/>
      <w:outlineLvl w:val="9"/>
    </w:pPr>
    <w:rPr>
      <w:rFonts w:ascii="Cambria" w:hAnsi="Cambria"/>
      <w:color w:val="365F91"/>
      <w:spacing w:val="0"/>
      <w:kern w:val="0"/>
      <w:sz w:val="28"/>
      <w:szCs w:val="28"/>
      <w:lang w:val="en-US"/>
    </w:rPr>
  </w:style>
  <w:style w:type="paragraph" w:customStyle="1" w:styleId="169">
    <w:name w:val="xl26"/>
    <w:basedOn w:val="1"/>
    <w:qFormat/>
    <w:uiPriority w:val="0"/>
    <w:pPr>
      <w:widowControl/>
      <w:spacing w:before="100" w:after="100"/>
      <w:jc w:val="center"/>
    </w:pPr>
    <w:rPr>
      <w:color w:val="000000"/>
      <w:kern w:val="0"/>
      <w:sz w:val="24"/>
    </w:rPr>
  </w:style>
  <w:style w:type="paragraph" w:customStyle="1" w:styleId="170">
    <w:name w:val="zhang正文"/>
    <w:basedOn w:val="31"/>
    <w:qFormat/>
    <w:uiPriority w:val="0"/>
    <w:pPr>
      <w:autoSpaceDE w:val="0"/>
      <w:autoSpaceDN w:val="0"/>
      <w:adjustRightInd w:val="0"/>
      <w:snapToGrid w:val="0"/>
      <w:spacing w:after="0" w:line="500" w:lineRule="exact"/>
      <w:ind w:left="0" w:leftChars="0" w:firstLine="539"/>
      <w:textAlignment w:val="baseline"/>
    </w:pPr>
    <w:rPr>
      <w:rFonts w:eastAsia="楷体_GB2312"/>
      <w:kern w:val="0"/>
      <w:sz w:val="28"/>
    </w:rPr>
  </w:style>
  <w:style w:type="paragraph" w:customStyle="1" w:styleId="171">
    <w:name w:val="a5"/>
    <w:basedOn w:val="1"/>
    <w:qFormat/>
    <w:uiPriority w:val="0"/>
    <w:pPr>
      <w:widowControl/>
      <w:spacing w:before="100" w:beforeAutospacing="1" w:after="100" w:afterAutospacing="1"/>
      <w:jc w:val="left"/>
    </w:pPr>
    <w:rPr>
      <w:rFonts w:hAnsi="宋体"/>
      <w:kern w:val="0"/>
      <w:sz w:val="24"/>
      <w:szCs w:val="24"/>
    </w:rPr>
  </w:style>
  <w:style w:type="paragraph" w:customStyle="1" w:styleId="172">
    <w:name w:val="样式 样式 标题 3 + Times New Roman + 段前: 1 行 段后: 0.5 行"/>
    <w:basedOn w:val="1"/>
    <w:qFormat/>
    <w:uiPriority w:val="0"/>
    <w:pPr>
      <w:keepNext/>
      <w:keepLines/>
      <w:tabs>
        <w:tab w:val="left" w:pos="724"/>
        <w:tab w:val="left" w:pos="804"/>
      </w:tabs>
      <w:spacing w:beforeLines="100" w:afterLines="50"/>
      <w:outlineLvl w:val="2"/>
    </w:pPr>
    <w:rPr>
      <w:rFonts w:cs="宋体"/>
      <w:b/>
      <w:bCs/>
      <w:sz w:val="28"/>
    </w:rPr>
  </w:style>
  <w:style w:type="paragraph" w:customStyle="1" w:styleId="173">
    <w:name w:val="内表头"/>
    <w:basedOn w:val="21"/>
    <w:qFormat/>
    <w:uiPriority w:val="0"/>
    <w:pPr>
      <w:keepNext/>
      <w:keepLines/>
      <w:adjustRightInd w:val="0"/>
      <w:snapToGrid w:val="0"/>
      <w:spacing w:line="240" w:lineRule="auto"/>
      <w:jc w:val="center"/>
    </w:pPr>
    <w:rPr>
      <w:rFonts w:ascii="Times New Roman" w:hAnsi="Times New Roman"/>
      <w:sz w:val="24"/>
      <w:szCs w:val="24"/>
    </w:rPr>
  </w:style>
  <w:style w:type="paragraph" w:customStyle="1" w:styleId="174">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5">
    <w:name w:val="表格标题-9"/>
    <w:basedOn w:val="1"/>
    <w:next w:val="40"/>
    <w:qFormat/>
    <w:uiPriority w:val="0"/>
    <w:pPr>
      <w:adjustRightInd w:val="0"/>
      <w:snapToGrid w:val="0"/>
      <w:spacing w:line="360" w:lineRule="auto"/>
      <w:jc w:val="center"/>
    </w:pPr>
    <w:rPr>
      <w:rFonts w:eastAsia="黑体"/>
      <w:sz w:val="24"/>
      <w:szCs w:val="24"/>
      <w:lang w:val="en-US"/>
    </w:rPr>
  </w:style>
  <w:style w:type="paragraph" w:customStyle="1" w:styleId="176">
    <w:name w:val="章标题"/>
    <w:next w:val="1"/>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177">
    <w:name w:val="Char"/>
    <w:basedOn w:val="1"/>
    <w:qFormat/>
    <w:uiPriority w:val="0"/>
    <w:rPr>
      <w:sz w:val="24"/>
      <w:szCs w:val="24"/>
    </w:rPr>
  </w:style>
  <w:style w:type="paragraph" w:customStyle="1" w:styleId="178">
    <w:name w:val="Char Char3 Char Char Char Char1"/>
    <w:basedOn w:val="1"/>
    <w:qFormat/>
    <w:uiPriority w:val="0"/>
    <w:pPr>
      <w:widowControl/>
      <w:spacing w:after="160" w:line="240" w:lineRule="exact"/>
      <w:jc w:val="left"/>
    </w:pPr>
    <w:rPr>
      <w:rFonts w:ascii="Verdana" w:hAnsi="Verdana"/>
      <w:kern w:val="0"/>
      <w:sz w:val="20"/>
      <w:lang w:val="en-US" w:eastAsia="en-US"/>
    </w:rPr>
  </w:style>
  <w:style w:type="paragraph" w:customStyle="1" w:styleId="179">
    <w:name w:val="1"/>
    <w:basedOn w:val="1"/>
    <w:next w:val="1"/>
    <w:qFormat/>
    <w:uiPriority w:val="0"/>
    <w:pPr>
      <w:spacing w:line="360" w:lineRule="auto"/>
      <w:ind w:firstLine="480" w:firstLineChars="200"/>
    </w:pPr>
    <w:rPr>
      <w:rFonts w:ascii="仿宋_GB2312" w:eastAsia="仿宋_GB2312"/>
      <w:sz w:val="24"/>
      <w:szCs w:val="24"/>
    </w:rPr>
  </w:style>
  <w:style w:type="paragraph" w:customStyle="1" w:styleId="180">
    <w:name w:val="一级条标题"/>
    <w:basedOn w:val="176"/>
    <w:next w:val="1"/>
    <w:qFormat/>
    <w:uiPriority w:val="0"/>
    <w:pPr>
      <w:tabs>
        <w:tab w:val="left" w:pos="360"/>
        <w:tab w:val="left" w:pos="1260"/>
        <w:tab w:val="clear" w:pos="903"/>
      </w:tabs>
      <w:spacing w:before="0" w:after="0"/>
      <w:ind w:left="1260" w:hanging="420"/>
      <w:outlineLvl w:val="2"/>
    </w:pPr>
  </w:style>
  <w:style w:type="paragraph" w:customStyle="1" w:styleId="181">
    <w:name w:val="默认段落字体 Para Char Char"/>
    <w:basedOn w:val="1"/>
    <w:qFormat/>
    <w:uiPriority w:val="0"/>
    <w:rPr>
      <w:lang w:val="en-US"/>
    </w:rPr>
  </w:style>
  <w:style w:type="paragraph" w:customStyle="1" w:styleId="182">
    <w:name w:val="Char4 Char Char Char Char Char Char1"/>
    <w:basedOn w:val="1"/>
    <w:qFormat/>
    <w:uiPriority w:val="0"/>
    <w:pPr>
      <w:spacing w:line="360" w:lineRule="auto"/>
      <w:ind w:firstLine="200" w:firstLineChars="200"/>
    </w:pPr>
    <w:rPr>
      <w:rFonts w:ascii="宋体" w:hAnsi="宋体" w:cs="宋体"/>
      <w:sz w:val="24"/>
      <w:szCs w:val="24"/>
      <w:lang w:val="en-US"/>
    </w:rPr>
  </w:style>
  <w:style w:type="paragraph" w:customStyle="1" w:styleId="183">
    <w:name w:val="a0"/>
    <w:basedOn w:val="1"/>
    <w:qFormat/>
    <w:uiPriority w:val="0"/>
    <w:pPr>
      <w:widowControl/>
      <w:spacing w:before="100" w:beforeAutospacing="1" w:after="100" w:afterAutospacing="1"/>
      <w:jc w:val="left"/>
    </w:pPr>
    <w:rPr>
      <w:rFonts w:hAnsi="宋体"/>
      <w:kern w:val="0"/>
      <w:sz w:val="24"/>
      <w:szCs w:val="24"/>
    </w:rPr>
  </w:style>
  <w:style w:type="paragraph" w:customStyle="1" w:styleId="184">
    <w:name w:val="二级条标题"/>
    <w:basedOn w:val="180"/>
    <w:next w:val="1"/>
    <w:qFormat/>
    <w:uiPriority w:val="0"/>
    <w:pPr>
      <w:tabs>
        <w:tab w:val="left" w:pos="1680"/>
        <w:tab w:val="clear" w:pos="360"/>
        <w:tab w:val="clear" w:pos="1260"/>
      </w:tabs>
      <w:ind w:left="1680"/>
      <w:outlineLvl w:val="3"/>
    </w:pPr>
  </w:style>
  <w:style w:type="paragraph" w:customStyle="1" w:styleId="185">
    <w:name w:val="表格下方正文"/>
    <w:basedOn w:val="1"/>
    <w:qFormat/>
    <w:uiPriority w:val="0"/>
    <w:pPr>
      <w:spacing w:before="300" w:line="460" w:lineRule="exact"/>
      <w:ind w:firstLine="200" w:firstLineChars="200"/>
    </w:pPr>
    <w:rPr>
      <w:sz w:val="24"/>
    </w:rPr>
  </w:style>
  <w:style w:type="paragraph" w:customStyle="1" w:styleId="186">
    <w:name w:val="样式 表1-1 + (符号) 宋体 段前: 6 磅2"/>
    <w:basedOn w:val="132"/>
    <w:qFormat/>
    <w:uiPriority w:val="0"/>
    <w:pPr>
      <w:numPr>
        <w:ilvl w:val="0"/>
        <w:numId w:val="7"/>
      </w:numPr>
      <w:spacing w:before="120"/>
    </w:pPr>
    <w:rPr>
      <w:rFonts w:hAnsi="宋体" w:cs="宋体"/>
      <w:bCs/>
      <w:kern w:val="0"/>
      <w:szCs w:val="20"/>
    </w:rPr>
  </w:style>
  <w:style w:type="paragraph" w:customStyle="1" w:styleId="18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88">
    <w:name w:val="表10-1"/>
    <w:basedOn w:val="144"/>
    <w:qFormat/>
    <w:uiPriority w:val="0"/>
    <w:pPr>
      <w:tabs>
        <w:tab w:val="left" w:pos="0"/>
      </w:tabs>
    </w:pPr>
    <w:rPr>
      <w:b/>
      <w:szCs w:val="21"/>
    </w:rPr>
  </w:style>
  <w:style w:type="paragraph" w:customStyle="1" w:styleId="189">
    <w:name w:val="Char2"/>
    <w:basedOn w:val="1"/>
    <w:qFormat/>
    <w:uiPriority w:val="0"/>
    <w:rPr>
      <w:szCs w:val="24"/>
      <w:lang w:val="en-US"/>
    </w:rPr>
  </w:style>
  <w:style w:type="paragraph" w:customStyle="1" w:styleId="190">
    <w:name w:val="Char Char1 Char Char"/>
    <w:basedOn w:val="1"/>
    <w:semiHidden/>
    <w:qFormat/>
    <w:uiPriority w:val="0"/>
    <w:pPr>
      <w:widowControl/>
      <w:adjustRightInd w:val="0"/>
      <w:spacing w:after="160" w:line="240" w:lineRule="exact"/>
      <w:jc w:val="left"/>
      <w:textAlignment w:val="baseline"/>
    </w:pPr>
    <w:rPr>
      <w:rFonts w:ascii="Arial" w:hAnsi="Arial"/>
      <w:kern w:val="0"/>
      <w:sz w:val="22"/>
      <w:szCs w:val="22"/>
      <w:lang w:val="en-US" w:eastAsia="en-US"/>
    </w:rPr>
  </w:style>
  <w:style w:type="paragraph" w:customStyle="1" w:styleId="191">
    <w:name w:val="xl27"/>
    <w:basedOn w:val="1"/>
    <w:qFormat/>
    <w:uiPriority w:val="0"/>
    <w:pPr>
      <w:widowControl/>
      <w:spacing w:before="100" w:beforeAutospacing="1" w:after="100" w:afterAutospacing="1"/>
      <w:jc w:val="center"/>
    </w:pPr>
    <w:rPr>
      <w:rFonts w:hint="eastAsia" w:hAnsi="宋体"/>
      <w:kern w:val="0"/>
      <w:sz w:val="24"/>
      <w:szCs w:val="24"/>
    </w:rPr>
  </w:style>
  <w:style w:type="paragraph" w:customStyle="1" w:styleId="192">
    <w:name w:val="表名"/>
    <w:basedOn w:val="1"/>
    <w:qFormat/>
    <w:uiPriority w:val="0"/>
    <w:pPr>
      <w:jc w:val="center"/>
    </w:pPr>
    <w:rPr>
      <w:rFonts w:hAnsi="宋体"/>
      <w:sz w:val="24"/>
    </w:rPr>
  </w:style>
  <w:style w:type="paragraph" w:customStyle="1" w:styleId="193">
    <w:name w:val="表格内容2"/>
    <w:qFormat/>
    <w:uiPriority w:val="0"/>
    <w:pPr>
      <w:jc w:val="center"/>
    </w:pPr>
    <w:rPr>
      <w:rFonts w:ascii="宋体" w:hAnsi="Times New Roman" w:eastAsia="宋体" w:cs="Times New Roman"/>
      <w:iCs/>
      <w:sz w:val="21"/>
      <w:lang w:val="en-US" w:eastAsia="zh-CN" w:bidi="ar-SA"/>
    </w:rPr>
  </w:style>
  <w:style w:type="paragraph" w:customStyle="1" w:styleId="194">
    <w:name w:val="样式 表1-1 + (符号) 宋体 段前: 6 磅3"/>
    <w:basedOn w:val="132"/>
    <w:qFormat/>
    <w:uiPriority w:val="0"/>
    <w:pPr>
      <w:numPr>
        <w:ilvl w:val="0"/>
        <w:numId w:val="8"/>
      </w:numPr>
      <w:spacing w:before="120"/>
    </w:pPr>
    <w:rPr>
      <w:rFonts w:hAnsi="宋体" w:cs="宋体"/>
      <w:bCs/>
      <w:kern w:val="0"/>
      <w:szCs w:val="20"/>
    </w:rPr>
  </w:style>
  <w:style w:type="paragraph" w:customStyle="1" w:styleId="195">
    <w:name w:val="p0"/>
    <w:basedOn w:val="1"/>
    <w:qFormat/>
    <w:uiPriority w:val="0"/>
    <w:pPr>
      <w:widowControl/>
      <w:spacing w:before="100" w:beforeAutospacing="1" w:after="100" w:afterAutospacing="1"/>
      <w:jc w:val="left"/>
    </w:pPr>
    <w:rPr>
      <w:rFonts w:ascii="宋体" w:hAnsi="宋体" w:cs="宋体"/>
      <w:kern w:val="0"/>
      <w:sz w:val="24"/>
      <w:szCs w:val="24"/>
      <w:lang w:val="en-US"/>
    </w:rPr>
  </w:style>
  <w:style w:type="paragraph" w:customStyle="1" w:styleId="196">
    <w:name w:val="表格样式"/>
    <w:basedOn w:val="1"/>
    <w:qFormat/>
    <w:uiPriority w:val="0"/>
    <w:pPr>
      <w:adjustRightInd w:val="0"/>
      <w:snapToGrid w:val="0"/>
      <w:jc w:val="center"/>
      <w:textAlignment w:val="center"/>
    </w:pPr>
    <w:rPr>
      <w:sz w:val="28"/>
      <w:szCs w:val="24"/>
      <w:lang w:val="en-US"/>
    </w:rPr>
  </w:style>
  <w:style w:type="paragraph" w:customStyle="1" w:styleId="197">
    <w:name w:val="正文001"/>
    <w:basedOn w:val="1"/>
    <w:qFormat/>
    <w:uiPriority w:val="0"/>
    <w:pPr>
      <w:spacing w:before="60" w:line="420" w:lineRule="exact"/>
      <w:ind w:firstLine="482"/>
    </w:pPr>
    <w:rPr>
      <w:sz w:val="24"/>
    </w:rPr>
  </w:style>
  <w:style w:type="paragraph" w:customStyle="1" w:styleId="198">
    <w:name w:val="样式 表1-1 +"/>
    <w:basedOn w:val="132"/>
    <w:qFormat/>
    <w:uiPriority w:val="0"/>
    <w:pPr>
      <w:numPr>
        <w:ilvl w:val="0"/>
        <w:numId w:val="9"/>
      </w:numPr>
    </w:pPr>
    <w:rPr>
      <w:bCs/>
      <w:kern w:val="0"/>
    </w:rPr>
  </w:style>
  <w:style w:type="paragraph" w:customStyle="1" w:styleId="199">
    <w:name w:val="Char Char1 Char Char Char Char Char Char Char Char Char Char Char Char Char Char Char Char Char Char Char Char1 Char1"/>
    <w:basedOn w:val="1"/>
    <w:qFormat/>
    <w:uiPriority w:val="0"/>
    <w:pPr>
      <w:spacing w:line="360" w:lineRule="auto"/>
      <w:ind w:firstLine="200" w:firstLineChars="200"/>
    </w:pPr>
    <w:rPr>
      <w:rFonts w:ascii="宋体" w:hAnsi="宋体" w:cs="宋体"/>
      <w:sz w:val="24"/>
      <w:szCs w:val="24"/>
    </w:rPr>
  </w:style>
  <w:style w:type="paragraph" w:customStyle="1" w:styleId="200">
    <w:name w:val="3级标题"/>
    <w:basedOn w:val="1"/>
    <w:qFormat/>
    <w:uiPriority w:val="0"/>
    <w:pPr>
      <w:spacing w:before="120" w:line="460" w:lineRule="exact"/>
      <w:outlineLvl w:val="2"/>
    </w:pPr>
    <w:rPr>
      <w:b/>
      <w:color w:val="000000"/>
      <w:sz w:val="24"/>
      <w:szCs w:val="24"/>
    </w:rPr>
  </w:style>
  <w:style w:type="paragraph" w:customStyle="1" w:styleId="201">
    <w:name w:val="2-1"/>
    <w:qFormat/>
    <w:uiPriority w:val="0"/>
    <w:pPr>
      <w:tabs>
        <w:tab w:val="left" w:pos="0"/>
      </w:tabs>
      <w:jc w:val="center"/>
    </w:pPr>
    <w:rPr>
      <w:rFonts w:ascii="Times New Roman" w:hAnsi="Times New Roman" w:eastAsia="宋体" w:cs="Times New Roman"/>
      <w:b/>
      <w:kern w:val="2"/>
      <w:sz w:val="21"/>
      <w:szCs w:val="21"/>
      <w:lang w:val="en-US" w:eastAsia="zh-CN" w:bidi="ar-SA"/>
    </w:rPr>
  </w:style>
  <w:style w:type="paragraph" w:customStyle="1" w:styleId="202">
    <w:name w:val="四级条标题"/>
    <w:basedOn w:val="203"/>
    <w:next w:val="1"/>
    <w:qFormat/>
    <w:uiPriority w:val="0"/>
    <w:pPr>
      <w:tabs>
        <w:tab w:val="left" w:pos="2100"/>
        <w:tab w:val="left" w:pos="2520"/>
      </w:tabs>
      <w:ind w:left="2520"/>
      <w:outlineLvl w:val="5"/>
    </w:pPr>
  </w:style>
  <w:style w:type="paragraph" w:customStyle="1" w:styleId="203">
    <w:name w:val="三级条标题"/>
    <w:basedOn w:val="184"/>
    <w:next w:val="1"/>
    <w:qFormat/>
    <w:uiPriority w:val="0"/>
    <w:pPr>
      <w:tabs>
        <w:tab w:val="left" w:pos="2100"/>
        <w:tab w:val="clear" w:pos="1680"/>
      </w:tabs>
      <w:ind w:left="2100"/>
      <w:outlineLvl w:val="4"/>
    </w:pPr>
  </w:style>
  <w:style w:type="paragraph" w:customStyle="1" w:styleId="204">
    <w:name w:val="1-1"/>
    <w:qFormat/>
    <w:uiPriority w:val="0"/>
    <w:pPr>
      <w:tabs>
        <w:tab w:val="left" w:pos="2552"/>
      </w:tabs>
      <w:snapToGrid w:val="0"/>
      <w:ind w:left="2552" w:firstLine="200" w:firstLineChars="200"/>
      <w:jc w:val="center"/>
    </w:pPr>
    <w:rPr>
      <w:rFonts w:ascii="Times New Roman" w:hAnsi="Times New Roman" w:eastAsia="宋体" w:cs="Times New Roman"/>
      <w:b/>
      <w:kern w:val="2"/>
      <w:sz w:val="21"/>
      <w:lang w:val="en-US" w:eastAsia="zh-CN" w:bidi="ar-SA"/>
    </w:rPr>
  </w:style>
  <w:style w:type="paragraph" w:customStyle="1" w:styleId="205">
    <w:name w:val="前言、引言标题"/>
    <w:next w:val="1"/>
    <w:qFormat/>
    <w:uiPriority w:val="0"/>
    <w:p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206">
    <w:name w:val="五级条标题"/>
    <w:basedOn w:val="202"/>
    <w:next w:val="1"/>
    <w:qFormat/>
    <w:uiPriority w:val="0"/>
    <w:pPr>
      <w:tabs>
        <w:tab w:val="left" w:pos="2940"/>
        <w:tab w:val="clear" w:pos="2520"/>
      </w:tabs>
      <w:ind w:left="2940"/>
      <w:outlineLvl w:val="6"/>
    </w:pPr>
  </w:style>
  <w:style w:type="paragraph" w:customStyle="1" w:styleId="207">
    <w:name w:val="标题01"/>
    <w:basedOn w:val="1"/>
    <w:qFormat/>
    <w:uiPriority w:val="0"/>
    <w:pPr>
      <w:spacing w:after="120" w:line="460" w:lineRule="atLeast"/>
      <w:outlineLvl w:val="0"/>
    </w:pPr>
    <w:rPr>
      <w:b/>
      <w:bCs/>
      <w:sz w:val="30"/>
      <w:szCs w:val="30"/>
    </w:rPr>
  </w:style>
  <w:style w:type="paragraph" w:customStyle="1" w:styleId="208">
    <w:name w:val="表"/>
    <w:basedOn w:val="1"/>
    <w:qFormat/>
    <w:uiPriority w:val="0"/>
    <w:pPr>
      <w:snapToGrid w:val="0"/>
      <w:jc w:val="center"/>
    </w:pPr>
    <w:rPr>
      <w:spacing w:val="2"/>
    </w:rPr>
  </w:style>
  <w:style w:type="paragraph" w:customStyle="1" w:styleId="209">
    <w:name w:val="Char Char Char Char Char Char Char"/>
    <w:basedOn w:val="1"/>
    <w:qFormat/>
    <w:uiPriority w:val="0"/>
    <w:rPr>
      <w:sz w:val="24"/>
      <w:szCs w:val="24"/>
    </w:rPr>
  </w:style>
  <w:style w:type="paragraph" w:customStyle="1" w:styleId="210">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kern w:val="0"/>
      <w:sz w:val="24"/>
      <w:szCs w:val="24"/>
    </w:rPr>
  </w:style>
  <w:style w:type="paragraph" w:customStyle="1" w:styleId="211">
    <w:name w:val="插图"/>
    <w:basedOn w:val="1"/>
    <w:qFormat/>
    <w:uiPriority w:val="0"/>
    <w:pPr>
      <w:jc w:val="center"/>
    </w:pPr>
    <w:rPr>
      <w:rFonts w:eastAsia="黑体"/>
      <w:szCs w:val="24"/>
      <w:lang w:val="en-US"/>
    </w:rPr>
  </w:style>
  <w:style w:type="paragraph" w:customStyle="1" w:styleId="212">
    <w:name w:val="Char Char3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13">
    <w:name w:val="Char Char1 Char Char Char Char Char Char Char Char Char Char Char Char Char Char Char Char Char Char Char Char1 Char"/>
    <w:basedOn w:val="1"/>
    <w:qFormat/>
    <w:uiPriority w:val="0"/>
    <w:pPr>
      <w:spacing w:line="360" w:lineRule="auto"/>
      <w:ind w:firstLine="200" w:firstLineChars="200"/>
    </w:pPr>
  </w:style>
  <w:style w:type="paragraph" w:customStyle="1" w:styleId="214">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szCs w:val="24"/>
      <w:lang w:val="en-US"/>
    </w:rPr>
  </w:style>
  <w:style w:type="paragraph" w:customStyle="1" w:styleId="215">
    <w:name w:val="正文+宋体"/>
    <w:basedOn w:val="1"/>
    <w:qFormat/>
    <w:uiPriority w:val="0"/>
    <w:rPr>
      <w:szCs w:val="24"/>
      <w:lang w:val="en-US"/>
    </w:rPr>
  </w:style>
  <w:style w:type="paragraph" w:customStyle="1" w:styleId="216">
    <w:name w:val="样式 表1-1 + (符号) 宋体 段前: 6 磅1"/>
    <w:basedOn w:val="132"/>
    <w:qFormat/>
    <w:uiPriority w:val="0"/>
    <w:pPr>
      <w:numPr>
        <w:ilvl w:val="0"/>
        <w:numId w:val="10"/>
      </w:numPr>
      <w:spacing w:before="120"/>
    </w:pPr>
    <w:rPr>
      <w:rFonts w:hAnsi="宋体" w:cs="宋体"/>
      <w:bCs/>
      <w:kern w:val="0"/>
      <w:szCs w:val="20"/>
    </w:rPr>
  </w:style>
  <w:style w:type="paragraph" w:customStyle="1" w:styleId="217">
    <w:name w:val="Char Char Char Char Char Char Char2"/>
    <w:basedOn w:val="1"/>
    <w:qFormat/>
    <w:uiPriority w:val="0"/>
    <w:rPr>
      <w:szCs w:val="21"/>
      <w:lang w:val="en-US"/>
    </w:rPr>
  </w:style>
  <w:style w:type="paragraph" w:customStyle="1" w:styleId="218">
    <w:name w:val="表-二级标题"/>
    <w:basedOn w:val="5"/>
    <w:qFormat/>
    <w:uiPriority w:val="0"/>
    <w:pPr>
      <w:numPr>
        <w:ilvl w:val="0"/>
        <w:numId w:val="11"/>
      </w:numPr>
      <w:tabs>
        <w:tab w:val="left" w:pos="791"/>
      </w:tabs>
      <w:spacing w:before="0" w:after="0" w:line="360" w:lineRule="auto"/>
      <w:jc w:val="left"/>
    </w:pPr>
    <w:rPr>
      <w:rFonts w:eastAsia="楷体_GB2312"/>
      <w:kern w:val="0"/>
      <w:sz w:val="24"/>
    </w:rPr>
  </w:style>
  <w:style w:type="paragraph" w:customStyle="1" w:styleId="219">
    <w:name w:val="表格内部的标题"/>
    <w:basedOn w:val="1"/>
    <w:qFormat/>
    <w:uiPriority w:val="0"/>
    <w:pPr>
      <w:keepNext/>
      <w:keepLines/>
      <w:adjustRightInd w:val="0"/>
      <w:snapToGrid w:val="0"/>
      <w:spacing w:line="240" w:lineRule="exact"/>
      <w:jc w:val="center"/>
    </w:pPr>
    <w:rPr>
      <w:rFonts w:ascii="黑体" w:eastAsia="黑体"/>
      <w:sz w:val="20"/>
      <w:szCs w:val="24"/>
    </w:rPr>
  </w:style>
  <w:style w:type="paragraph" w:customStyle="1" w:styleId="220">
    <w:name w:val="Char1"/>
    <w:basedOn w:val="1"/>
    <w:qFormat/>
    <w:uiPriority w:val="0"/>
    <w:pPr>
      <w:tabs>
        <w:tab w:val="left" w:pos="1174"/>
      </w:tabs>
      <w:ind w:left="1174" w:hanging="720"/>
    </w:pPr>
    <w:rPr>
      <w:szCs w:val="24"/>
    </w:rPr>
  </w:style>
  <w:style w:type="paragraph" w:customStyle="1" w:styleId="221">
    <w:name w:val="_Style 13"/>
    <w:basedOn w:val="1"/>
    <w:next w:val="28"/>
    <w:qFormat/>
    <w:uiPriority w:val="0"/>
    <w:pPr>
      <w:spacing w:line="360" w:lineRule="auto"/>
    </w:pPr>
    <w:rPr>
      <w:rFonts w:ascii="仿宋_GB2312" w:eastAsia="仿宋_GB2312"/>
      <w:bCs/>
      <w:sz w:val="30"/>
      <w:lang w:val="en-US"/>
    </w:rPr>
  </w:style>
  <w:style w:type="paragraph" w:customStyle="1" w:styleId="222">
    <w:name w:val="样式 宋体 小四 首行缩进:  2 字符"/>
    <w:basedOn w:val="1"/>
    <w:qFormat/>
    <w:uiPriority w:val="0"/>
    <w:pPr>
      <w:spacing w:line="360" w:lineRule="exact"/>
      <w:ind w:firstLine="480" w:firstLineChars="200"/>
    </w:pPr>
    <w:rPr>
      <w:rFonts w:ascii="宋体" w:hAnsi="宋体"/>
      <w:sz w:val="24"/>
      <w:lang w:val="en-US"/>
    </w:rPr>
  </w:style>
  <w:style w:type="paragraph" w:customStyle="1" w:styleId="223">
    <w:name w:val="Char Char Char Char Char Char 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2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5">
    <w:name w:val="注释"/>
    <w:basedOn w:val="1"/>
    <w:qFormat/>
    <w:uiPriority w:val="0"/>
    <w:pPr>
      <w:spacing w:line="360" w:lineRule="exact"/>
    </w:pPr>
    <w:rPr>
      <w:szCs w:val="24"/>
    </w:rPr>
  </w:style>
  <w:style w:type="paragraph" w:customStyle="1" w:styleId="226">
    <w:name w:val="封面3"/>
    <w:qFormat/>
    <w:uiPriority w:val="0"/>
    <w:rPr>
      <w:rFonts w:ascii="Times New Roman" w:hAnsi="Times New Roman" w:eastAsia="宋体" w:cs="Times New Roman"/>
      <w:b/>
      <w:sz w:val="30"/>
      <w:u w:val="single"/>
      <w:lang w:val="en-US" w:eastAsia="zh-CN" w:bidi="ar-SA"/>
    </w:rPr>
  </w:style>
  <w:style w:type="paragraph" w:customStyle="1" w:styleId="227">
    <w:name w:val="a4"/>
    <w:basedOn w:val="1"/>
    <w:qFormat/>
    <w:uiPriority w:val="0"/>
    <w:pPr>
      <w:widowControl/>
      <w:spacing w:before="100" w:beforeAutospacing="1" w:after="100" w:afterAutospacing="1"/>
      <w:jc w:val="left"/>
    </w:pPr>
    <w:rPr>
      <w:rFonts w:hAnsi="宋体"/>
      <w:kern w:val="0"/>
      <w:sz w:val="24"/>
      <w:szCs w:val="24"/>
    </w:rPr>
  </w:style>
  <w:style w:type="paragraph" w:customStyle="1" w:styleId="228">
    <w:name w:val="正文 首行缩进:  2 字符"/>
    <w:basedOn w:val="1"/>
    <w:qFormat/>
    <w:uiPriority w:val="0"/>
    <w:pPr>
      <w:spacing w:line="360" w:lineRule="auto"/>
      <w:ind w:firstLine="480" w:firstLineChars="200"/>
      <w:jc w:val="left"/>
    </w:pPr>
    <w:rPr>
      <w:sz w:val="24"/>
      <w:szCs w:val="24"/>
      <w:lang w:val="en-US"/>
    </w:rPr>
  </w:style>
  <w:style w:type="paragraph" w:customStyle="1" w:styleId="229">
    <w:name w:val="样式 表格正文 + 黑色 段后: 0.1 行 行距: 最小值 12 磅"/>
    <w:basedOn w:val="1"/>
    <w:qFormat/>
    <w:uiPriority w:val="0"/>
    <w:pPr>
      <w:spacing w:line="360" w:lineRule="atLeast"/>
      <w:jc w:val="center"/>
    </w:pPr>
    <w:rPr>
      <w:rFonts w:hint="eastAsia"/>
      <w:color w:val="000000"/>
    </w:rPr>
  </w:style>
  <w:style w:type="paragraph" w:customStyle="1" w:styleId="230">
    <w:name w:val="表格标题2"/>
    <w:qFormat/>
    <w:uiPriority w:val="0"/>
    <w:pPr>
      <w:jc w:val="center"/>
    </w:pPr>
    <w:rPr>
      <w:rFonts w:ascii="黑体" w:hAnsi="Times New Roman" w:eastAsia="黑体" w:cs="Times New Roman"/>
      <w:lang w:val="en-US" w:eastAsia="zh-CN" w:bidi="ar-SA"/>
    </w:rPr>
  </w:style>
  <w:style w:type="paragraph" w:customStyle="1" w:styleId="231">
    <w:name w:val="封面"/>
    <w:qFormat/>
    <w:uiPriority w:val="0"/>
    <w:pPr>
      <w:ind w:firstLine="1440"/>
    </w:pPr>
    <w:rPr>
      <w:rFonts w:ascii="华文细黑" w:hAnsi="Times New Roman" w:eastAsia="华文细黑" w:cs="Times New Roman"/>
      <w:b/>
      <w:sz w:val="72"/>
      <w:lang w:val="en-US" w:eastAsia="zh-CN" w:bidi="ar-SA"/>
    </w:rPr>
  </w:style>
  <w:style w:type="paragraph" w:customStyle="1" w:styleId="232">
    <w:name w:val="封面2"/>
    <w:qFormat/>
    <w:uiPriority w:val="0"/>
    <w:pPr>
      <w:ind w:firstLine="600" w:firstLineChars="300"/>
    </w:pPr>
    <w:rPr>
      <w:rFonts w:ascii="宋体" w:hAnsi="Times New Roman" w:eastAsia="宋体" w:cs="Times New Roman"/>
      <w:b/>
      <w:sz w:val="30"/>
      <w:lang w:val="en-US" w:eastAsia="zh-CN" w:bidi="ar-SA"/>
    </w:rPr>
  </w:style>
  <w:style w:type="paragraph" w:customStyle="1" w:styleId="233">
    <w:name w:val="Char Char Char Char Char Char Char1"/>
    <w:basedOn w:val="1"/>
    <w:qFormat/>
    <w:uiPriority w:val="0"/>
    <w:rPr>
      <w:szCs w:val="24"/>
    </w:rPr>
  </w:style>
  <w:style w:type="paragraph" w:customStyle="1" w:styleId="234">
    <w:name w:val="正文1"/>
    <w:basedOn w:val="1"/>
    <w:qFormat/>
    <w:uiPriority w:val="0"/>
    <w:pPr>
      <w:spacing w:before="60" w:line="460" w:lineRule="exact"/>
      <w:ind w:firstLine="200" w:firstLineChars="200"/>
    </w:pPr>
    <w:rPr>
      <w:sz w:val="24"/>
    </w:rPr>
  </w:style>
  <w:style w:type="paragraph" w:customStyle="1" w:styleId="235">
    <w:name w:val="标题111 Char Char Char Char"/>
    <w:basedOn w:val="1"/>
    <w:qFormat/>
    <w:uiPriority w:val="0"/>
    <w:pPr>
      <w:spacing w:line="360" w:lineRule="auto"/>
      <w:ind w:firstLine="200" w:firstLineChars="200"/>
    </w:pPr>
    <w:rPr>
      <w:rFonts w:ascii="宋体" w:hAnsi="宋体" w:cs="宋体"/>
      <w:sz w:val="24"/>
      <w:szCs w:val="24"/>
      <w:lang w:val="en-US"/>
    </w:rPr>
  </w:style>
  <w:style w:type="paragraph" w:customStyle="1" w:styleId="236">
    <w:name w:val="正文-欣欣"/>
    <w:basedOn w:val="1"/>
    <w:next w:val="1"/>
    <w:qFormat/>
    <w:uiPriority w:val="0"/>
    <w:pPr>
      <w:spacing w:line="360" w:lineRule="auto"/>
      <w:ind w:firstLine="480" w:firstLineChars="200"/>
      <w:jc w:val="left"/>
    </w:pPr>
    <w:rPr>
      <w:bCs/>
      <w:sz w:val="24"/>
      <w:szCs w:val="24"/>
      <w:lang w:val="en-US"/>
    </w:rPr>
  </w:style>
  <w:style w:type="paragraph" w:customStyle="1" w:styleId="237">
    <w:name w:val="默认段落字体 Para Char Char Char Char"/>
    <w:basedOn w:val="1"/>
    <w:qFormat/>
    <w:uiPriority w:val="0"/>
    <w:rPr>
      <w:sz w:val="24"/>
      <w:szCs w:val="24"/>
    </w:rPr>
  </w:style>
  <w:style w:type="paragraph" w:customStyle="1" w:styleId="238">
    <w:name w:val="分页"/>
    <w:basedOn w:val="1"/>
    <w:next w:val="1"/>
    <w:qFormat/>
    <w:uiPriority w:val="0"/>
    <w:pPr>
      <w:spacing w:line="100" w:lineRule="exact"/>
    </w:pPr>
    <w:rPr>
      <w:sz w:val="13"/>
      <w:szCs w:val="24"/>
    </w:rPr>
  </w:style>
  <w:style w:type="paragraph" w:customStyle="1" w:styleId="239">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4"/>
      <w:szCs w:val="24"/>
      <w:lang w:val="en-US"/>
    </w:rPr>
  </w:style>
  <w:style w:type="paragraph" w:customStyle="1" w:styleId="240">
    <w:name w:val="Char Char1 Char Char Char Char Char 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241">
    <w:name w:val="Char Char1 Char"/>
    <w:basedOn w:val="1"/>
    <w:qFormat/>
    <w:uiPriority w:val="0"/>
    <w:pPr>
      <w:widowControl/>
      <w:spacing w:after="160" w:line="240" w:lineRule="exact"/>
      <w:jc w:val="left"/>
    </w:pPr>
    <w:rPr>
      <w:szCs w:val="24"/>
    </w:rPr>
  </w:style>
  <w:style w:type="paragraph" w:customStyle="1" w:styleId="242">
    <w:name w:val="Char1 Char Char Char"/>
    <w:basedOn w:val="1"/>
    <w:qFormat/>
    <w:uiPriority w:val="0"/>
    <w:rPr>
      <w:rFonts w:ascii="Tahoma" w:hAnsi="Tahoma"/>
      <w:spacing w:val="-24"/>
      <w:sz w:val="24"/>
      <w:szCs w:val="21"/>
      <w:lang w:val="en-US"/>
    </w:rPr>
  </w:style>
  <w:style w:type="paragraph" w:customStyle="1" w:styleId="243">
    <w:name w:val="样式 标题 2 + 非加粗"/>
    <w:basedOn w:val="5"/>
    <w:qFormat/>
    <w:uiPriority w:val="0"/>
    <w:pPr>
      <w:keepLines w:val="0"/>
      <w:spacing w:before="0" w:after="0" w:line="240" w:lineRule="auto"/>
      <w:jc w:val="left"/>
    </w:pPr>
    <w:rPr>
      <w:rFonts w:ascii="Times New Roman" w:hAnsi="Times New Roman" w:eastAsia="宋体"/>
      <w:bCs w:val="0"/>
      <w:spacing w:val="-24"/>
      <w:sz w:val="28"/>
      <w:szCs w:val="20"/>
    </w:rPr>
  </w:style>
  <w:style w:type="paragraph" w:customStyle="1" w:styleId="244">
    <w:name w:val="Char Char Char Char Char Char Char Char Char Char Char Char Char Char Char Char"/>
    <w:basedOn w:val="1"/>
    <w:qFormat/>
    <w:uiPriority w:val="0"/>
    <w:rPr>
      <w:sz w:val="24"/>
      <w:szCs w:val="24"/>
    </w:rPr>
  </w:style>
  <w:style w:type="paragraph" w:customStyle="1" w:styleId="245">
    <w:name w:val="样式 表1-1 + (符号) 宋体 段前: 6 磅"/>
    <w:basedOn w:val="132"/>
    <w:qFormat/>
    <w:uiPriority w:val="0"/>
    <w:pPr>
      <w:numPr>
        <w:ilvl w:val="0"/>
        <w:numId w:val="12"/>
      </w:numPr>
      <w:spacing w:before="120"/>
    </w:pPr>
    <w:rPr>
      <w:rFonts w:hAnsi="宋体" w:cs="宋体"/>
      <w:bCs/>
      <w:szCs w:val="20"/>
    </w:rPr>
  </w:style>
  <w:style w:type="paragraph" w:customStyle="1" w:styleId="246">
    <w:name w:val="表格文字"/>
    <w:basedOn w:val="1"/>
    <w:qFormat/>
    <w:uiPriority w:val="0"/>
    <w:pPr>
      <w:tabs>
        <w:tab w:val="left" w:pos="-2848"/>
      </w:tabs>
      <w:spacing w:before="40" w:after="40" w:line="240" w:lineRule="atLeast"/>
      <w:jc w:val="center"/>
    </w:pPr>
    <w:rPr>
      <w:position w:val="-10"/>
    </w:rPr>
  </w:style>
  <w:style w:type="paragraph" w:customStyle="1" w:styleId="247">
    <w:name w:val="xl6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szCs w:val="24"/>
      <w:lang w:val="en-US"/>
    </w:rPr>
  </w:style>
  <w:style w:type="paragraph" w:customStyle="1" w:styleId="248">
    <w:name w:val="标题3 Char Char Char Char"/>
    <w:basedOn w:val="1"/>
    <w:qFormat/>
    <w:uiPriority w:val="0"/>
    <w:pPr>
      <w:spacing w:afterLines="50" w:line="560" w:lineRule="exact"/>
    </w:pPr>
    <w:rPr>
      <w:lang w:val="en-US"/>
    </w:rPr>
  </w:style>
  <w:style w:type="character" w:customStyle="1" w:styleId="249">
    <w:name w:val="正文文本 Char"/>
    <w:qFormat/>
    <w:uiPriority w:val="0"/>
    <w:rPr>
      <w:rFonts w:eastAsia="宋体"/>
      <w:kern w:val="2"/>
      <w:sz w:val="28"/>
      <w:lang w:val="en-US" w:eastAsia="zh-CN" w:bidi="ar-SA"/>
    </w:rPr>
  </w:style>
  <w:style w:type="paragraph" w:customStyle="1" w:styleId="250">
    <w:name w:val="Char4"/>
    <w:basedOn w:val="1"/>
    <w:qFormat/>
    <w:uiPriority w:val="0"/>
    <w:rPr>
      <w:sz w:val="24"/>
      <w:szCs w:val="24"/>
      <w:lang w:val="en-US"/>
    </w:rPr>
  </w:style>
  <w:style w:type="paragraph" w:customStyle="1" w:styleId="251">
    <w:name w:val="Char1 Char Char Char2"/>
    <w:basedOn w:val="1"/>
    <w:qFormat/>
    <w:uiPriority w:val="0"/>
    <w:rPr>
      <w:lang w:val="en-US"/>
    </w:rPr>
  </w:style>
  <w:style w:type="paragraph" w:customStyle="1" w:styleId="252">
    <w:name w:val="Char3"/>
    <w:basedOn w:val="1"/>
    <w:qFormat/>
    <w:uiPriority w:val="0"/>
    <w:rPr>
      <w:sz w:val="24"/>
      <w:szCs w:val="24"/>
      <w:lang w:val="en-US"/>
    </w:rPr>
  </w:style>
  <w:style w:type="paragraph" w:customStyle="1" w:styleId="253">
    <w:name w:val="Char1 Char Char Char1"/>
    <w:basedOn w:val="1"/>
    <w:qFormat/>
    <w:uiPriority w:val="0"/>
    <w:rPr>
      <w:lang w:val="en-US"/>
    </w:rPr>
  </w:style>
  <w:style w:type="paragraph" w:styleId="254">
    <w:name w:val="List Paragraph"/>
    <w:basedOn w:val="1"/>
    <w:qFormat/>
    <w:uiPriority w:val="99"/>
    <w:pPr>
      <w:ind w:firstLine="420" w:firstLineChars="200"/>
    </w:pPr>
  </w:style>
  <w:style w:type="paragraph" w:customStyle="1" w:styleId="255">
    <w:name w:val="Char1 Char Char Char3"/>
    <w:basedOn w:val="1"/>
    <w:qFormat/>
    <w:uiPriority w:val="0"/>
    <w:rPr>
      <w:lang w:val="en-US"/>
    </w:rPr>
  </w:style>
  <w:style w:type="paragraph" w:customStyle="1" w:styleId="256">
    <w:name w:val="zhengwen1"/>
    <w:basedOn w:val="1"/>
    <w:qFormat/>
    <w:uiPriority w:val="0"/>
    <w:pPr>
      <w:spacing w:line="500" w:lineRule="exact"/>
    </w:pPr>
    <w:rPr>
      <w:rFonts w:ascii="微软雅黑" w:hAnsi="微软雅黑" w:eastAsia="微软雅黑"/>
      <w:kern w:val="0"/>
      <w:lang w:val="en-US"/>
    </w:rPr>
  </w:style>
  <w:style w:type="paragraph" w:customStyle="1" w:styleId="257">
    <w:name w:val="修订1"/>
    <w:hidden/>
    <w:unhideWhenUsed/>
    <w:qFormat/>
    <w:uiPriority w:val="99"/>
    <w:rPr>
      <w:rFonts w:ascii="Times New Roman" w:hAnsi="Times New Roman" w:eastAsia="宋体" w:cs="Times New Roman"/>
      <w:kern w:val="2"/>
      <w:sz w:val="21"/>
      <w:lang w:val="fi-FI" w:eastAsia="zh-CN" w:bidi="ar-SA"/>
    </w:rPr>
  </w:style>
  <w:style w:type="paragraph" w:customStyle="1" w:styleId="258">
    <w:name w:val="无间隔1"/>
    <w:qFormat/>
    <w:uiPriority w:val="0"/>
    <w:pPr>
      <w:widowControl w:val="0"/>
      <w:jc w:val="center"/>
    </w:pPr>
    <w:rPr>
      <w:rFonts w:ascii="宋体" w:hAnsi="Courier New" w:eastAsia="仿宋_GB2312" w:cs="Times New Roman"/>
      <w:kern w:val="2"/>
      <w:sz w:val="24"/>
      <w:lang w:val="en-US" w:eastAsia="zh-CN" w:bidi="ar-SA"/>
    </w:rPr>
  </w:style>
  <w:style w:type="paragraph" w:customStyle="1" w:styleId="259">
    <w:name w:val="表题"/>
    <w:basedOn w:val="56"/>
    <w:qFormat/>
    <w:uiPriority w:val="0"/>
    <w:pPr>
      <w:spacing w:beforeLines="50" w:line="480" w:lineRule="exact"/>
      <w:jc w:val="center"/>
    </w:pPr>
    <w:rPr>
      <w:rFonts w:eastAsia="黑体"/>
      <w:sz w:val="28"/>
      <w:szCs w:val="24"/>
    </w:rPr>
  </w:style>
  <w:style w:type="paragraph" w:customStyle="1" w:styleId="260">
    <w:name w:val="Revision"/>
    <w:hidden/>
    <w:unhideWhenUsed/>
    <w:qFormat/>
    <w:uiPriority w:val="99"/>
    <w:rPr>
      <w:rFonts w:ascii="Times New Roman" w:hAnsi="Times New Roman" w:eastAsia="宋体" w:cs="Times New Roman"/>
      <w:kern w:val="2"/>
      <w:sz w:val="21"/>
      <w:lang w:val="fi-FI" w:eastAsia="zh-CN" w:bidi="ar-SA"/>
    </w:rPr>
  </w:style>
  <w:style w:type="table" w:customStyle="1" w:styleId="261">
    <w:name w:val="标准表格"/>
    <w:basedOn w:val="75"/>
    <w:qFormat/>
    <w:uiPriority w:val="99"/>
    <w:pPr>
      <w:spacing w:before="74"/>
      <w:jc w:val="center"/>
    </w:pPr>
    <w:rPr>
      <w:sz w:val="18"/>
    </w:rPr>
    <w:tblPr>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jc w:val="center"/>
    </w:trPr>
    <w:tcPr>
      <w:shd w:val="clear" w:color="auto" w:fill="FFFFFF"/>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rPr>
        <w:tblHeader/>
      </w:trPr>
    </w:tblStylePr>
    <w:tblStylePr w:type="firstCol">
      <w:pPr>
        <w:jc w:val="center"/>
      </w:pPr>
    </w:tblStylePr>
  </w:style>
  <w:style w:type="paragraph" w:customStyle="1" w:styleId="262">
    <w:name w:val="标题2"/>
    <w:basedOn w:val="1"/>
    <w:next w:val="1"/>
    <w:qFormat/>
    <w:uiPriority w:val="0"/>
    <w:pPr>
      <w:autoSpaceDE w:val="0"/>
      <w:autoSpaceDN w:val="0"/>
      <w:snapToGrid w:val="0"/>
      <w:spacing w:line="590" w:lineRule="atLeast"/>
      <w:jc w:val="center"/>
    </w:pPr>
    <w:rPr>
      <w:rFonts w:eastAsia="方正楷体_GBK"/>
      <w:snapToGrid w:val="0"/>
      <w:sz w:val="32"/>
      <w:szCs w:val="20"/>
    </w:rPr>
  </w:style>
  <w:style w:type="character" w:customStyle="1" w:styleId="263">
    <w:name w:val="font21"/>
    <w:basedOn w:val="77"/>
    <w:qFormat/>
    <w:uiPriority w:val="0"/>
    <w:rPr>
      <w:rFonts w:hint="default" w:ascii="Times New Roman" w:hAnsi="Times New Roman" w:cs="Times New Roman"/>
      <w:color w:val="FF0000"/>
      <w:sz w:val="22"/>
      <w:szCs w:val="22"/>
      <w:u w:val="none"/>
    </w:rPr>
  </w:style>
  <w:style w:type="paragraph" w:customStyle="1" w:styleId="264">
    <w:name w:val="样式1"/>
    <w:basedOn w:val="1"/>
    <w:qFormat/>
    <w:uiPriority w:val="99"/>
    <w:pPr>
      <w:spacing w:line="360" w:lineRule="auto"/>
    </w:pPr>
    <w:rPr>
      <w:color w:val="000000"/>
      <w:sz w:val="24"/>
      <w:szCs w:val="24"/>
      <w:lang w:val="en-US"/>
    </w:rPr>
  </w:style>
  <w:style w:type="paragraph" w:customStyle="1" w:styleId="265">
    <w:name w:val="表内"/>
    <w:basedOn w:val="1"/>
    <w:qFormat/>
    <w:uiPriority w:val="0"/>
    <w:pPr>
      <w:jc w:val="center"/>
    </w:pPr>
    <w:rPr>
      <w:rFonts w:eastAsia="仿宋_GB2312"/>
      <w:kern w:val="0"/>
      <w:szCs w:val="21"/>
      <w:lang w:val="en-US"/>
    </w:rPr>
  </w:style>
  <w:style w:type="paragraph" w:customStyle="1" w:styleId="266">
    <w:name w:val="无间隔2"/>
    <w:qFormat/>
    <w:uiPriority w:val="0"/>
    <w:pPr>
      <w:widowControl w:val="0"/>
      <w:jc w:val="center"/>
    </w:pPr>
    <w:rPr>
      <w:rFonts w:ascii="宋体" w:hAnsi="Courier New"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jpeg"/><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oleObject" Target="embeddings/oleObject2.bin"/><Relationship Id="rId12" Type="http://schemas.openxmlformats.org/officeDocument/2006/relationships/image" Target="media/image2.wmf"/><Relationship Id="rId11" Type="http://schemas.openxmlformats.org/officeDocument/2006/relationships/oleObject" Target="embeddings/oleObject1.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20D1DB-5A9C-422F-93A7-72707133D6F7}">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3609</Words>
  <Characters>20573</Characters>
  <Lines>171</Lines>
  <Paragraphs>48</Paragraphs>
  <TotalTime>24</TotalTime>
  <ScaleCrop>false</ScaleCrop>
  <LinksUpToDate>false</LinksUpToDate>
  <CharactersWithSpaces>24134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2019-01-31T07:45:00Z</dcterms:created>
  <dc:creator>微软中国</dc:creator>
  <cp:lastModifiedBy>蒋玉洁</cp:lastModifiedBy>
  <cp:lastPrinted>2020-04-07T01:06:03Z</cp:lastPrinted>
  <dcterms:modified xsi:type="dcterms:W3CDTF">2020-04-07T01:26:34Z</dcterms:modified>
  <dc:title>建设项目环境影响报告表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