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w w:val="80"/>
          <w:szCs w:val="21"/>
        </w:rPr>
      </w:pPr>
    </w:p>
    <w:p>
      <w:pPr>
        <w:rPr>
          <w:w w:val="80"/>
          <w:szCs w:val="21"/>
        </w:rPr>
      </w:pPr>
      <w:r>
        <w:rPr>
          <w:rFonts w:hint="eastAsia"/>
          <w:w w:val="80"/>
          <w:szCs w:val="21"/>
        </w:rPr>
        <w:t>.</w:t>
      </w:r>
    </w:p>
    <w:p>
      <w:pPr>
        <w:tabs>
          <w:tab w:val="left" w:pos="1260"/>
          <w:tab w:val="left" w:pos="7200"/>
        </w:tabs>
        <w:jc w:val="center"/>
        <w:rPr>
          <w:b/>
          <w:w w:val="80"/>
          <w:sz w:val="68"/>
          <w:szCs w:val="68"/>
        </w:rPr>
      </w:pPr>
      <w:r>
        <w:rPr>
          <w:rFonts w:hAnsi="宋体"/>
          <w:b/>
          <w:w w:val="80"/>
          <w:sz w:val="68"/>
          <w:szCs w:val="68"/>
        </w:rPr>
        <w:t>建设项目环境影响报告表</w:t>
      </w:r>
    </w:p>
    <w:p>
      <w:pPr>
        <w:spacing w:line="700" w:lineRule="exact"/>
        <w:jc w:val="center"/>
        <w:rPr>
          <w:sz w:val="36"/>
          <w:szCs w:val="28"/>
        </w:rPr>
      </w:pPr>
      <w:r>
        <w:rPr>
          <w:rFonts w:hint="eastAsia"/>
          <w:sz w:val="36"/>
          <w:szCs w:val="28"/>
        </w:rPr>
        <w:t>（工业类）</w:t>
      </w:r>
    </w:p>
    <w:p>
      <w:pPr>
        <w:spacing w:line="700" w:lineRule="exact"/>
        <w:rPr>
          <w:sz w:val="36"/>
          <w:szCs w:val="28"/>
        </w:rPr>
      </w:pPr>
    </w:p>
    <w:p>
      <w:pPr>
        <w:spacing w:line="700" w:lineRule="exact"/>
        <w:rPr>
          <w:sz w:val="36"/>
          <w:szCs w:val="28"/>
        </w:rPr>
      </w:pPr>
    </w:p>
    <w:p>
      <w:pPr>
        <w:spacing w:line="700" w:lineRule="exact"/>
        <w:rPr>
          <w:sz w:val="36"/>
          <w:szCs w:val="28"/>
        </w:rPr>
      </w:pPr>
    </w:p>
    <w:p>
      <w:pPr>
        <w:tabs>
          <w:tab w:val="left" w:pos="360"/>
          <w:tab w:val="center" w:pos="4313"/>
        </w:tabs>
        <w:spacing w:line="700" w:lineRule="exact"/>
        <w:ind w:firstLine="960" w:firstLineChars="300"/>
        <w:jc w:val="left"/>
        <w:rPr>
          <w:rFonts w:hint="eastAsia" w:eastAsia="宋体"/>
          <w:b/>
          <w:sz w:val="32"/>
          <w:szCs w:val="32"/>
          <w:u w:val="none"/>
          <w:lang w:eastAsia="zh-CN"/>
        </w:rPr>
      </w:pPr>
      <w:r>
        <w:rPr>
          <w:sz w:val="32"/>
        </w:rPr>
        <w:pict>
          <v:line id="_x0000_s7561" o:spid="_x0000_s7561" o:spt="20" style="position:absolute;left:0pt;flip:y;margin-left:126.25pt;margin-top:30.85pt;height:0.65pt;width:216.3pt;z-index:251850752;mso-width-relative:page;mso-height-relative:page;" fillcolor="#FFFFFF" filled="t" stroked="t" coordsize="21600,21600">
            <v:path arrowok="t"/>
            <v:fill on="t" color2="#FFFFFF" focussize="0,0"/>
            <v:stroke weight="1.5pt" color="#000000"/>
            <v:imagedata o:title=""/>
            <o:lock v:ext="edit" aspectratio="f"/>
          </v:line>
        </w:pict>
      </w:r>
      <w:r>
        <w:rPr>
          <w:rFonts w:hAnsi="宋体"/>
          <w:b/>
          <w:sz w:val="32"/>
          <w:szCs w:val="32"/>
        </w:rPr>
        <w:t>项目名称：</w:t>
      </w:r>
      <w:r>
        <w:rPr>
          <w:rFonts w:hint="eastAsia" w:hAnsi="宋体"/>
          <w:b/>
          <w:sz w:val="32"/>
          <w:szCs w:val="32"/>
          <w:lang w:val="en-US" w:eastAsia="zh-CN"/>
        </w:rPr>
        <w:t xml:space="preserve">     </w:t>
      </w:r>
      <w:r>
        <w:rPr>
          <w:rFonts w:hint="eastAsia" w:hAnsi="宋体"/>
          <w:b/>
          <w:sz w:val="32"/>
          <w:szCs w:val="32"/>
          <w:u w:val="none"/>
          <w:lang w:val="en-US" w:eastAsia="zh-CN"/>
        </w:rPr>
        <w:t>陶瓷制品的制造</w:t>
      </w:r>
    </w:p>
    <w:p>
      <w:pPr>
        <w:spacing w:line="480" w:lineRule="auto"/>
        <w:ind w:firstLine="373" w:firstLineChars="116"/>
        <w:jc w:val="left"/>
        <w:rPr>
          <w:b/>
          <w:sz w:val="32"/>
          <w:szCs w:val="32"/>
        </w:rPr>
      </w:pPr>
    </w:p>
    <w:p>
      <w:pPr>
        <w:spacing w:line="480" w:lineRule="auto"/>
        <w:ind w:left="210" w:leftChars="100" w:firstLine="51" w:firstLineChars="16"/>
        <w:jc w:val="left"/>
        <w:rPr>
          <w:b/>
          <w:sz w:val="32"/>
          <w:szCs w:val="32"/>
          <w:u w:val="single"/>
        </w:rPr>
      </w:pPr>
      <w:r>
        <w:rPr>
          <w:rFonts w:hAnsi="宋体"/>
          <w:b/>
          <w:sz w:val="32"/>
          <w:szCs w:val="32"/>
        </w:rPr>
        <w:t>建设单</w:t>
      </w:r>
      <w:r>
        <w:rPr>
          <w:rFonts w:hAnsi="宋体"/>
          <w:b/>
          <w:spacing w:val="-58"/>
          <w:sz w:val="32"/>
          <w:szCs w:val="32"/>
        </w:rPr>
        <w:t>位</w:t>
      </w:r>
      <w:r>
        <w:rPr>
          <w:rFonts w:hint="eastAsia" w:hAnsi="宋体"/>
          <w:b/>
          <w:spacing w:val="-40"/>
          <w:sz w:val="32"/>
          <w:szCs w:val="32"/>
        </w:rPr>
        <w:t>（</w:t>
      </w:r>
      <w:r>
        <w:rPr>
          <w:rFonts w:hAnsi="宋体"/>
          <w:b/>
          <w:sz w:val="32"/>
          <w:szCs w:val="32"/>
        </w:rPr>
        <w:t>盖章</w:t>
      </w:r>
      <w:r>
        <w:rPr>
          <w:rFonts w:hint="eastAsia" w:hAnsi="宋体"/>
          <w:b/>
          <w:sz w:val="32"/>
          <w:szCs w:val="32"/>
        </w:rPr>
        <w:t>）</w:t>
      </w:r>
      <w:r>
        <w:rPr>
          <w:rFonts w:hAnsi="宋体"/>
          <w:b/>
          <w:sz w:val="32"/>
          <w:szCs w:val="32"/>
        </w:rPr>
        <w:t>：</w:t>
      </w:r>
      <w:r>
        <w:rPr>
          <w:rFonts w:hint="eastAsia" w:hAnsi="宋体"/>
          <w:b/>
          <w:sz w:val="32"/>
          <w:szCs w:val="32"/>
          <w:lang w:val="en-US" w:eastAsia="zh-CN"/>
        </w:rPr>
        <w:t xml:space="preserve"> </w:t>
      </w:r>
      <w:r>
        <w:rPr>
          <w:rFonts w:hint="eastAsia" w:hAnsi="宋体"/>
          <w:b/>
          <w:sz w:val="32"/>
          <w:szCs w:val="32"/>
          <w:u w:val="single"/>
          <w:lang w:val="en-US" w:eastAsia="zh-CN"/>
        </w:rPr>
        <w:t xml:space="preserve"> </w:t>
      </w:r>
      <w:r>
        <w:rPr>
          <w:rFonts w:hint="eastAsia" w:hAnsi="宋体"/>
          <w:b/>
          <w:sz w:val="32"/>
          <w:szCs w:val="32"/>
          <w:u w:val="single"/>
          <w:lang w:eastAsia="zh-CN"/>
        </w:rPr>
        <w:t>宜兴市宜桥陶瓷有限公司</w:t>
      </w:r>
      <w:r>
        <w:rPr>
          <w:rFonts w:hint="eastAsia" w:hAnsi="宋体"/>
          <w:b/>
          <w:sz w:val="32"/>
          <w:szCs w:val="32"/>
          <w:u w:val="single"/>
          <w:lang w:val="en-US" w:eastAsia="zh-CN"/>
        </w:rPr>
        <w:t xml:space="preserve">        </w:t>
      </w:r>
      <w:r>
        <w:rPr>
          <w:rFonts w:hint="eastAsia" w:hAnsi="宋体"/>
          <w:b/>
          <w:sz w:val="32"/>
          <w:szCs w:val="32"/>
          <w:u w:val="single"/>
        </w:rPr>
        <w:t xml:space="preserve"> </w:t>
      </w:r>
      <w:r>
        <w:rPr>
          <w:rFonts w:hint="eastAsia" w:hAnsi="宋体"/>
          <w:b/>
          <w:sz w:val="32"/>
          <w:szCs w:val="32"/>
          <w:u w:val="single"/>
          <w:lang w:val="en-US" w:eastAsia="zh-CN"/>
        </w:rPr>
        <w:t xml:space="preserve"> </w:t>
      </w:r>
      <w:r>
        <w:rPr>
          <w:rFonts w:hint="eastAsia" w:hAnsi="宋体"/>
          <w:b/>
          <w:sz w:val="32"/>
          <w:szCs w:val="32"/>
          <w:u w:val="single"/>
        </w:rPr>
        <w:t xml:space="preserve">         </w:t>
      </w:r>
      <w:r>
        <w:rPr>
          <w:rFonts w:hint="eastAsia" w:hAnsi="宋体"/>
          <w:b/>
          <w:color w:val="FFFFFF"/>
          <w:sz w:val="32"/>
          <w:szCs w:val="32"/>
          <w:u w:val="single"/>
        </w:rPr>
        <w:t>司</w:t>
      </w:r>
    </w:p>
    <w:p>
      <w:pPr>
        <w:spacing w:line="700" w:lineRule="exact"/>
        <w:rPr>
          <w:sz w:val="36"/>
          <w:szCs w:val="28"/>
        </w:rPr>
      </w:pPr>
    </w:p>
    <w:p>
      <w:pPr>
        <w:spacing w:line="400" w:lineRule="exact"/>
        <w:rPr>
          <w:sz w:val="36"/>
          <w:szCs w:val="28"/>
        </w:rPr>
      </w:pPr>
    </w:p>
    <w:p>
      <w:pPr>
        <w:spacing w:line="400" w:lineRule="exact"/>
        <w:rPr>
          <w:sz w:val="36"/>
          <w:szCs w:val="28"/>
        </w:rPr>
      </w:pPr>
    </w:p>
    <w:p>
      <w:pPr>
        <w:spacing w:line="700" w:lineRule="exact"/>
        <w:rPr>
          <w:sz w:val="36"/>
          <w:szCs w:val="28"/>
        </w:rPr>
      </w:pPr>
    </w:p>
    <w:p>
      <w:pPr>
        <w:spacing w:line="700" w:lineRule="exact"/>
        <w:rPr>
          <w:sz w:val="36"/>
          <w:szCs w:val="28"/>
        </w:rPr>
      </w:pPr>
    </w:p>
    <w:p>
      <w:pPr>
        <w:pStyle w:val="40"/>
        <w:spacing w:line="360" w:lineRule="auto"/>
        <w:jc w:val="center"/>
        <w:rPr>
          <w:rFonts w:ascii="Times New Roman" w:hAnsi="Times New Roman"/>
          <w:bCs/>
          <w:sz w:val="30"/>
          <w:szCs w:val="30"/>
        </w:rPr>
      </w:pPr>
    </w:p>
    <w:p>
      <w:pPr>
        <w:spacing w:line="360" w:lineRule="auto"/>
        <w:jc w:val="both"/>
        <w:rPr>
          <w:rFonts w:hAnsi="宋体"/>
          <w:sz w:val="30"/>
          <w:szCs w:val="30"/>
          <w:lang w:val="en-US"/>
        </w:rPr>
      </w:pPr>
    </w:p>
    <w:p>
      <w:pPr>
        <w:spacing w:line="360" w:lineRule="auto"/>
        <w:jc w:val="center"/>
        <w:rPr>
          <w:rFonts w:hAnsi="宋体"/>
          <w:sz w:val="30"/>
          <w:szCs w:val="30"/>
          <w:lang w:val="en-US"/>
        </w:rPr>
      </w:pPr>
    </w:p>
    <w:p>
      <w:pPr>
        <w:spacing w:line="360" w:lineRule="auto"/>
        <w:jc w:val="center"/>
        <w:rPr>
          <w:rFonts w:hAnsi="宋体"/>
          <w:sz w:val="30"/>
          <w:szCs w:val="30"/>
          <w:lang w:val="en-US"/>
        </w:rPr>
      </w:pPr>
    </w:p>
    <w:p>
      <w:pPr>
        <w:spacing w:line="360" w:lineRule="auto"/>
        <w:jc w:val="center"/>
        <w:rPr>
          <w:rFonts w:hAnsi="宋体"/>
          <w:sz w:val="30"/>
          <w:szCs w:val="30"/>
          <w:lang w:val="en-US"/>
        </w:rPr>
      </w:pPr>
      <w:r>
        <w:rPr>
          <w:rFonts w:hAnsi="宋体"/>
          <w:sz w:val="30"/>
          <w:szCs w:val="30"/>
          <w:lang w:val="en-US"/>
        </w:rPr>
        <w:t>编制日期：</w:t>
      </w:r>
      <w:r>
        <w:rPr>
          <w:sz w:val="30"/>
          <w:szCs w:val="30"/>
          <w:lang w:val="en-US"/>
        </w:rPr>
        <w:t>20</w:t>
      </w:r>
      <w:r>
        <w:rPr>
          <w:rFonts w:hint="eastAsia"/>
          <w:sz w:val="30"/>
          <w:szCs w:val="30"/>
          <w:lang w:val="en-US"/>
        </w:rPr>
        <w:t>20</w:t>
      </w:r>
      <w:r>
        <w:rPr>
          <w:rFonts w:hAnsi="宋体"/>
          <w:sz w:val="30"/>
          <w:szCs w:val="30"/>
          <w:lang w:val="en-US"/>
        </w:rPr>
        <w:t>年</w:t>
      </w:r>
      <w:r>
        <w:rPr>
          <w:rFonts w:hint="eastAsia" w:hAnsi="宋体"/>
          <w:sz w:val="30"/>
          <w:szCs w:val="30"/>
          <w:lang w:val="en-US" w:eastAsia="zh-CN"/>
        </w:rPr>
        <w:t>8</w:t>
      </w:r>
      <w:r>
        <w:rPr>
          <w:rFonts w:hAnsi="宋体"/>
          <w:sz w:val="30"/>
          <w:szCs w:val="30"/>
          <w:lang w:val="en-US"/>
        </w:rPr>
        <w:t>月</w:t>
      </w:r>
    </w:p>
    <w:p>
      <w:pPr>
        <w:spacing w:line="360" w:lineRule="auto"/>
        <w:jc w:val="center"/>
        <w:rPr>
          <w:rFonts w:hAnsi="宋体"/>
          <w:sz w:val="30"/>
          <w:szCs w:val="30"/>
          <w:lang w:val="en-US"/>
        </w:rPr>
        <w:sectPr>
          <w:pgSz w:w="11907" w:h="16840"/>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sz w:val="30"/>
          <w:szCs w:val="30"/>
          <w:lang w:val="en-US"/>
        </w:rPr>
        <w:t>江苏省生态环境厅制</w:t>
      </w:r>
    </w:p>
    <w:p>
      <w:pPr>
        <w:spacing w:afterLines="100" w:line="360" w:lineRule="auto"/>
        <w:jc w:val="center"/>
        <w:rPr>
          <w:b/>
          <w:sz w:val="36"/>
          <w:szCs w:val="36"/>
        </w:rPr>
      </w:pPr>
      <w:r>
        <w:rPr>
          <w:rFonts w:hAnsi="宋体"/>
          <w:b/>
          <w:sz w:val="36"/>
          <w:szCs w:val="36"/>
        </w:rPr>
        <w:t>《建设项目环境影响报告表》编制说明</w:t>
      </w:r>
    </w:p>
    <w:p>
      <w:pPr>
        <w:adjustRightInd w:val="0"/>
        <w:spacing w:line="360" w:lineRule="auto"/>
        <w:ind w:firstLine="565" w:firstLineChars="202"/>
        <w:rPr>
          <w:sz w:val="28"/>
          <w:szCs w:val="28"/>
        </w:rPr>
      </w:pPr>
      <w:r>
        <w:rPr>
          <w:rFonts w:hAnsi="宋体"/>
          <w:sz w:val="28"/>
          <w:szCs w:val="28"/>
        </w:rPr>
        <w:t>《建设项目环境影响报告表》由具有从事环境影响评价工作资质的单位编制。</w:t>
      </w:r>
    </w:p>
    <w:p>
      <w:pPr>
        <w:adjustRightInd w:val="0"/>
        <w:spacing w:line="360" w:lineRule="auto"/>
        <w:ind w:firstLine="565" w:firstLineChars="202"/>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adjustRightInd w:val="0"/>
        <w:spacing w:line="360" w:lineRule="auto"/>
        <w:ind w:firstLine="565" w:firstLineChars="202"/>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pPr>
        <w:adjustRightInd w:val="0"/>
        <w:spacing w:line="360" w:lineRule="auto"/>
        <w:ind w:firstLine="565" w:firstLineChars="202"/>
        <w:rPr>
          <w:sz w:val="28"/>
          <w:szCs w:val="28"/>
        </w:rPr>
      </w:pPr>
      <w:r>
        <w:rPr>
          <w:rFonts w:hAnsi="宋体"/>
          <w:sz w:val="28"/>
          <w:szCs w:val="28"/>
        </w:rPr>
        <w:t>行业类别</w:t>
      </w:r>
      <w:r>
        <w:rPr>
          <w:sz w:val="28"/>
          <w:szCs w:val="28"/>
        </w:rPr>
        <w:t>──</w:t>
      </w:r>
      <w:r>
        <w:rPr>
          <w:rFonts w:hAnsi="宋体"/>
          <w:sz w:val="28"/>
          <w:szCs w:val="28"/>
        </w:rPr>
        <w:t>按国标填写。</w:t>
      </w:r>
    </w:p>
    <w:p>
      <w:pPr>
        <w:adjustRightInd w:val="0"/>
        <w:spacing w:line="360" w:lineRule="auto"/>
        <w:ind w:firstLine="565" w:firstLineChars="202"/>
        <w:rPr>
          <w:sz w:val="28"/>
          <w:szCs w:val="28"/>
        </w:rPr>
      </w:pPr>
      <w:r>
        <w:rPr>
          <w:rFonts w:hAnsi="宋体"/>
          <w:sz w:val="28"/>
          <w:szCs w:val="28"/>
        </w:rPr>
        <w:t>总投资</w:t>
      </w:r>
      <w:r>
        <w:rPr>
          <w:sz w:val="28"/>
          <w:szCs w:val="28"/>
        </w:rPr>
        <w:t>──</w:t>
      </w:r>
      <w:r>
        <w:rPr>
          <w:rFonts w:hAnsi="宋体"/>
          <w:sz w:val="28"/>
          <w:szCs w:val="28"/>
        </w:rPr>
        <w:t>指项目投资总额。</w:t>
      </w:r>
    </w:p>
    <w:p>
      <w:pPr>
        <w:adjustRightInd w:val="0"/>
        <w:spacing w:line="360" w:lineRule="auto"/>
        <w:ind w:firstLine="565" w:firstLineChars="202"/>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adjustRightInd w:val="0"/>
        <w:spacing w:line="360" w:lineRule="auto"/>
        <w:ind w:firstLine="565" w:firstLineChars="202"/>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adjustRightInd w:val="0"/>
        <w:spacing w:line="360" w:lineRule="auto"/>
        <w:ind w:firstLine="565" w:firstLineChars="202"/>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pPr>
        <w:adjustRightInd w:val="0"/>
        <w:spacing w:line="360" w:lineRule="auto"/>
        <w:ind w:firstLine="565" w:firstLineChars="202"/>
        <w:rPr>
          <w:rFonts w:hAnsi="宋体"/>
          <w:sz w:val="28"/>
          <w:szCs w:val="28"/>
        </w:rPr>
        <w:sectPr>
          <w:headerReference r:id="rId3" w:type="default"/>
          <w:footerReference r:id="rId4"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Ansi="宋体"/>
          <w:sz w:val="28"/>
          <w:szCs w:val="28"/>
        </w:rPr>
        <w:t>审批意见</w:t>
      </w:r>
      <w:r>
        <w:rPr>
          <w:sz w:val="28"/>
          <w:szCs w:val="28"/>
        </w:rPr>
        <w:t>──</w:t>
      </w:r>
      <w:r>
        <w:rPr>
          <w:rFonts w:hAnsi="宋体"/>
          <w:sz w:val="28"/>
          <w:szCs w:val="28"/>
        </w:rPr>
        <w:t>由负责审批该项目的环境保护行政主管部门批复。</w:t>
      </w:r>
    </w:p>
    <w:p>
      <w:pPr>
        <w:adjustRightInd w:val="0"/>
        <w:spacing w:line="360" w:lineRule="auto"/>
        <w:jc w:val="center"/>
        <w:rPr>
          <w:b/>
          <w:kern w:val="0"/>
          <w:sz w:val="36"/>
          <w:szCs w:val="36"/>
        </w:rPr>
      </w:pPr>
      <w:r>
        <w:rPr>
          <w:rFonts w:hAnsi="宋体"/>
          <w:b/>
          <w:kern w:val="0"/>
          <w:sz w:val="36"/>
          <w:szCs w:val="36"/>
        </w:rPr>
        <w:t>目</w:t>
      </w:r>
      <w:r>
        <w:rPr>
          <w:b/>
          <w:kern w:val="0"/>
          <w:sz w:val="36"/>
          <w:szCs w:val="36"/>
        </w:rPr>
        <w:t xml:space="preserve"> </w:t>
      </w:r>
      <w:r>
        <w:rPr>
          <w:rFonts w:hAnsi="宋体"/>
          <w:b/>
          <w:kern w:val="0"/>
          <w:sz w:val="36"/>
          <w:szCs w:val="36"/>
        </w:rPr>
        <w:t>录</w:t>
      </w:r>
    </w:p>
    <w:p>
      <w:pPr>
        <w:pStyle w:val="51"/>
        <w:tabs>
          <w:tab w:val="right" w:leader="dot" w:pos="8303"/>
        </w:tabs>
        <w:rPr>
          <w:bCs w:val="0"/>
          <w:caps w:val="0"/>
          <w:kern w:val="2"/>
          <w:sz w:val="21"/>
          <w:szCs w:val="22"/>
          <w:lang w:val="en-US"/>
        </w:rPr>
      </w:pPr>
      <w:r>
        <w:rPr>
          <w:sz w:val="24"/>
        </w:rPr>
        <w:fldChar w:fldCharType="begin"/>
      </w:r>
      <w:r>
        <w:rPr>
          <w:sz w:val="24"/>
        </w:rPr>
        <w:instrText xml:space="preserve"> TOC \o "1-1" \h \z \u </w:instrText>
      </w:r>
      <w:r>
        <w:rPr>
          <w:sz w:val="24"/>
        </w:rPr>
        <w:fldChar w:fldCharType="separate"/>
      </w:r>
      <w:r>
        <w:fldChar w:fldCharType="begin"/>
      </w:r>
      <w:r>
        <w:instrText xml:space="preserve"> HYPERLINK \l "_Toc386379873" </w:instrText>
      </w:r>
      <w:r>
        <w:fldChar w:fldCharType="separate"/>
      </w:r>
      <w:r>
        <w:rPr>
          <w:rStyle w:val="87"/>
          <w:color w:val="auto"/>
          <w:lang w:val="en-US"/>
        </w:rPr>
        <w:t>1</w:t>
      </w:r>
      <w:r>
        <w:rPr>
          <w:rStyle w:val="87"/>
          <w:rFonts w:hAnsi="宋体"/>
          <w:color w:val="auto"/>
          <w:lang w:val="en-US"/>
        </w:rPr>
        <w:t>、建设项目基本情况</w:t>
      </w:r>
      <w:r>
        <w:rPr>
          <w:lang w:val="en-US"/>
        </w:rPr>
        <w:tab/>
      </w:r>
      <w:r>
        <w:rPr>
          <w:lang w:val="en-US"/>
        </w:rPr>
        <w:fldChar w:fldCharType="begin"/>
      </w:r>
      <w:r>
        <w:rPr>
          <w:lang w:val="en-US"/>
        </w:rPr>
        <w:instrText xml:space="preserve"> PAGEREF _Toc386379873 \h </w:instrText>
      </w:r>
      <w:r>
        <w:rPr>
          <w:lang w:val="en-US"/>
        </w:rPr>
        <w:fldChar w:fldCharType="separate"/>
      </w:r>
      <w:r>
        <w:rPr>
          <w:lang w:val="en-US"/>
        </w:rPr>
        <w:t>1</w:t>
      </w:r>
      <w:r>
        <w:rPr>
          <w:lang w:val="en-US"/>
        </w:rPr>
        <w:fldChar w:fldCharType="end"/>
      </w:r>
      <w:r>
        <w:rPr>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"_Toc386379874" </w:instrText>
      </w:r>
      <w:r>
        <w:fldChar w:fldCharType="separate"/>
      </w:r>
      <w:r>
        <w:rPr>
          <w:rStyle w:val="87"/>
          <w:color w:val="auto"/>
          <w:lang w:val="en-US"/>
        </w:rPr>
        <w:t>2</w:t>
      </w:r>
      <w:r>
        <w:rPr>
          <w:rStyle w:val="87"/>
          <w:rFonts w:hAnsi="宋体"/>
          <w:color w:val="auto"/>
          <w:lang w:val="en-US"/>
        </w:rPr>
        <w:t>、项目所在地自然环境社会环境简况</w:t>
      </w:r>
      <w:r>
        <w:rPr>
          <w:lang w:val="en-US"/>
        </w:rPr>
        <w:tab/>
      </w:r>
      <w:r>
        <w:rPr>
          <w:rFonts w:hint="eastAsia"/>
          <w:lang w:val="en-US"/>
        </w:rPr>
        <w:t>10</w:t>
      </w:r>
      <w:r>
        <w:rPr>
          <w:rFonts w:hint="eastAsia"/>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"_Toc386379875" </w:instrText>
      </w:r>
      <w:r>
        <w:fldChar w:fldCharType="separate"/>
      </w:r>
      <w:r>
        <w:rPr>
          <w:rStyle w:val="87"/>
          <w:color w:val="auto"/>
          <w:lang w:val="en-US"/>
        </w:rPr>
        <w:t>3</w:t>
      </w:r>
      <w:r>
        <w:rPr>
          <w:rStyle w:val="87"/>
          <w:rFonts w:hAnsi="宋体"/>
          <w:color w:val="auto"/>
          <w:lang w:val="en-US"/>
        </w:rPr>
        <w:t>、环境质量状况</w:t>
      </w:r>
      <w:r>
        <w:rPr>
          <w:lang w:val="en-US"/>
        </w:rPr>
        <w:tab/>
      </w:r>
      <w:r>
        <w:rPr>
          <w:lang w:val="en-US"/>
        </w:rPr>
        <w:fldChar w:fldCharType="begin"/>
      </w:r>
      <w:r>
        <w:rPr>
          <w:lang w:val="en-US"/>
        </w:rPr>
        <w:instrText xml:space="preserve"> PAGEREF _Toc386379875 \h </w:instrText>
      </w:r>
      <w:r>
        <w:rPr>
          <w:lang w:val="en-US"/>
        </w:rPr>
        <w:fldChar w:fldCharType="separate"/>
      </w:r>
      <w:r>
        <w:rPr>
          <w:lang w:val="en-US"/>
        </w:rPr>
        <w:t>16</w:t>
      </w:r>
      <w:r>
        <w:rPr>
          <w:lang w:val="en-US"/>
        </w:rPr>
        <w:fldChar w:fldCharType="end"/>
      </w:r>
      <w:r>
        <w:rPr>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"_Toc386379876" </w:instrText>
      </w:r>
      <w:r>
        <w:fldChar w:fldCharType="separate"/>
      </w:r>
      <w:r>
        <w:rPr>
          <w:rStyle w:val="87"/>
          <w:color w:val="auto"/>
          <w:lang w:val="en-US"/>
        </w:rPr>
        <w:t>4</w:t>
      </w:r>
      <w:r>
        <w:rPr>
          <w:rStyle w:val="87"/>
          <w:rFonts w:hAnsi="宋体"/>
          <w:color w:val="auto"/>
          <w:lang w:val="en-US"/>
        </w:rPr>
        <w:t>、评价适用标准</w:t>
      </w:r>
      <w:r>
        <w:rPr>
          <w:lang w:val="en-US"/>
        </w:rPr>
        <w:tab/>
      </w:r>
      <w:r>
        <w:rPr>
          <w:lang w:val="en-US"/>
        </w:rPr>
        <w:fldChar w:fldCharType="begin"/>
      </w:r>
      <w:r>
        <w:rPr>
          <w:lang w:val="en-US"/>
        </w:rPr>
        <w:instrText xml:space="preserve"> PAGEREF _Toc386379876 \h </w:instrText>
      </w:r>
      <w:r>
        <w:rPr>
          <w:lang w:val="en-US"/>
        </w:rPr>
        <w:fldChar w:fldCharType="separate"/>
      </w:r>
      <w:r>
        <w:rPr>
          <w:lang w:val="en-US"/>
        </w:rPr>
        <w:t>19</w:t>
      </w:r>
      <w:r>
        <w:rPr>
          <w:lang w:val="en-US"/>
        </w:rPr>
        <w:fldChar w:fldCharType="end"/>
      </w:r>
      <w:r>
        <w:rPr>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"_Toc386379877" </w:instrText>
      </w:r>
      <w:r>
        <w:fldChar w:fldCharType="separate"/>
      </w:r>
      <w:r>
        <w:rPr>
          <w:rStyle w:val="87"/>
          <w:color w:val="auto"/>
          <w:lang w:val="en-US"/>
        </w:rPr>
        <w:t>5</w:t>
      </w:r>
      <w:r>
        <w:rPr>
          <w:rStyle w:val="87"/>
          <w:rFonts w:hAnsi="宋体"/>
          <w:color w:val="auto"/>
          <w:lang w:val="en-US"/>
        </w:rPr>
        <w:t>、建设项目工程分析</w:t>
      </w:r>
      <w:r>
        <w:rPr>
          <w:lang w:val="en-US"/>
        </w:rPr>
        <w:tab/>
      </w:r>
      <w:r>
        <w:rPr>
          <w:rFonts w:hint="eastAsia"/>
          <w:lang w:val="en-US"/>
        </w:rPr>
        <w:t>22</w:t>
      </w:r>
      <w:r>
        <w:rPr>
          <w:rFonts w:hint="eastAsia"/>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"_Toc386379878" </w:instrText>
      </w:r>
      <w:r>
        <w:fldChar w:fldCharType="separate"/>
      </w:r>
      <w:r>
        <w:rPr>
          <w:rStyle w:val="87"/>
          <w:color w:val="auto"/>
          <w:lang w:val="en-US"/>
        </w:rPr>
        <w:t>6</w:t>
      </w:r>
      <w:r>
        <w:rPr>
          <w:rStyle w:val="87"/>
          <w:rFonts w:hAnsi="宋体"/>
          <w:color w:val="auto"/>
          <w:lang w:val="en-US"/>
        </w:rPr>
        <w:t>、项目主要污染物产生及预计排放情况</w:t>
      </w:r>
      <w:r>
        <w:rPr>
          <w:lang w:val="en-US"/>
        </w:rPr>
        <w:tab/>
      </w:r>
      <w:r>
        <w:rPr>
          <w:lang w:val="en-US"/>
        </w:rPr>
        <w:fldChar w:fldCharType="begin"/>
      </w:r>
      <w:r>
        <w:rPr>
          <w:lang w:val="en-US"/>
        </w:rPr>
        <w:instrText xml:space="preserve"> PAGEREF _Toc386379878 \h </w:instrText>
      </w:r>
      <w:r>
        <w:rPr>
          <w:lang w:val="en-US"/>
        </w:rPr>
        <w:fldChar w:fldCharType="separate"/>
      </w:r>
      <w:r>
        <w:rPr>
          <w:lang w:val="en-US"/>
        </w:rPr>
        <w:t>30</w:t>
      </w:r>
      <w:r>
        <w:rPr>
          <w:lang w:val="en-US"/>
        </w:rPr>
        <w:fldChar w:fldCharType="end"/>
      </w:r>
      <w:r>
        <w:rPr>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"_Toc386379879" </w:instrText>
      </w:r>
      <w:r>
        <w:fldChar w:fldCharType="separate"/>
      </w:r>
      <w:r>
        <w:rPr>
          <w:rStyle w:val="87"/>
          <w:color w:val="auto"/>
          <w:lang w:val="en-US"/>
        </w:rPr>
        <w:t>7</w:t>
      </w:r>
      <w:r>
        <w:rPr>
          <w:rStyle w:val="87"/>
          <w:rFonts w:hAnsi="宋体"/>
          <w:color w:val="auto"/>
          <w:lang w:val="en-US"/>
        </w:rPr>
        <w:t>、环境影响分析</w:t>
      </w:r>
      <w:r>
        <w:rPr>
          <w:lang w:val="en-US"/>
        </w:rPr>
        <w:tab/>
      </w:r>
      <w:r>
        <w:rPr>
          <w:lang w:val="en-US"/>
        </w:rPr>
        <w:fldChar w:fldCharType="begin"/>
      </w:r>
      <w:r>
        <w:rPr>
          <w:lang w:val="en-US"/>
        </w:rPr>
        <w:instrText xml:space="preserve"> PAGEREF _Toc386379879 \h </w:instrText>
      </w:r>
      <w:r>
        <w:rPr>
          <w:lang w:val="en-US"/>
        </w:rPr>
        <w:fldChar w:fldCharType="separate"/>
      </w:r>
      <w:r>
        <w:rPr>
          <w:lang w:val="en-US"/>
        </w:rPr>
        <w:t>31</w:t>
      </w:r>
      <w:r>
        <w:rPr>
          <w:lang w:val="en-US"/>
        </w:rPr>
        <w:fldChar w:fldCharType="end"/>
      </w:r>
      <w:r>
        <w:rPr>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"_Toc386379880" </w:instrText>
      </w:r>
      <w:r>
        <w:fldChar w:fldCharType="separate"/>
      </w:r>
      <w:r>
        <w:rPr>
          <w:rStyle w:val="87"/>
          <w:color w:val="auto"/>
          <w:lang w:val="en-US"/>
        </w:rPr>
        <w:t>8</w:t>
      </w:r>
      <w:r>
        <w:rPr>
          <w:rStyle w:val="87"/>
          <w:rFonts w:hAnsi="宋体"/>
          <w:color w:val="auto"/>
          <w:lang w:val="en-US"/>
        </w:rPr>
        <w:t>、建设项目拟采取的防治措施及预期治理效果</w:t>
      </w:r>
      <w:r>
        <w:rPr>
          <w:lang w:val="en-US"/>
        </w:rPr>
        <w:tab/>
      </w:r>
      <w:r>
        <w:rPr>
          <w:rFonts w:hint="eastAsia"/>
          <w:lang w:val="en-US"/>
        </w:rPr>
        <w:t>44</w:t>
      </w:r>
      <w:r>
        <w:rPr>
          <w:rFonts w:hint="eastAsia"/>
          <w:lang w:val="en-US"/>
        </w:rPr>
        <w:fldChar w:fldCharType="end"/>
      </w:r>
    </w:p>
    <w:p>
      <w:pPr>
        <w:pStyle w:val="51"/>
        <w:tabs>
          <w:tab w:val="right" w:leader="dot" w:pos="8303"/>
        </w:tabs>
        <w:rPr>
          <w:bCs w:val="0"/>
          <w:caps w:val="0"/>
          <w:kern w:val="2"/>
          <w:sz w:val="21"/>
          <w:szCs w:val="22"/>
          <w:lang w:val="en-US"/>
        </w:rPr>
      </w:pPr>
      <w:r>
        <w:fldChar w:fldCharType="begin"/>
      </w:r>
      <w:r>
        <w:instrText xml:space="preserve"> HYPERLINK \l "_Toc386379881" </w:instrText>
      </w:r>
      <w:r>
        <w:fldChar w:fldCharType="separate"/>
      </w:r>
      <w:r>
        <w:rPr>
          <w:rStyle w:val="87"/>
          <w:color w:val="auto"/>
          <w:lang w:val="en-US"/>
        </w:rPr>
        <w:t>9</w:t>
      </w:r>
      <w:r>
        <w:rPr>
          <w:rStyle w:val="87"/>
          <w:rFonts w:hAnsi="宋体"/>
          <w:color w:val="auto"/>
          <w:lang w:val="en-US"/>
        </w:rPr>
        <w:t>、结论与建议</w:t>
      </w:r>
      <w:r>
        <w:rPr>
          <w:lang w:val="en-US"/>
        </w:rPr>
        <w:tab/>
      </w:r>
      <w:r>
        <w:rPr>
          <w:rFonts w:hint="eastAsia"/>
          <w:lang w:val="en-US"/>
        </w:rPr>
        <w:t>45</w:t>
      </w:r>
      <w:r>
        <w:rPr>
          <w:rFonts w:hint="eastAsia"/>
          <w:lang w:val="en-US"/>
        </w:rPr>
        <w:fldChar w:fldCharType="end"/>
      </w:r>
    </w:p>
    <w:p>
      <w:pPr>
        <w:adjustRightInd w:val="0"/>
        <w:snapToGrid w:val="0"/>
        <w:spacing w:line="360" w:lineRule="auto"/>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sz w:val="24"/>
        </w:rPr>
        <w:fldChar w:fldCharType="end"/>
      </w:r>
    </w:p>
    <w:p>
      <w:pPr>
        <w:adjustRightInd w:val="0"/>
        <w:snapToGrid w:val="0"/>
        <w:spacing w:line="360" w:lineRule="auto"/>
        <w:rPr>
          <w:b/>
          <w:sz w:val="24"/>
        </w:rPr>
      </w:pPr>
      <w:r>
        <w:rPr>
          <w:rFonts w:hAnsi="宋体"/>
          <w:b/>
          <w:sz w:val="24"/>
        </w:rPr>
        <w:t>附图：</w:t>
      </w:r>
      <w:r>
        <w:rPr>
          <w:b/>
          <w:sz w:val="24"/>
        </w:rPr>
        <w:t xml:space="preserve"> </w:t>
      </w:r>
    </w:p>
    <w:p>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建设项目周围环境</w:t>
      </w:r>
      <w:r>
        <w:rPr>
          <w:rFonts w:hint="eastAsia" w:hAnsi="宋体"/>
          <w:sz w:val="24"/>
        </w:rPr>
        <w:t>示意图</w:t>
      </w:r>
    </w:p>
    <w:p>
      <w:pPr>
        <w:adjustRightInd w:val="0"/>
        <w:snapToGrid w:val="0"/>
        <w:spacing w:line="360" w:lineRule="auto"/>
        <w:rPr>
          <w:rFonts w:hAnsi="宋体"/>
          <w:sz w:val="24"/>
        </w:rPr>
      </w:pPr>
      <w:r>
        <w:rPr>
          <w:rFonts w:hint="eastAsia" w:hAnsi="宋体"/>
          <w:sz w:val="24"/>
        </w:rPr>
        <w:t>附图3：建设项目厂区平面布置图</w:t>
      </w:r>
    </w:p>
    <w:p>
      <w:pPr>
        <w:adjustRightInd w:val="0"/>
        <w:snapToGrid w:val="0"/>
        <w:spacing w:line="360" w:lineRule="auto"/>
        <w:rPr>
          <w:rFonts w:hAnsi="宋体"/>
          <w:sz w:val="24"/>
        </w:rPr>
      </w:pPr>
      <w:r>
        <w:rPr>
          <w:rFonts w:hint="eastAsia" w:hAnsi="宋体"/>
          <w:sz w:val="24"/>
        </w:rPr>
        <w:t>附图4：</w:t>
      </w:r>
      <w:r>
        <w:rPr>
          <w:rFonts w:hAnsi="宋体"/>
          <w:sz w:val="24"/>
        </w:rPr>
        <w:t>建设项目</w:t>
      </w:r>
      <w:r>
        <w:rPr>
          <w:rFonts w:hint="eastAsia" w:hAnsi="宋体"/>
          <w:sz w:val="24"/>
          <w:lang w:eastAsia="zh-CN"/>
        </w:rPr>
        <w:t>监测点位</w:t>
      </w:r>
      <w:r>
        <w:rPr>
          <w:rFonts w:hint="eastAsia" w:hAnsi="宋体"/>
          <w:sz w:val="24"/>
          <w:lang w:val="en-US"/>
        </w:rPr>
        <w:t>示意图</w:t>
      </w:r>
    </w:p>
    <w:p>
      <w:pPr>
        <w:adjustRightInd w:val="0"/>
        <w:snapToGrid w:val="0"/>
        <w:spacing w:line="360" w:lineRule="auto"/>
        <w:rPr>
          <w:rFonts w:hAnsi="宋体"/>
          <w:sz w:val="24"/>
        </w:rPr>
      </w:pPr>
      <w:r>
        <w:rPr>
          <w:rFonts w:hint="eastAsia" w:hAnsi="宋体"/>
          <w:sz w:val="24"/>
        </w:rPr>
        <w:t>附图</w:t>
      </w:r>
      <w:r>
        <w:rPr>
          <w:rFonts w:hint="eastAsia" w:hAnsi="宋体"/>
          <w:sz w:val="24"/>
          <w:lang w:val="en-US"/>
        </w:rPr>
        <w:t>5：</w:t>
      </w:r>
      <w:r>
        <w:rPr>
          <w:rFonts w:hAnsi="宋体"/>
          <w:sz w:val="24"/>
        </w:rPr>
        <w:t>建设项目</w:t>
      </w:r>
      <w:r>
        <w:rPr>
          <w:rFonts w:hint="eastAsia" w:hAnsi="宋体"/>
          <w:sz w:val="24"/>
        </w:rPr>
        <w:t>陶瓷产业园</w:t>
      </w:r>
      <w:r>
        <w:rPr>
          <w:rFonts w:hAnsi="宋体"/>
          <w:sz w:val="24"/>
        </w:rPr>
        <w:t>地理位置</w:t>
      </w:r>
      <w:r>
        <w:rPr>
          <w:rFonts w:hint="eastAsia" w:hAnsi="宋体"/>
          <w:sz w:val="24"/>
        </w:rPr>
        <w:t>图</w:t>
      </w:r>
    </w:p>
    <w:p>
      <w:pPr>
        <w:adjustRightInd w:val="0"/>
        <w:snapToGrid w:val="0"/>
        <w:spacing w:line="360" w:lineRule="auto"/>
        <w:rPr>
          <w:rFonts w:hAnsi="宋体"/>
          <w:sz w:val="24"/>
        </w:rPr>
      </w:pPr>
      <w:r>
        <w:rPr>
          <w:rFonts w:hint="eastAsia" w:hAnsi="宋体"/>
          <w:sz w:val="24"/>
        </w:rPr>
        <w:t>附图</w:t>
      </w:r>
      <w:r>
        <w:rPr>
          <w:rFonts w:hint="eastAsia" w:hAnsi="宋体"/>
          <w:sz w:val="24"/>
          <w:lang w:val="en-US"/>
        </w:rPr>
        <w:t>6：</w:t>
      </w:r>
      <w:r>
        <w:rPr>
          <w:rFonts w:hAnsi="宋体"/>
          <w:sz w:val="24"/>
        </w:rPr>
        <w:t>建设项目与</w:t>
      </w:r>
      <w:r>
        <w:rPr>
          <w:rFonts w:hint="eastAsia" w:hAnsi="宋体"/>
          <w:sz w:val="24"/>
          <w:lang w:eastAsia="zh-CN"/>
        </w:rPr>
        <w:t>江苏省</w:t>
      </w:r>
      <w:r>
        <w:rPr>
          <w:rFonts w:hAnsi="宋体"/>
          <w:sz w:val="24"/>
        </w:rPr>
        <w:t>生态红线地理位置关系图</w:t>
      </w:r>
    </w:p>
    <w:p>
      <w:pPr>
        <w:adjustRightInd w:val="0"/>
        <w:snapToGrid w:val="0"/>
        <w:spacing w:line="360" w:lineRule="auto"/>
        <w:rPr>
          <w:b/>
          <w:sz w:val="24"/>
        </w:rPr>
      </w:pPr>
      <w:r>
        <w:rPr>
          <w:rFonts w:hAnsi="宋体"/>
          <w:b/>
          <w:sz w:val="24"/>
        </w:rPr>
        <w:t>附件：</w:t>
      </w:r>
    </w:p>
    <w:p>
      <w:pPr>
        <w:adjustRightInd w:val="0"/>
        <w:snapToGrid w:val="0"/>
        <w:spacing w:line="360" w:lineRule="auto"/>
        <w:rPr>
          <w:sz w:val="24"/>
        </w:rPr>
      </w:pPr>
      <w:r>
        <w:rPr>
          <w:rFonts w:hAnsi="宋体"/>
          <w:sz w:val="24"/>
        </w:rPr>
        <w:t>附件</w:t>
      </w:r>
      <w:r>
        <w:rPr>
          <w:sz w:val="24"/>
        </w:rPr>
        <w:t>1</w:t>
      </w:r>
      <w:r>
        <w:rPr>
          <w:rFonts w:hAnsi="宋体"/>
          <w:sz w:val="24"/>
        </w:rPr>
        <w:t>：</w:t>
      </w:r>
      <w:r>
        <w:rPr>
          <w:rFonts w:hint="eastAsia" w:hAnsi="宋体"/>
          <w:sz w:val="24"/>
        </w:rPr>
        <w:t>立项文件</w:t>
      </w:r>
    </w:p>
    <w:p>
      <w:pPr>
        <w:adjustRightInd w:val="0"/>
        <w:snapToGrid w:val="0"/>
        <w:spacing w:line="360" w:lineRule="auto"/>
        <w:rPr>
          <w:rFonts w:hAnsi="宋体"/>
          <w:sz w:val="24"/>
        </w:rPr>
      </w:pPr>
      <w:r>
        <w:rPr>
          <w:rFonts w:hAnsi="宋体"/>
          <w:sz w:val="24"/>
        </w:rPr>
        <w:t>附件</w:t>
      </w:r>
      <w:r>
        <w:rPr>
          <w:sz w:val="24"/>
        </w:rPr>
        <w:t>2</w:t>
      </w:r>
      <w:r>
        <w:rPr>
          <w:rFonts w:hAnsi="宋体"/>
          <w:sz w:val="24"/>
        </w:rPr>
        <w:t>：</w:t>
      </w:r>
      <w:r>
        <w:rPr>
          <w:rFonts w:hint="eastAsia" w:hAnsi="宋体"/>
          <w:sz w:val="24"/>
          <w:szCs w:val="24"/>
        </w:rPr>
        <w:t>监测报告</w:t>
      </w:r>
    </w:p>
    <w:p>
      <w:pPr>
        <w:adjustRightInd w:val="0"/>
        <w:snapToGrid w:val="0"/>
        <w:spacing w:line="360" w:lineRule="auto"/>
        <w:rPr>
          <w:rFonts w:hAnsi="宋体"/>
          <w:sz w:val="24"/>
        </w:rPr>
      </w:pPr>
      <w:r>
        <w:rPr>
          <w:rFonts w:hint="eastAsia" w:hAnsi="宋体"/>
          <w:sz w:val="24"/>
        </w:rPr>
        <w:t>附件3：污水纳管协议</w:t>
      </w:r>
    </w:p>
    <w:p>
      <w:pPr>
        <w:adjustRightInd w:val="0"/>
        <w:snapToGrid w:val="0"/>
        <w:spacing w:line="360" w:lineRule="auto"/>
        <w:rPr>
          <w:rFonts w:hAnsi="宋体"/>
          <w:sz w:val="24"/>
        </w:rPr>
      </w:pPr>
      <w:r>
        <w:rPr>
          <w:rFonts w:hint="eastAsia" w:hAnsi="宋体"/>
          <w:sz w:val="24"/>
        </w:rPr>
        <w:t>附件4：</w:t>
      </w:r>
      <w:r>
        <w:rPr>
          <w:rFonts w:hAnsi="宋体"/>
          <w:sz w:val="24"/>
        </w:rPr>
        <w:t>建设项目环境影响申报（登记）表（</w:t>
      </w:r>
      <w:r>
        <w:rPr>
          <w:rFonts w:hint="eastAsia" w:hAnsi="宋体"/>
          <w:sz w:val="24"/>
        </w:rPr>
        <w:t>工业</w:t>
      </w:r>
      <w:r>
        <w:rPr>
          <w:rFonts w:hAnsi="宋体"/>
          <w:sz w:val="24"/>
        </w:rPr>
        <w:t>类）</w:t>
      </w:r>
    </w:p>
    <w:p>
      <w:pPr>
        <w:adjustRightInd w:val="0"/>
        <w:snapToGrid w:val="0"/>
        <w:spacing w:line="360" w:lineRule="auto"/>
        <w:rPr>
          <w:sz w:val="24"/>
        </w:rPr>
      </w:pPr>
      <w:r>
        <w:rPr>
          <w:rFonts w:hint="eastAsia" w:hAnsi="宋体"/>
          <w:sz w:val="24"/>
        </w:rPr>
        <w:t>附件5：</w:t>
      </w:r>
      <w:r>
        <w:rPr>
          <w:rFonts w:hint="eastAsia"/>
          <w:sz w:val="24"/>
        </w:rPr>
        <w:t>建设项目环境影响审批现场勘察表</w:t>
      </w:r>
    </w:p>
    <w:p>
      <w:pPr>
        <w:adjustRightInd w:val="0"/>
        <w:snapToGrid w:val="0"/>
        <w:spacing w:line="360" w:lineRule="auto"/>
        <w:rPr>
          <w:sz w:val="24"/>
        </w:rPr>
      </w:pPr>
      <w:r>
        <w:rPr>
          <w:sz w:val="24"/>
        </w:rPr>
        <w:t>附件</w:t>
      </w:r>
      <w:r>
        <w:rPr>
          <w:rFonts w:hint="eastAsia"/>
          <w:sz w:val="24"/>
        </w:rPr>
        <w:t>6</w:t>
      </w:r>
      <w:r>
        <w:rPr>
          <w:sz w:val="24"/>
        </w:rPr>
        <w:t>：报批申请</w:t>
      </w:r>
    </w:p>
    <w:p>
      <w:pPr>
        <w:adjustRightInd w:val="0"/>
        <w:snapToGrid w:val="0"/>
        <w:spacing w:line="360" w:lineRule="auto"/>
        <w:rPr>
          <w:sz w:val="24"/>
        </w:rPr>
      </w:pPr>
      <w:r>
        <w:rPr>
          <w:sz w:val="24"/>
        </w:rPr>
        <w:t>附件</w:t>
      </w:r>
      <w:r>
        <w:rPr>
          <w:rFonts w:hint="eastAsia"/>
          <w:sz w:val="24"/>
        </w:rPr>
        <w:t>7</w:t>
      </w:r>
      <w:r>
        <w:rPr>
          <w:sz w:val="24"/>
        </w:rPr>
        <w:t>：环境影响评价单位承接环评业务承诺书</w:t>
      </w:r>
    </w:p>
    <w:p>
      <w:pPr>
        <w:adjustRightInd w:val="0"/>
        <w:snapToGrid w:val="0"/>
        <w:spacing w:line="360" w:lineRule="auto"/>
        <w:rPr>
          <w:sz w:val="24"/>
        </w:rPr>
      </w:pPr>
      <w:r>
        <w:rPr>
          <w:sz w:val="24"/>
        </w:rPr>
        <w:t>附件</w:t>
      </w:r>
      <w:r>
        <w:rPr>
          <w:rFonts w:hint="eastAsia"/>
          <w:sz w:val="24"/>
        </w:rPr>
        <w:t>8</w:t>
      </w:r>
      <w:r>
        <w:rPr>
          <w:sz w:val="24"/>
        </w:rPr>
        <w:t>：主要环境影响及</w:t>
      </w:r>
      <w:r>
        <w:rPr>
          <w:rFonts w:hint="eastAsia"/>
          <w:sz w:val="24"/>
        </w:rPr>
        <w:t>预防或减轻不良</w:t>
      </w:r>
      <w:r>
        <w:rPr>
          <w:sz w:val="24"/>
        </w:rPr>
        <w:t>环境</w:t>
      </w:r>
      <w:r>
        <w:rPr>
          <w:rFonts w:hint="eastAsia"/>
          <w:sz w:val="24"/>
        </w:rPr>
        <w:t>影响的</w:t>
      </w:r>
      <w:r>
        <w:rPr>
          <w:sz w:val="24"/>
        </w:rPr>
        <w:t>对策与措施</w:t>
      </w:r>
      <w:r>
        <w:rPr>
          <w:rFonts w:hint="eastAsia"/>
          <w:sz w:val="24"/>
        </w:rPr>
        <w:t>及</w:t>
      </w:r>
      <w:r>
        <w:rPr>
          <w:sz w:val="24"/>
        </w:rPr>
        <w:t>环保措施承诺书</w:t>
      </w:r>
    </w:p>
    <w:p>
      <w:pPr>
        <w:adjustRightInd w:val="0"/>
        <w:snapToGrid w:val="0"/>
        <w:spacing w:line="360" w:lineRule="auto"/>
        <w:rPr>
          <w:sz w:val="24"/>
        </w:rPr>
      </w:pPr>
      <w:r>
        <w:rPr>
          <w:sz w:val="24"/>
        </w:rPr>
        <w:t>附件</w:t>
      </w:r>
      <w:r>
        <w:rPr>
          <w:rFonts w:hint="eastAsia"/>
          <w:sz w:val="24"/>
        </w:rPr>
        <w:t>9</w:t>
      </w:r>
      <w:r>
        <w:rPr>
          <w:sz w:val="24"/>
        </w:rPr>
        <w:t>：公示说明</w:t>
      </w:r>
    </w:p>
    <w:p>
      <w:pPr>
        <w:adjustRightInd w:val="0"/>
        <w:snapToGrid w:val="0"/>
        <w:spacing w:line="360" w:lineRule="auto"/>
        <w:rPr>
          <w:sz w:val="24"/>
        </w:rPr>
      </w:pPr>
      <w:r>
        <w:rPr>
          <w:sz w:val="24"/>
        </w:rPr>
        <w:t>附件</w:t>
      </w:r>
      <w:r>
        <w:rPr>
          <w:rFonts w:hint="eastAsia"/>
          <w:sz w:val="24"/>
        </w:rPr>
        <w:t>10</w:t>
      </w:r>
      <w:r>
        <w:rPr>
          <w:sz w:val="24"/>
        </w:rPr>
        <w:t>：</w:t>
      </w:r>
      <w:r>
        <w:rPr>
          <w:rFonts w:hint="eastAsia"/>
          <w:sz w:val="24"/>
        </w:rPr>
        <w:t>租赁合同</w:t>
      </w:r>
    </w:p>
    <w:p>
      <w:pPr>
        <w:adjustRightInd w:val="0"/>
        <w:snapToGrid w:val="0"/>
        <w:spacing w:line="360" w:lineRule="auto"/>
        <w:rPr>
          <w:sz w:val="24"/>
        </w:rPr>
      </w:pPr>
      <w:r>
        <w:rPr>
          <w:sz w:val="24"/>
        </w:rPr>
        <w:t>附件</w:t>
      </w:r>
      <w:r>
        <w:rPr>
          <w:rFonts w:hint="eastAsia"/>
          <w:sz w:val="24"/>
        </w:rPr>
        <w:t>11</w:t>
      </w:r>
      <w:r>
        <w:rPr>
          <w:sz w:val="24"/>
        </w:rPr>
        <w:t>：</w:t>
      </w:r>
      <w:r>
        <w:rPr>
          <w:rFonts w:hint="eastAsia"/>
          <w:sz w:val="24"/>
        </w:rPr>
        <w:t>企业原有三个一批批复</w:t>
      </w:r>
    </w:p>
    <w:p>
      <w:pPr>
        <w:adjustRightInd w:val="0"/>
        <w:snapToGrid w:val="0"/>
        <w:spacing w:line="360" w:lineRule="auto"/>
        <w:rPr>
          <w:sz w:val="24"/>
        </w:rPr>
      </w:pPr>
      <w:r>
        <w:rPr>
          <w:sz w:val="24"/>
        </w:rPr>
        <w:t>附件</w:t>
      </w:r>
      <w:r>
        <w:rPr>
          <w:rFonts w:hint="eastAsia"/>
          <w:sz w:val="24"/>
        </w:rPr>
        <w:t>12</w:t>
      </w:r>
      <w:r>
        <w:rPr>
          <w:sz w:val="24"/>
        </w:rPr>
        <w:t>：</w:t>
      </w:r>
      <w:r>
        <w:rPr>
          <w:rFonts w:hint="eastAsia"/>
          <w:sz w:val="24"/>
        </w:rPr>
        <w:t>建设项目排放污染物指标申请表</w:t>
      </w:r>
    </w:p>
    <w:p>
      <w:pPr>
        <w:adjustRightInd w:val="0"/>
        <w:snapToGrid w:val="0"/>
        <w:spacing w:line="360" w:lineRule="auto"/>
        <w:rPr>
          <w:sz w:val="24"/>
        </w:rPr>
      </w:pPr>
      <w:r>
        <w:rPr>
          <w:sz w:val="24"/>
        </w:rPr>
        <w:t>附件</w:t>
      </w:r>
      <w:r>
        <w:rPr>
          <w:rFonts w:hint="eastAsia"/>
          <w:sz w:val="24"/>
        </w:rPr>
        <w:t>13</w:t>
      </w:r>
      <w:r>
        <w:rPr>
          <w:sz w:val="24"/>
        </w:rPr>
        <w:t>：</w:t>
      </w:r>
      <w:r>
        <w:rPr>
          <w:rFonts w:hint="eastAsia"/>
          <w:sz w:val="24"/>
        </w:rPr>
        <w:t>建设项目排放水污染物指标申请表</w:t>
      </w:r>
    </w:p>
    <w:p>
      <w:pPr>
        <w:adjustRightInd w:val="0"/>
        <w:snapToGrid w:val="0"/>
        <w:spacing w:line="360" w:lineRule="auto"/>
        <w:rPr>
          <w:rFonts w:hAnsi="宋体"/>
          <w:sz w:val="24"/>
        </w:rPr>
      </w:pPr>
      <w:r>
        <w:rPr>
          <w:rFonts w:hAnsi="宋体"/>
          <w:b/>
          <w:sz w:val="24"/>
        </w:rPr>
        <w:t>附表：</w:t>
      </w:r>
    </w:p>
    <w:p>
      <w:pPr>
        <w:adjustRightInd w:val="0"/>
        <w:snapToGrid w:val="0"/>
        <w:spacing w:line="360" w:lineRule="auto"/>
        <w:rPr>
          <w:sz w:val="24"/>
        </w:rPr>
      </w:pPr>
      <w:r>
        <w:rPr>
          <w:rFonts w:hAnsi="宋体"/>
          <w:sz w:val="24"/>
        </w:rPr>
        <w:t>建设项目环境保护审批登记表</w:t>
      </w:r>
    </w:p>
    <w:p>
      <w:pPr>
        <w:adjustRightInd w:val="0"/>
        <w:snapToGrid w:val="0"/>
        <w:spacing w:line="360" w:lineRule="auto"/>
        <w:rPr>
          <w:sz w:val="24"/>
          <w:highlight w:val="yellow"/>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4"/>
        <w:spacing w:line="240" w:lineRule="auto"/>
        <w:jc w:val="both"/>
        <w:rPr>
          <w:bCs w:val="0"/>
          <w:spacing w:val="0"/>
          <w:kern w:val="0"/>
          <w:sz w:val="32"/>
          <w:szCs w:val="32"/>
        </w:rPr>
      </w:pPr>
      <w:bookmarkStart w:id="0" w:name="_Toc279277645"/>
      <w:bookmarkStart w:id="1" w:name="_Toc279911128"/>
      <w:bookmarkStart w:id="2" w:name="_Toc386379873"/>
      <w:bookmarkStart w:id="3" w:name="_Toc367970630"/>
      <w:bookmarkStart w:id="4" w:name="_Toc289449138"/>
      <w:bookmarkStart w:id="5" w:name="_Toc367970385"/>
      <w:bookmarkStart w:id="6" w:name="_Toc367970824"/>
      <w:bookmarkStart w:id="7" w:name="_Toc279473126"/>
      <w:r>
        <w:rPr>
          <w:bCs w:val="0"/>
          <w:spacing w:val="0"/>
          <w:kern w:val="0"/>
          <w:sz w:val="32"/>
          <w:szCs w:val="32"/>
        </w:rPr>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Style w:val="7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680"/>
        <w:gridCol w:w="137"/>
        <w:gridCol w:w="985"/>
        <w:gridCol w:w="772"/>
        <w:gridCol w:w="27"/>
        <w:gridCol w:w="24"/>
        <w:gridCol w:w="1230"/>
        <w:gridCol w:w="539"/>
        <w:gridCol w:w="141"/>
        <w:gridCol w:w="1249"/>
        <w:gridCol w:w="24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项目名称</w:t>
            </w:r>
          </w:p>
        </w:tc>
        <w:tc>
          <w:tcPr>
            <w:tcW w:w="7272" w:type="dxa"/>
            <w:gridSpan w:val="12"/>
            <w:vAlign w:val="center"/>
          </w:tcPr>
          <w:p>
            <w:pPr>
              <w:jc w:val="center"/>
              <w:rPr>
                <w:rFonts w:hint="eastAsia" w:hAnsi="宋体" w:eastAsia="宋体"/>
                <w:kern w:val="0"/>
                <w:sz w:val="24"/>
                <w:szCs w:val="24"/>
                <w:lang w:val="en-US" w:eastAsia="zh-CN"/>
              </w:rPr>
            </w:pPr>
            <w:r>
              <w:rPr>
                <w:rFonts w:hint="eastAsia" w:hAnsi="宋体"/>
                <w:kern w:val="0"/>
                <w:sz w:val="24"/>
                <w:szCs w:val="24"/>
                <w:lang w:val="en-US" w:eastAsia="zh-CN"/>
              </w:rPr>
              <w:t>陶瓷制品的制造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建设单位</w:t>
            </w:r>
          </w:p>
        </w:tc>
        <w:tc>
          <w:tcPr>
            <w:tcW w:w="7272" w:type="dxa"/>
            <w:gridSpan w:val="12"/>
            <w:vAlign w:val="center"/>
          </w:tcPr>
          <w:p>
            <w:pPr>
              <w:jc w:val="center"/>
              <w:rPr>
                <w:rFonts w:hint="eastAsia" w:hAnsi="宋体" w:eastAsia="宋体"/>
                <w:kern w:val="0"/>
                <w:sz w:val="24"/>
                <w:szCs w:val="24"/>
                <w:lang w:eastAsia="zh-CN"/>
              </w:rPr>
            </w:pPr>
            <w:r>
              <w:rPr>
                <w:rFonts w:hint="eastAsia" w:hAnsi="宋体"/>
                <w:kern w:val="0"/>
                <w:sz w:val="24"/>
                <w:lang w:eastAsia="zh-CN"/>
              </w:rPr>
              <w:t>宜兴市宜桥陶瓷有限公司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法人代表</w:t>
            </w:r>
          </w:p>
        </w:tc>
        <w:tc>
          <w:tcPr>
            <w:tcW w:w="2625" w:type="dxa"/>
            <w:gridSpan w:val="6"/>
            <w:vAlign w:val="center"/>
          </w:tcPr>
          <w:p>
            <w:pPr>
              <w:jc w:val="center"/>
              <w:rPr>
                <w:rFonts w:hint="eastAsia" w:eastAsia="宋体"/>
                <w:sz w:val="24"/>
                <w:szCs w:val="24"/>
                <w:lang w:eastAsia="zh-CN"/>
              </w:rPr>
            </w:pPr>
            <w:r>
              <w:rPr>
                <w:rFonts w:hint="eastAsia"/>
                <w:sz w:val="24"/>
                <w:lang w:eastAsia="zh-CN"/>
              </w:rPr>
              <w:t>洪明桥</w:t>
            </w:r>
          </w:p>
        </w:tc>
        <w:tc>
          <w:tcPr>
            <w:tcW w:w="1769" w:type="dxa"/>
            <w:gridSpan w:val="2"/>
            <w:vAlign w:val="center"/>
          </w:tcPr>
          <w:p>
            <w:pPr>
              <w:jc w:val="center"/>
              <w:rPr>
                <w:b/>
                <w:kern w:val="0"/>
                <w:sz w:val="24"/>
                <w:szCs w:val="24"/>
              </w:rPr>
            </w:pPr>
            <w:r>
              <w:rPr>
                <w:rFonts w:hAnsi="宋体"/>
                <w:b/>
                <w:kern w:val="0"/>
                <w:sz w:val="24"/>
                <w:szCs w:val="24"/>
              </w:rPr>
              <w:t>联系人</w:t>
            </w:r>
          </w:p>
        </w:tc>
        <w:tc>
          <w:tcPr>
            <w:tcW w:w="2878" w:type="dxa"/>
            <w:gridSpan w:val="4"/>
            <w:vAlign w:val="center"/>
          </w:tcPr>
          <w:p>
            <w:pPr>
              <w:jc w:val="center"/>
              <w:rPr>
                <w:rFonts w:hint="eastAsia" w:eastAsia="宋体"/>
                <w:sz w:val="24"/>
                <w:szCs w:val="24"/>
                <w:lang w:eastAsia="zh-CN"/>
              </w:rPr>
            </w:pPr>
            <w:r>
              <w:rPr>
                <w:rFonts w:hint="eastAsia"/>
                <w:sz w:val="24"/>
                <w:lang w:eastAsia="zh-CN"/>
              </w:rPr>
              <w:t>洪明桥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通讯地址</w:t>
            </w:r>
          </w:p>
        </w:tc>
        <w:tc>
          <w:tcPr>
            <w:tcW w:w="7272" w:type="dxa"/>
            <w:gridSpan w:val="12"/>
            <w:vAlign w:val="center"/>
          </w:tcPr>
          <w:p>
            <w:pPr>
              <w:jc w:val="center"/>
              <w:rPr>
                <w:rFonts w:hint="eastAsia" w:hAnsi="宋体" w:eastAsia="宋体"/>
                <w:kern w:val="0"/>
                <w:sz w:val="24"/>
                <w:szCs w:val="24"/>
                <w:lang w:eastAsia="zh-CN"/>
              </w:rPr>
            </w:pPr>
            <w:r>
              <w:rPr>
                <w:rFonts w:hint="eastAsia" w:hAnsi="宋体"/>
                <w:kern w:val="0"/>
                <w:sz w:val="24"/>
                <w:szCs w:val="24"/>
                <w:lang w:val="en-US" w:eastAsia="zh-CN"/>
              </w:rPr>
              <w:t>宜兴市丁蜀镇查林村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联系电话</w:t>
            </w:r>
          </w:p>
        </w:tc>
        <w:tc>
          <w:tcPr>
            <w:tcW w:w="1802" w:type="dxa"/>
            <w:gridSpan w:val="3"/>
            <w:vAlign w:val="center"/>
          </w:tcPr>
          <w:p>
            <w:pPr>
              <w:jc w:val="center"/>
              <w:rPr>
                <w:rFonts w:hint="default" w:eastAsia="宋体"/>
                <w:kern w:val="0"/>
                <w:sz w:val="24"/>
                <w:szCs w:val="24"/>
                <w:lang w:val="en-US" w:eastAsia="zh-CN"/>
              </w:rPr>
            </w:pPr>
            <w:r>
              <w:rPr>
                <w:rFonts w:hint="eastAsia"/>
                <w:kern w:val="0"/>
                <w:sz w:val="24"/>
                <w:szCs w:val="24"/>
                <w:lang w:val="en-US" w:eastAsia="zh-CN"/>
              </w:rPr>
              <w:t>13485003171</w:t>
            </w:r>
          </w:p>
        </w:tc>
        <w:tc>
          <w:tcPr>
            <w:tcW w:w="823" w:type="dxa"/>
            <w:gridSpan w:val="3"/>
            <w:vAlign w:val="center"/>
          </w:tcPr>
          <w:p>
            <w:pPr>
              <w:jc w:val="center"/>
              <w:rPr>
                <w:b/>
                <w:kern w:val="0"/>
                <w:sz w:val="24"/>
                <w:szCs w:val="24"/>
              </w:rPr>
            </w:pPr>
            <w:r>
              <w:rPr>
                <w:rFonts w:hAnsi="宋体"/>
                <w:b/>
                <w:kern w:val="0"/>
                <w:sz w:val="24"/>
                <w:szCs w:val="24"/>
              </w:rPr>
              <w:t>传真</w:t>
            </w:r>
          </w:p>
        </w:tc>
        <w:tc>
          <w:tcPr>
            <w:tcW w:w="1769" w:type="dxa"/>
            <w:gridSpan w:val="2"/>
            <w:vAlign w:val="center"/>
          </w:tcPr>
          <w:p>
            <w:pPr>
              <w:jc w:val="center"/>
              <w:rPr>
                <w:kern w:val="0"/>
                <w:sz w:val="24"/>
                <w:szCs w:val="24"/>
                <w:lang w:val="en-US"/>
              </w:rPr>
            </w:pPr>
            <w:r>
              <w:rPr>
                <w:rFonts w:hint="eastAsia"/>
                <w:kern w:val="0"/>
                <w:sz w:val="24"/>
                <w:szCs w:val="24"/>
                <w:lang w:val="en-US"/>
              </w:rPr>
              <w:t>/</w:t>
            </w:r>
          </w:p>
        </w:tc>
        <w:tc>
          <w:tcPr>
            <w:tcW w:w="1638" w:type="dxa"/>
            <w:gridSpan w:val="3"/>
            <w:vAlign w:val="center"/>
          </w:tcPr>
          <w:p>
            <w:pPr>
              <w:jc w:val="center"/>
              <w:rPr>
                <w:b/>
                <w:kern w:val="0"/>
                <w:sz w:val="24"/>
                <w:szCs w:val="24"/>
              </w:rPr>
            </w:pPr>
            <w:r>
              <w:rPr>
                <w:rFonts w:hAnsi="宋体"/>
                <w:b/>
                <w:kern w:val="0"/>
                <w:sz w:val="24"/>
                <w:szCs w:val="24"/>
              </w:rPr>
              <w:t>邮政编码</w:t>
            </w:r>
          </w:p>
        </w:tc>
        <w:tc>
          <w:tcPr>
            <w:tcW w:w="1240" w:type="dxa"/>
            <w:vAlign w:val="center"/>
          </w:tcPr>
          <w:p>
            <w:pPr>
              <w:jc w:val="center"/>
              <w:rPr>
                <w:kern w:val="0"/>
                <w:sz w:val="24"/>
                <w:szCs w:val="24"/>
              </w:rPr>
            </w:pPr>
            <w:r>
              <w:rPr>
                <w:rFonts w:hint="eastAsia"/>
                <w:kern w:val="0"/>
                <w:sz w:val="24"/>
                <w:szCs w:val="24"/>
              </w:rPr>
              <w:t>214</w:t>
            </w:r>
            <w:r>
              <w:rPr>
                <w:rFonts w:hint="eastAsia"/>
                <w:kern w:val="0"/>
                <w:sz w:val="24"/>
                <w:szCs w:val="24"/>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建设地点</w:t>
            </w:r>
          </w:p>
        </w:tc>
        <w:tc>
          <w:tcPr>
            <w:tcW w:w="7272" w:type="dxa"/>
            <w:gridSpan w:val="12"/>
            <w:vAlign w:val="center"/>
          </w:tcPr>
          <w:p>
            <w:pPr>
              <w:jc w:val="center"/>
              <w:rPr>
                <w:rFonts w:hint="eastAsia" w:hAnsi="宋体" w:eastAsia="宋体"/>
                <w:kern w:val="0"/>
                <w:sz w:val="24"/>
                <w:szCs w:val="24"/>
                <w:lang w:eastAsia="zh-CN"/>
              </w:rPr>
            </w:pPr>
            <w:r>
              <w:rPr>
                <w:rFonts w:hint="eastAsia" w:hAnsi="宋体"/>
                <w:kern w:val="0"/>
                <w:sz w:val="24"/>
                <w:szCs w:val="24"/>
                <w:lang w:val="en-US" w:eastAsia="zh-CN"/>
              </w:rPr>
              <w:t>宜兴市丁蜀镇陶瓷产业园查林村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立项审批部门</w:t>
            </w:r>
          </w:p>
        </w:tc>
        <w:tc>
          <w:tcPr>
            <w:tcW w:w="2601" w:type="dxa"/>
            <w:gridSpan w:val="5"/>
            <w:vAlign w:val="center"/>
          </w:tcPr>
          <w:p>
            <w:pPr>
              <w:jc w:val="center"/>
              <w:rPr>
                <w:b/>
                <w:bCs/>
                <w:spacing w:val="-4"/>
                <w:kern w:val="0"/>
                <w:sz w:val="24"/>
                <w:szCs w:val="24"/>
              </w:rPr>
            </w:pPr>
            <w:r>
              <w:rPr>
                <w:rFonts w:hint="eastAsia" w:hAnsi="宋体"/>
                <w:kern w:val="0"/>
                <w:sz w:val="24"/>
                <w:szCs w:val="24"/>
              </w:rPr>
              <w:t>宜兴市丁蜀镇人民政府 [2020]1</w:t>
            </w:r>
            <w:r>
              <w:rPr>
                <w:rFonts w:hint="eastAsia" w:hAnsi="宋体"/>
                <w:kern w:val="0"/>
                <w:sz w:val="24"/>
                <w:szCs w:val="24"/>
                <w:lang w:val="en-US" w:eastAsia="zh-CN"/>
              </w:rPr>
              <w:t>26</w:t>
            </w:r>
            <w:r>
              <w:rPr>
                <w:rFonts w:hint="eastAsia" w:hAnsi="宋体"/>
                <w:kern w:val="0"/>
                <w:sz w:val="24"/>
                <w:szCs w:val="24"/>
              </w:rPr>
              <w:t>号</w:t>
            </w:r>
          </w:p>
        </w:tc>
        <w:tc>
          <w:tcPr>
            <w:tcW w:w="1254" w:type="dxa"/>
            <w:gridSpan w:val="2"/>
            <w:vAlign w:val="center"/>
          </w:tcPr>
          <w:p>
            <w:pPr>
              <w:jc w:val="center"/>
              <w:rPr>
                <w:b/>
                <w:kern w:val="0"/>
                <w:sz w:val="24"/>
                <w:szCs w:val="24"/>
              </w:rPr>
            </w:pPr>
            <w:r>
              <w:rPr>
                <w:rFonts w:hint="eastAsia" w:hAnsi="宋体"/>
                <w:b/>
                <w:kern w:val="0"/>
                <w:sz w:val="24"/>
                <w:szCs w:val="24"/>
              </w:rPr>
              <w:t>项目代码</w:t>
            </w:r>
          </w:p>
        </w:tc>
        <w:tc>
          <w:tcPr>
            <w:tcW w:w="3417" w:type="dxa"/>
            <w:gridSpan w:val="5"/>
            <w:vAlign w:val="center"/>
          </w:tcPr>
          <w:p>
            <w:pPr>
              <w:pStyle w:val="4"/>
              <w:spacing w:line="240" w:lineRule="auto"/>
              <w:rPr>
                <w:rFonts w:hint="eastAsia" w:eastAsia="宋体"/>
                <w:b w:val="0"/>
                <w:kern w:val="0"/>
                <w:lang w:eastAsia="zh-CN"/>
              </w:rPr>
            </w:pPr>
            <w:r>
              <w:rPr>
                <w:rFonts w:hint="eastAsia"/>
                <w:b w:val="0"/>
                <w:kern w:val="0"/>
                <w:sz w:val="24"/>
                <w:szCs w:val="24"/>
                <w:lang w:val="en-US" w:eastAsia="zh-CN"/>
              </w:rPr>
              <w:t>2020-320255-30-03-642164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建设性质</w:t>
            </w:r>
          </w:p>
        </w:tc>
        <w:tc>
          <w:tcPr>
            <w:tcW w:w="2601" w:type="dxa"/>
            <w:gridSpan w:val="5"/>
            <w:vAlign w:val="center"/>
          </w:tcPr>
          <w:p>
            <w:pPr>
              <w:jc w:val="center"/>
              <w:rPr>
                <w:kern w:val="0"/>
                <w:sz w:val="24"/>
                <w:szCs w:val="24"/>
              </w:rPr>
            </w:pPr>
            <w:r>
              <w:rPr>
                <w:rFonts w:hint="eastAsia" w:hAnsi="宋体"/>
                <w:kern w:val="0"/>
                <w:sz w:val="24"/>
                <w:szCs w:val="24"/>
                <w:lang w:eastAsia="zh-CN"/>
              </w:rPr>
              <w:t>改</w:t>
            </w:r>
            <w:r>
              <w:rPr>
                <w:rFonts w:hint="eastAsia" w:hAnsi="宋体"/>
                <w:kern w:val="0"/>
                <w:sz w:val="24"/>
                <w:szCs w:val="24"/>
              </w:rPr>
              <w:t>建</w:t>
            </w:r>
          </w:p>
        </w:tc>
        <w:tc>
          <w:tcPr>
            <w:tcW w:w="1254" w:type="dxa"/>
            <w:gridSpan w:val="2"/>
            <w:vAlign w:val="center"/>
          </w:tcPr>
          <w:p>
            <w:pPr>
              <w:jc w:val="center"/>
              <w:rPr>
                <w:b/>
                <w:kern w:val="0"/>
                <w:sz w:val="24"/>
                <w:szCs w:val="24"/>
              </w:rPr>
            </w:pPr>
            <w:r>
              <w:rPr>
                <w:rFonts w:hAnsi="宋体"/>
                <w:b/>
                <w:kern w:val="0"/>
                <w:sz w:val="24"/>
                <w:szCs w:val="24"/>
              </w:rPr>
              <w:t>行业类别</w:t>
            </w:r>
          </w:p>
          <w:p>
            <w:pPr>
              <w:jc w:val="center"/>
              <w:rPr>
                <w:b/>
                <w:kern w:val="0"/>
                <w:sz w:val="24"/>
                <w:szCs w:val="24"/>
              </w:rPr>
            </w:pPr>
            <w:r>
              <w:rPr>
                <w:rFonts w:hAnsi="宋体"/>
                <w:b/>
                <w:kern w:val="0"/>
                <w:sz w:val="24"/>
                <w:szCs w:val="24"/>
              </w:rPr>
              <w:t>及代码</w:t>
            </w:r>
          </w:p>
        </w:tc>
        <w:tc>
          <w:tcPr>
            <w:tcW w:w="3417" w:type="dxa"/>
            <w:gridSpan w:val="5"/>
            <w:vAlign w:val="center"/>
          </w:tcPr>
          <w:p>
            <w:pPr>
              <w:jc w:val="center"/>
              <w:rPr>
                <w:rFonts w:ascii="宋体" w:hAnsi="宋体" w:cs="宋体"/>
                <w:color w:val="000000"/>
                <w:sz w:val="22"/>
                <w:szCs w:val="22"/>
              </w:rPr>
            </w:pPr>
            <w:r>
              <w:rPr>
                <w:rFonts w:hint="eastAsia"/>
                <w:kern w:val="0"/>
                <w:sz w:val="24"/>
                <w:szCs w:val="24"/>
              </w:rPr>
              <w:t>C3073特种陶瓷制品制造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int="eastAsia" w:hAnsi="宋体"/>
                <w:b/>
                <w:kern w:val="0"/>
                <w:sz w:val="24"/>
                <w:szCs w:val="24"/>
              </w:rPr>
              <w:t>占地面积</w:t>
            </w:r>
          </w:p>
          <w:p>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pPr>
              <w:jc w:val="center"/>
              <w:rPr>
                <w:rFonts w:hint="default" w:eastAsia="宋体"/>
                <w:kern w:val="0"/>
                <w:sz w:val="24"/>
                <w:szCs w:val="24"/>
                <w:lang w:val="en-US" w:eastAsia="zh-CN"/>
              </w:rPr>
            </w:pPr>
            <w:r>
              <w:rPr>
                <w:rFonts w:hint="eastAsia"/>
                <w:kern w:val="0"/>
                <w:sz w:val="24"/>
                <w:szCs w:val="24"/>
                <w:lang w:val="en-US" w:eastAsia="zh-CN"/>
              </w:rPr>
              <w:t>1000</w:t>
            </w:r>
          </w:p>
        </w:tc>
        <w:tc>
          <w:tcPr>
            <w:tcW w:w="1254" w:type="dxa"/>
            <w:gridSpan w:val="2"/>
            <w:vAlign w:val="center"/>
          </w:tcPr>
          <w:p>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pPr>
              <w:jc w:val="center"/>
              <w:rPr>
                <w:kern w:val="0"/>
                <w:sz w:val="24"/>
                <w:szCs w:val="24"/>
                <w:lang w:val="en-US"/>
              </w:rPr>
            </w:pPr>
            <w:r>
              <w:rPr>
                <w:rFonts w:hint="eastAsia"/>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总投资</w:t>
            </w:r>
          </w:p>
          <w:p>
            <w:pPr>
              <w:jc w:val="center"/>
              <w:rPr>
                <w:b/>
                <w:kern w:val="0"/>
                <w:sz w:val="24"/>
                <w:szCs w:val="24"/>
              </w:rPr>
            </w:pPr>
            <w:r>
              <w:rPr>
                <w:rFonts w:hAnsi="宋体"/>
                <w:b/>
                <w:kern w:val="0"/>
                <w:sz w:val="24"/>
                <w:szCs w:val="24"/>
              </w:rPr>
              <w:t>（万元）</w:t>
            </w:r>
          </w:p>
        </w:tc>
        <w:tc>
          <w:tcPr>
            <w:tcW w:w="817" w:type="dxa"/>
            <w:gridSpan w:val="2"/>
            <w:vAlign w:val="center"/>
          </w:tcPr>
          <w:p>
            <w:pPr>
              <w:jc w:val="center"/>
              <w:rPr>
                <w:rFonts w:hint="default" w:eastAsia="宋体"/>
                <w:kern w:val="0"/>
                <w:sz w:val="24"/>
                <w:szCs w:val="24"/>
                <w:lang w:val="en-US" w:eastAsia="zh-CN"/>
              </w:rPr>
            </w:pPr>
            <w:r>
              <w:rPr>
                <w:rFonts w:hint="eastAsia"/>
                <w:kern w:val="0"/>
                <w:sz w:val="24"/>
                <w:szCs w:val="24"/>
                <w:lang w:val="en-US" w:eastAsia="zh-CN"/>
              </w:rPr>
              <w:t>520</w:t>
            </w:r>
          </w:p>
        </w:tc>
        <w:tc>
          <w:tcPr>
            <w:tcW w:w="1784" w:type="dxa"/>
            <w:gridSpan w:val="3"/>
            <w:vAlign w:val="center"/>
          </w:tcPr>
          <w:p>
            <w:pPr>
              <w:jc w:val="center"/>
              <w:rPr>
                <w:rFonts w:hAnsi="宋体"/>
                <w:b/>
                <w:kern w:val="0"/>
                <w:sz w:val="24"/>
                <w:szCs w:val="24"/>
              </w:rPr>
            </w:pPr>
            <w:r>
              <w:rPr>
                <w:rFonts w:hAnsi="宋体"/>
                <w:b/>
                <w:kern w:val="0"/>
                <w:sz w:val="24"/>
                <w:szCs w:val="24"/>
              </w:rPr>
              <w:t>其中：环保投资</w:t>
            </w:r>
          </w:p>
          <w:p>
            <w:pPr>
              <w:jc w:val="center"/>
              <w:rPr>
                <w:b/>
                <w:kern w:val="0"/>
                <w:sz w:val="24"/>
                <w:szCs w:val="24"/>
              </w:rPr>
            </w:pPr>
            <w:r>
              <w:rPr>
                <w:rFonts w:hAnsi="宋体"/>
                <w:b/>
                <w:kern w:val="0"/>
                <w:sz w:val="24"/>
                <w:szCs w:val="24"/>
              </w:rPr>
              <w:t>（万元）</w:t>
            </w:r>
          </w:p>
        </w:tc>
        <w:tc>
          <w:tcPr>
            <w:tcW w:w="1254" w:type="dxa"/>
            <w:gridSpan w:val="2"/>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16</w:t>
            </w:r>
          </w:p>
        </w:tc>
        <w:tc>
          <w:tcPr>
            <w:tcW w:w="1929" w:type="dxa"/>
            <w:gridSpan w:val="3"/>
            <w:vAlign w:val="center"/>
          </w:tcPr>
          <w:p>
            <w:pPr>
              <w:jc w:val="center"/>
              <w:rPr>
                <w:b/>
                <w:color w:val="auto"/>
                <w:kern w:val="0"/>
                <w:sz w:val="24"/>
                <w:szCs w:val="24"/>
              </w:rPr>
            </w:pPr>
            <w:r>
              <w:rPr>
                <w:rFonts w:hAnsi="宋体"/>
                <w:b/>
                <w:color w:val="auto"/>
                <w:kern w:val="0"/>
                <w:sz w:val="24"/>
                <w:szCs w:val="24"/>
              </w:rPr>
              <w:t>环保投资占总投资比例</w:t>
            </w:r>
          </w:p>
        </w:tc>
        <w:tc>
          <w:tcPr>
            <w:tcW w:w="1488" w:type="dxa"/>
            <w:gridSpan w:val="2"/>
            <w:vAlign w:val="center"/>
          </w:tcPr>
          <w:p>
            <w:pPr>
              <w:jc w:val="center"/>
              <w:rPr>
                <w:color w:val="auto"/>
                <w:kern w:val="0"/>
                <w:sz w:val="24"/>
                <w:szCs w:val="24"/>
                <w:lang w:val="en-US"/>
              </w:rPr>
            </w:pPr>
            <w:r>
              <w:rPr>
                <w:rFonts w:hint="eastAsia"/>
                <w:color w:val="auto"/>
                <w:kern w:val="0"/>
                <w:sz w:val="24"/>
                <w:szCs w:val="24"/>
                <w:lang w:val="en-US" w:eastAsia="zh-CN"/>
              </w:rPr>
              <w:t>3</w:t>
            </w:r>
            <w:r>
              <w:rPr>
                <w:rFonts w:hint="eastAsia"/>
                <w:color w:val="auto"/>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评价经费</w:t>
            </w:r>
          </w:p>
          <w:p>
            <w:pPr>
              <w:jc w:val="center"/>
              <w:rPr>
                <w:b/>
                <w:kern w:val="0"/>
                <w:sz w:val="24"/>
                <w:szCs w:val="24"/>
              </w:rPr>
            </w:pPr>
            <w:r>
              <w:rPr>
                <w:rFonts w:hAnsi="宋体"/>
                <w:b/>
                <w:kern w:val="0"/>
                <w:sz w:val="24"/>
                <w:szCs w:val="24"/>
              </w:rPr>
              <w:t>（万元）</w:t>
            </w:r>
          </w:p>
        </w:tc>
        <w:tc>
          <w:tcPr>
            <w:tcW w:w="817" w:type="dxa"/>
            <w:gridSpan w:val="2"/>
            <w:vAlign w:val="center"/>
          </w:tcPr>
          <w:p>
            <w:pPr>
              <w:jc w:val="center"/>
              <w:rPr>
                <w:kern w:val="0"/>
                <w:sz w:val="24"/>
                <w:szCs w:val="24"/>
              </w:rPr>
            </w:pPr>
            <w:r>
              <w:rPr>
                <w:rFonts w:hint="eastAsia"/>
                <w:kern w:val="0"/>
                <w:sz w:val="24"/>
                <w:szCs w:val="24"/>
              </w:rPr>
              <w:t>/</w:t>
            </w:r>
          </w:p>
        </w:tc>
        <w:tc>
          <w:tcPr>
            <w:tcW w:w="1784" w:type="dxa"/>
            <w:gridSpan w:val="3"/>
            <w:vAlign w:val="center"/>
          </w:tcPr>
          <w:p>
            <w:pPr>
              <w:jc w:val="center"/>
              <w:rPr>
                <w:b/>
                <w:kern w:val="0"/>
                <w:sz w:val="24"/>
                <w:szCs w:val="24"/>
              </w:rPr>
            </w:pPr>
            <w:r>
              <w:rPr>
                <w:rFonts w:hAnsi="宋体"/>
                <w:b/>
                <w:kern w:val="0"/>
                <w:sz w:val="24"/>
                <w:szCs w:val="24"/>
              </w:rPr>
              <w:t>预计投产日期</w:t>
            </w:r>
          </w:p>
        </w:tc>
        <w:tc>
          <w:tcPr>
            <w:tcW w:w="4671" w:type="dxa"/>
            <w:gridSpan w:val="7"/>
            <w:vAlign w:val="center"/>
          </w:tcPr>
          <w:p>
            <w:pPr>
              <w:jc w:val="center"/>
              <w:rPr>
                <w:kern w:val="0"/>
                <w:sz w:val="24"/>
                <w:szCs w:val="24"/>
                <w:lang w:val="en-US"/>
              </w:rPr>
            </w:pPr>
            <w:r>
              <w:rPr>
                <w:rFonts w:hAnsi="宋体"/>
                <w:kern w:val="0"/>
                <w:sz w:val="24"/>
                <w:szCs w:val="24"/>
              </w:rPr>
              <w:t>2020</w:t>
            </w:r>
            <w:r>
              <w:rPr>
                <w:rFonts w:hint="eastAsia" w:hAnsi="宋体"/>
                <w:kern w:val="0"/>
                <w:sz w:val="24"/>
                <w:szCs w:val="24"/>
              </w:rPr>
              <w:t>年</w:t>
            </w:r>
            <w:r>
              <w:rPr>
                <w:rFonts w:hint="eastAsia" w:hAnsi="宋体"/>
                <w:kern w:val="0"/>
                <w:sz w:val="24"/>
                <w:szCs w:val="24"/>
                <w:lang w:val="en-US"/>
              </w:rPr>
              <w:t>12</w:t>
            </w:r>
            <w:r>
              <w:rPr>
                <w:rFonts w:hint="eastAsia" w:hAnsi="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8580" w:type="dxa"/>
            <w:gridSpan w:val="13"/>
            <w:vAlign w:val="center"/>
          </w:tcPr>
          <w:p>
            <w:pPr>
              <w:spacing w:beforeLines="50" w:line="360" w:lineRule="auto"/>
              <w:outlineLvl w:val="2"/>
              <w:rPr>
                <w:b/>
                <w:bCs/>
                <w:spacing w:val="-4"/>
                <w:kern w:val="0"/>
                <w:sz w:val="24"/>
                <w:szCs w:val="24"/>
              </w:rPr>
            </w:pPr>
            <w:r>
              <w:rPr>
                <w:rFonts w:hAnsi="宋体"/>
                <w:b/>
                <w:bCs/>
                <w:kern w:val="0"/>
                <w:sz w:val="24"/>
                <w:szCs w:val="24"/>
              </w:rPr>
              <w:t>原辅材料（包括名称、用量）及主要设施规格、数量（包括锅炉、发电机等）</w:t>
            </w:r>
          </w:p>
          <w:p>
            <w:pPr>
              <w:autoSpaceDE w:val="0"/>
              <w:autoSpaceDN w:val="0"/>
              <w:adjustRightInd w:val="0"/>
              <w:spacing w:line="360" w:lineRule="auto"/>
              <w:jc w:val="left"/>
              <w:rPr>
                <w:rFonts w:hAnsi="宋体"/>
                <w:kern w:val="0"/>
                <w:sz w:val="24"/>
                <w:szCs w:val="24"/>
                <w:lang w:val="en-US"/>
              </w:rPr>
            </w:pPr>
            <w:r>
              <w:rPr>
                <w:rFonts w:hint="eastAsia" w:hAnsi="宋体"/>
                <w:kern w:val="0"/>
                <w:sz w:val="24"/>
                <w:szCs w:val="24"/>
                <w:lang w:val="en-US"/>
              </w:rPr>
              <w:t>一、原辅材料：</w:t>
            </w:r>
          </w:p>
          <w:p>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本项目所需的原辅材料为：详见</w:t>
            </w:r>
            <w:r>
              <w:rPr>
                <w:rFonts w:hint="eastAsia" w:hAnsi="宋体"/>
                <w:kern w:val="0"/>
                <w:sz w:val="24"/>
                <w:szCs w:val="24"/>
                <w:lang w:val="en-US"/>
              </w:rPr>
              <w:t>表1-2</w:t>
            </w:r>
            <w:r>
              <w:rPr>
                <w:rFonts w:hint="eastAsia"/>
                <w:kern w:val="0"/>
                <w:sz w:val="24"/>
                <w:szCs w:val="24"/>
                <w:lang w:val="en-US"/>
              </w:rPr>
              <w:t>。</w:t>
            </w:r>
          </w:p>
          <w:p>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pPr>
              <w:autoSpaceDE w:val="0"/>
              <w:autoSpaceDN w:val="0"/>
              <w:adjustRightInd w:val="0"/>
              <w:spacing w:line="360" w:lineRule="auto"/>
              <w:ind w:firstLine="480" w:firstLineChars="200"/>
              <w:jc w:val="left"/>
              <w:rPr>
                <w:rFonts w:hAnsi="宋体"/>
                <w:kern w:val="0"/>
                <w:sz w:val="24"/>
                <w:szCs w:val="24"/>
                <w:lang w:val="en-US"/>
              </w:rPr>
            </w:pPr>
            <w:r>
              <w:rPr>
                <w:rFonts w:hint="eastAsia" w:hAnsi="宋体"/>
                <w:kern w:val="0"/>
                <w:sz w:val="24"/>
                <w:szCs w:val="24"/>
                <w:lang w:val="en-US"/>
              </w:rPr>
              <w:t>本项目所需的主要设备见表1-4。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
                <w:bCs/>
                <w:kern w:val="0"/>
                <w:szCs w:val="21"/>
              </w:rPr>
            </w:pPr>
            <w:r>
              <w:rPr>
                <w:rFonts w:hAnsi="宋体"/>
                <w:b/>
                <w:bCs/>
                <w:kern w:val="0"/>
                <w:szCs w:val="21"/>
              </w:rPr>
              <w:t>名称</w:t>
            </w:r>
          </w:p>
        </w:tc>
        <w:tc>
          <w:tcPr>
            <w:tcW w:w="1894" w:type="dxa"/>
            <w:gridSpan w:val="3"/>
            <w:vAlign w:val="center"/>
          </w:tcPr>
          <w:p>
            <w:pPr>
              <w:jc w:val="center"/>
              <w:rPr>
                <w:b/>
                <w:bCs/>
                <w:kern w:val="0"/>
                <w:szCs w:val="21"/>
              </w:rPr>
            </w:pPr>
            <w:r>
              <w:rPr>
                <w:rFonts w:hAnsi="宋体"/>
                <w:b/>
                <w:bCs/>
                <w:kern w:val="0"/>
                <w:szCs w:val="21"/>
              </w:rPr>
              <w:t>消耗量</w:t>
            </w:r>
          </w:p>
        </w:tc>
        <w:tc>
          <w:tcPr>
            <w:tcW w:w="1961" w:type="dxa"/>
            <w:gridSpan w:val="5"/>
            <w:vAlign w:val="center"/>
          </w:tcPr>
          <w:p>
            <w:pPr>
              <w:jc w:val="center"/>
              <w:rPr>
                <w:b/>
                <w:bCs/>
                <w:kern w:val="0"/>
                <w:szCs w:val="21"/>
              </w:rPr>
            </w:pPr>
            <w:r>
              <w:rPr>
                <w:rFonts w:hAnsi="宋体"/>
                <w:b/>
                <w:bCs/>
                <w:kern w:val="0"/>
                <w:szCs w:val="21"/>
              </w:rPr>
              <w:t>名称</w:t>
            </w:r>
          </w:p>
        </w:tc>
        <w:tc>
          <w:tcPr>
            <w:tcW w:w="2737" w:type="dxa"/>
            <w:gridSpan w:val="3"/>
            <w:vAlign w:val="center"/>
          </w:tcPr>
          <w:p>
            <w:pPr>
              <w:jc w:val="center"/>
              <w:rPr>
                <w:b/>
                <w:bCs/>
                <w:kern w:val="0"/>
                <w:szCs w:val="21"/>
              </w:rPr>
            </w:pPr>
            <w:r>
              <w:rPr>
                <w:rFonts w:hAnsi="宋体"/>
                <w:b/>
                <w:bCs/>
                <w:kern w:val="0"/>
                <w:szCs w:val="21"/>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水（吨）</w:t>
            </w:r>
          </w:p>
        </w:tc>
        <w:tc>
          <w:tcPr>
            <w:tcW w:w="1894" w:type="dxa"/>
            <w:gridSpan w:val="3"/>
            <w:vAlign w:val="center"/>
          </w:tcPr>
          <w:p>
            <w:pPr>
              <w:jc w:val="center"/>
              <w:rPr>
                <w:rFonts w:hint="default" w:eastAsia="宋体"/>
                <w:bCs/>
                <w:kern w:val="0"/>
                <w:szCs w:val="21"/>
                <w:lang w:val="en-US" w:eastAsia="zh-CN"/>
              </w:rPr>
            </w:pPr>
            <w:r>
              <w:rPr>
                <w:rFonts w:hint="eastAsia"/>
                <w:bCs/>
                <w:kern w:val="0"/>
                <w:szCs w:val="21"/>
                <w:lang w:val="en-US" w:eastAsia="zh-CN"/>
              </w:rPr>
              <w:t>124.8</w:t>
            </w:r>
          </w:p>
        </w:tc>
        <w:tc>
          <w:tcPr>
            <w:tcW w:w="1961" w:type="dxa"/>
            <w:gridSpan w:val="5"/>
            <w:vAlign w:val="center"/>
          </w:tcPr>
          <w:p>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pPr>
              <w:jc w:val="center"/>
              <w:rPr>
                <w:bCs/>
                <w:kern w:val="0"/>
                <w:szCs w:val="21"/>
              </w:rPr>
            </w:pPr>
            <w:r>
              <w:rPr>
                <w:rFonts w:hint="eastAsia"/>
                <w:bCs/>
                <w:kern w:val="0"/>
                <w:szCs w:val="21"/>
                <w:lang w:val="en-US"/>
              </w:rPr>
              <w:t>39</w:t>
            </w:r>
            <w:r>
              <w:rPr>
                <w:rFonts w:hint="eastAsia"/>
                <w:bCs/>
                <w:kern w:val="0"/>
                <w:szCs w:val="21"/>
              </w:rPr>
              <w:t>万</w:t>
            </w:r>
          </w:p>
        </w:tc>
        <w:tc>
          <w:tcPr>
            <w:tcW w:w="1961" w:type="dxa"/>
            <w:gridSpan w:val="5"/>
            <w:vAlign w:val="center"/>
          </w:tcPr>
          <w:p>
            <w:pPr>
              <w:jc w:val="center"/>
              <w:rPr>
                <w:bCs/>
                <w:kern w:val="0"/>
                <w:szCs w:val="21"/>
              </w:rPr>
            </w:pPr>
            <w:r>
              <w:rPr>
                <w:rFonts w:hAnsi="宋体"/>
                <w:bCs/>
                <w:kern w:val="0"/>
                <w:szCs w:val="21"/>
              </w:rPr>
              <w:t>燃气（</w:t>
            </w:r>
            <w:r>
              <w:rPr>
                <w:rFonts w:hint="eastAsia" w:hAnsi="宋体"/>
                <w:bCs/>
                <w:kern w:val="0"/>
                <w:szCs w:val="21"/>
              </w:rPr>
              <w:t>m</w:t>
            </w:r>
            <w:r>
              <w:rPr>
                <w:rFonts w:hint="eastAsia" w:hAnsi="宋体"/>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rFonts w:hint="eastAsia"/>
                <w:bCs/>
                <w:kern w:val="0"/>
                <w:szCs w:val="21"/>
                <w:lang w:val="en-US" w:eastAsia="zh-CN"/>
              </w:rPr>
              <w:t>4</w:t>
            </w:r>
            <w:r>
              <w:rPr>
                <w:rFonts w:hint="eastAsia"/>
                <w:bCs/>
                <w:kern w:val="0"/>
                <w:szCs w:val="21"/>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pPr>
              <w:jc w:val="center"/>
              <w:rPr>
                <w:bCs/>
                <w:kern w:val="0"/>
                <w:szCs w:val="21"/>
              </w:rPr>
            </w:pPr>
            <w:r>
              <w:rPr>
                <w:bCs/>
                <w:kern w:val="0"/>
                <w:szCs w:val="21"/>
              </w:rPr>
              <w:t>/</w:t>
            </w:r>
          </w:p>
        </w:tc>
        <w:tc>
          <w:tcPr>
            <w:tcW w:w="1961" w:type="dxa"/>
            <w:gridSpan w:val="5"/>
            <w:vAlign w:val="center"/>
          </w:tcPr>
          <w:p>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580" w:type="dxa"/>
            <w:gridSpan w:val="13"/>
            <w:vAlign w:val="center"/>
          </w:tcPr>
          <w:p>
            <w:pPr>
              <w:autoSpaceDE w:val="0"/>
              <w:autoSpaceDN w:val="0"/>
              <w:adjustRightInd w:val="0"/>
              <w:spacing w:beforeLines="50" w:line="360" w:lineRule="auto"/>
              <w:jc w:val="left"/>
              <w:rPr>
                <w:b/>
                <w:bCs/>
                <w:spacing w:val="-4"/>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kern w:val="0"/>
                <w:sz w:val="24"/>
                <w:szCs w:val="24"/>
                <w:lang w:val="en-US"/>
              </w:rPr>
              <w:t>√</w:t>
            </w:r>
            <w:r>
              <w:rPr>
                <w:rFonts w:hAnsi="宋体"/>
                <w:kern w:val="0"/>
                <w:sz w:val="24"/>
                <w:szCs w:val="24"/>
                <w:lang w:val="en-US"/>
              </w:rPr>
              <w:t>）排水量及排放去向</w:t>
            </w:r>
          </w:p>
          <w:p>
            <w:pPr>
              <w:spacing w:line="360" w:lineRule="auto"/>
              <w:ind w:firstLine="480" w:firstLineChars="200"/>
              <w:rPr>
                <w:rFonts w:hAnsi="宋体"/>
                <w:sz w:val="24"/>
                <w:lang w:val="zh-CN"/>
              </w:rPr>
            </w:pPr>
            <w:r>
              <w:rPr>
                <w:rFonts w:hint="eastAsia" w:hAnsi="宋体"/>
                <w:kern w:val="0"/>
                <w:sz w:val="24"/>
                <w:szCs w:val="24"/>
                <w:lang w:val="en-US"/>
              </w:rPr>
              <w:t>建设项目的排水体制采用雨污分流制。本项目无生产废水</w:t>
            </w:r>
            <w:r>
              <w:rPr>
                <w:rFonts w:hint="eastAsia" w:hAnsi="宋体"/>
                <w:kern w:val="0"/>
                <w:sz w:val="24"/>
                <w:szCs w:val="24"/>
                <w:lang w:val="en-US" w:eastAsia="zh-CN"/>
              </w:rPr>
              <w:t>，仅有</w:t>
            </w:r>
            <w:r>
              <w:rPr>
                <w:rFonts w:hint="eastAsia" w:hAnsi="宋体"/>
                <w:kern w:val="0"/>
                <w:sz w:val="24"/>
                <w:szCs w:val="24"/>
                <w:lang w:val="en-US"/>
              </w:rPr>
              <w:t>职工的生活用水的消耗量约为</w:t>
            </w:r>
            <w:r>
              <w:rPr>
                <w:rFonts w:hint="eastAsia" w:hAnsi="宋体"/>
                <w:kern w:val="0"/>
                <w:sz w:val="24"/>
                <w:szCs w:val="24"/>
                <w:lang w:val="en-US" w:eastAsia="zh-CN"/>
              </w:rPr>
              <w:t>124.8</w:t>
            </w:r>
            <w:r>
              <w:rPr>
                <w:rFonts w:hint="eastAsia" w:hAnsi="宋体"/>
                <w:kern w:val="0"/>
                <w:sz w:val="24"/>
                <w:szCs w:val="24"/>
                <w:lang w:val="en-US"/>
              </w:rPr>
              <w:t>吨/年，产生生活污水</w:t>
            </w:r>
            <w:r>
              <w:rPr>
                <w:rFonts w:hint="eastAsia" w:hAnsi="宋体"/>
                <w:kern w:val="0"/>
                <w:sz w:val="24"/>
                <w:szCs w:val="24"/>
                <w:lang w:val="en-US" w:eastAsia="zh-CN"/>
              </w:rPr>
              <w:t>99.84</w:t>
            </w:r>
            <w:r>
              <w:rPr>
                <w:rFonts w:hint="eastAsia" w:hAnsi="宋体"/>
                <w:kern w:val="0"/>
                <w:sz w:val="24"/>
                <w:szCs w:val="24"/>
                <w:lang w:val="en-US"/>
              </w:rPr>
              <w:t>吨/年（按80%计算），生活污水排入宜兴市华骐污水处理有限公司集中处理，达标后尾水排入蠡河。</w:t>
            </w:r>
            <w:r>
              <w:rPr>
                <w:rFonts w:hAnsi="宋体"/>
                <w:sz w:val="24"/>
                <w:lang w:val="zh-CN"/>
              </w:rPr>
              <w:t>污水处理厂工艺流程图见第二章</w:t>
            </w:r>
            <w:r>
              <w:rPr>
                <w:rFonts w:hint="eastAsia"/>
                <w:sz w:val="24"/>
                <w:lang w:val="zh-CN"/>
              </w:rPr>
              <w:t>“</w:t>
            </w:r>
            <w:r>
              <w:rPr>
                <w:sz w:val="24"/>
              </w:rPr>
              <w:t>2.2.3</w:t>
            </w:r>
            <w:r>
              <w:rPr>
                <w:rFonts w:hint="eastAsia" w:hAnsi="宋体"/>
                <w:kern w:val="0"/>
                <w:sz w:val="24"/>
                <w:szCs w:val="24"/>
                <w:lang w:val="en-US"/>
              </w:rPr>
              <w:t>宜兴市华骐污水处理有限公司</w:t>
            </w:r>
            <w:r>
              <w:rPr>
                <w:rFonts w:hAnsi="宋体"/>
                <w:sz w:val="24"/>
                <w:szCs w:val="24"/>
              </w:rPr>
              <w:t>概况</w:t>
            </w:r>
            <w:r>
              <w:rPr>
                <w:rFonts w:hint="eastAsia"/>
                <w:sz w:val="24"/>
                <w:lang w:val="zh-CN"/>
              </w:rPr>
              <w:t>”</w:t>
            </w:r>
            <w:r>
              <w:rPr>
                <w:rFonts w:hAnsi="宋体"/>
                <w:sz w:val="24"/>
                <w:lang w:val="zh-CN"/>
              </w:rPr>
              <w:t>中的图</w:t>
            </w:r>
            <w:r>
              <w:rPr>
                <w:sz w:val="24"/>
                <w:lang w:val="zh-CN"/>
              </w:rPr>
              <w:t>2-1</w:t>
            </w:r>
            <w:r>
              <w:rPr>
                <w:rFonts w:hAnsi="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80" w:type="dxa"/>
            <w:gridSpan w:val="13"/>
            <w:vAlign w:val="center"/>
          </w:tcPr>
          <w:p>
            <w:pPr>
              <w:spacing w:line="360" w:lineRule="auto"/>
              <w:outlineLvl w:val="2"/>
              <w:rPr>
                <w:b/>
                <w:bCs/>
                <w:kern w:val="0"/>
                <w:sz w:val="24"/>
                <w:szCs w:val="24"/>
              </w:rPr>
            </w:pPr>
            <w:r>
              <w:rPr>
                <w:rFonts w:hAnsi="宋体"/>
                <w:b/>
                <w:bCs/>
                <w:kern w:val="0"/>
                <w:sz w:val="24"/>
                <w:szCs w:val="24"/>
              </w:rPr>
              <w:t>放射性同位素和伴有电磁辐射的设施使用情况</w:t>
            </w:r>
          </w:p>
          <w:p>
            <w:pPr>
              <w:spacing w:line="360" w:lineRule="auto"/>
              <w:ind w:firstLine="480" w:firstLineChars="200"/>
              <w:rPr>
                <w:b/>
                <w:bCs/>
                <w:kern w:val="0"/>
                <w:sz w:val="28"/>
                <w:szCs w:val="28"/>
              </w:rPr>
            </w:pPr>
            <w:r>
              <w:rPr>
                <w:rFonts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7" w:hRule="atLeast"/>
          <w:jc w:val="center"/>
        </w:trPr>
        <w:tc>
          <w:tcPr>
            <w:tcW w:w="8580" w:type="dxa"/>
            <w:gridSpan w:val="13"/>
          </w:tcPr>
          <w:p>
            <w:pPr>
              <w:spacing w:beforeLines="50" w:line="360" w:lineRule="auto"/>
              <w:rPr>
                <w:b/>
                <w:bCs/>
                <w:spacing w:val="-4"/>
                <w:kern w:val="0"/>
                <w:sz w:val="28"/>
                <w:szCs w:val="28"/>
              </w:rPr>
            </w:pPr>
            <w:r>
              <w:rPr>
                <w:rFonts w:hAnsi="宋体"/>
                <w:b/>
                <w:kern w:val="0"/>
                <w:sz w:val="28"/>
                <w:szCs w:val="28"/>
              </w:rPr>
              <w:t>工程内容及规模：</w:t>
            </w:r>
          </w:p>
          <w:p>
            <w:pPr>
              <w:spacing w:line="360" w:lineRule="auto"/>
              <w:ind w:firstLine="482" w:firstLineChars="200"/>
              <w:rPr>
                <w:b/>
                <w:kern w:val="0"/>
                <w:sz w:val="24"/>
                <w:szCs w:val="24"/>
              </w:rPr>
            </w:pPr>
            <w:r>
              <w:rPr>
                <w:b/>
                <w:kern w:val="0"/>
                <w:sz w:val="24"/>
                <w:szCs w:val="24"/>
              </w:rPr>
              <w:t>1</w:t>
            </w:r>
            <w:r>
              <w:rPr>
                <w:rFonts w:hAnsi="宋体"/>
                <w:b/>
                <w:kern w:val="0"/>
                <w:sz w:val="24"/>
                <w:szCs w:val="24"/>
              </w:rPr>
              <w:t>、项目</w:t>
            </w:r>
            <w:r>
              <w:rPr>
                <w:rFonts w:hint="eastAsia" w:hAnsi="宋体"/>
                <w:b/>
                <w:kern w:val="0"/>
                <w:sz w:val="24"/>
                <w:szCs w:val="24"/>
              </w:rPr>
              <w:t>由来</w:t>
            </w:r>
          </w:p>
          <w:p>
            <w:pPr>
              <w:spacing w:line="360" w:lineRule="auto"/>
              <w:ind w:firstLine="480" w:firstLineChars="200"/>
              <w:outlineLvl w:val="2"/>
              <w:rPr>
                <w:rFonts w:hint="eastAsia" w:hAnsi="宋体"/>
                <w:kern w:val="0"/>
                <w:sz w:val="24"/>
                <w:szCs w:val="24"/>
                <w:lang w:val="en-US" w:eastAsia="zh-CN"/>
              </w:rPr>
            </w:pPr>
            <w:r>
              <w:rPr>
                <w:rFonts w:hint="eastAsia" w:hAnsi="宋体"/>
                <w:kern w:val="0"/>
                <w:sz w:val="24"/>
                <w:szCs w:val="24"/>
                <w:lang w:eastAsia="zh-CN"/>
              </w:rPr>
              <w:t>宜兴市宜桥陶瓷有限公司位于</w:t>
            </w:r>
            <w:r>
              <w:rPr>
                <w:rFonts w:hint="eastAsia" w:hAnsi="宋体"/>
                <w:kern w:val="0"/>
                <w:sz w:val="24"/>
                <w:szCs w:val="24"/>
                <w:lang w:val="en-US" w:eastAsia="zh-CN"/>
              </w:rPr>
              <w:t>宜兴市丁蜀镇查林村</w:t>
            </w:r>
            <w:r>
              <w:rPr>
                <w:rFonts w:hint="eastAsia" w:hAnsi="宋体"/>
                <w:kern w:val="0"/>
                <w:sz w:val="24"/>
                <w:szCs w:val="24"/>
              </w:rPr>
              <w:t>，经营范围</w:t>
            </w:r>
            <w:r>
              <w:rPr>
                <w:rFonts w:hint="eastAsia" w:hAnsi="宋体"/>
                <w:kern w:val="0"/>
                <w:sz w:val="24"/>
                <w:szCs w:val="24"/>
                <w:lang w:val="en-US"/>
              </w:rPr>
              <w:t>为陶瓷制品的制造、加工；陶瓷原料、紫砂工艺品、日用陶瓷、耐火材料、电子产品、工业陶瓷、建筑陶瓷、五金电器、化工产品及原料（除危险化学品）的销售。</w:t>
            </w:r>
            <w:r>
              <w:rPr>
                <w:rFonts w:hint="eastAsia" w:hAnsi="宋体"/>
                <w:kern w:val="0"/>
                <w:sz w:val="24"/>
                <w:szCs w:val="24"/>
                <w:lang w:val="en-US" w:eastAsia="zh-CN"/>
              </w:rPr>
              <w:t>公司于2016年11月编制有《</w:t>
            </w:r>
            <w:r>
              <w:rPr>
                <w:rFonts w:hint="eastAsia" w:hAnsi="宋体"/>
                <w:kern w:val="0"/>
                <w:sz w:val="24"/>
                <w:szCs w:val="24"/>
                <w:lang w:eastAsia="zh-CN"/>
              </w:rPr>
              <w:t>宜兴市宜桥陶瓷有限公司</w:t>
            </w:r>
            <w:r>
              <w:rPr>
                <w:rFonts w:hint="eastAsia" w:hAnsi="宋体"/>
                <w:kern w:val="0"/>
                <w:sz w:val="24"/>
                <w:szCs w:val="24"/>
                <w:lang w:val="en-US" w:eastAsia="zh-CN"/>
              </w:rPr>
              <w:t>建设项目环境保护自查评估报告》，并于2016年11月26日通过宜兴市环保违法违规建设项目清理领导小组办公室审核同意纳入日常环境管理。</w:t>
            </w:r>
          </w:p>
          <w:p>
            <w:pPr>
              <w:spacing w:line="360" w:lineRule="auto"/>
              <w:ind w:firstLine="480" w:firstLineChars="200"/>
              <w:outlineLvl w:val="2"/>
              <w:rPr>
                <w:rFonts w:hint="eastAsia" w:hAnsi="宋体"/>
                <w:kern w:val="0"/>
                <w:sz w:val="24"/>
                <w:szCs w:val="24"/>
                <w:lang w:val="en-US"/>
              </w:rPr>
            </w:pPr>
            <w:r>
              <w:rPr>
                <w:rFonts w:hint="eastAsia" w:hAnsi="宋体"/>
                <w:kern w:val="0"/>
                <w:sz w:val="24"/>
                <w:szCs w:val="24"/>
                <w:lang w:val="en-US" w:eastAsia="zh-CN"/>
              </w:rPr>
              <w:t>现由于生产需要，公司拟投资520万元，购置喷雾造粒设备、干压机等设备进行陶瓷制品的制造改建项目的生产。</w:t>
            </w:r>
            <w:r>
              <w:rPr>
                <w:rFonts w:hint="eastAsia" w:hAnsi="宋体"/>
                <w:kern w:val="0"/>
                <w:sz w:val="24"/>
                <w:szCs w:val="24"/>
                <w:lang w:val="en-US"/>
              </w:rPr>
              <w:t>目前</w:t>
            </w:r>
            <w:r>
              <w:rPr>
                <w:rFonts w:hint="eastAsia" w:hAnsi="宋体"/>
                <w:kern w:val="0"/>
                <w:sz w:val="24"/>
                <w:szCs w:val="24"/>
                <w:lang w:val="en-US" w:eastAsia="zh-CN"/>
              </w:rPr>
              <w:t>该项目</w:t>
            </w:r>
            <w:r>
              <w:rPr>
                <w:rFonts w:hint="eastAsia" w:hAnsi="宋体"/>
                <w:kern w:val="0"/>
                <w:sz w:val="24"/>
                <w:szCs w:val="24"/>
                <w:lang w:val="en-US"/>
              </w:rPr>
              <w:t>已取得宜兴市丁蜀镇人民政府出具的江苏省投资项目备案证（备案证号</w:t>
            </w:r>
            <w:r>
              <w:rPr>
                <w:rFonts w:hint="eastAsia" w:hAnsi="宋体"/>
                <w:kern w:val="0"/>
                <w:sz w:val="24"/>
                <w:szCs w:val="24"/>
              </w:rPr>
              <w:t>宜兴市丁蜀镇人民政府</w:t>
            </w:r>
            <w:r>
              <w:rPr>
                <w:rFonts w:hint="eastAsia" w:hAnsi="宋体"/>
                <w:kern w:val="0"/>
                <w:sz w:val="24"/>
                <w:szCs w:val="24"/>
                <w:lang w:val="en-US"/>
              </w:rPr>
              <w:t>[2020] 1</w:t>
            </w:r>
            <w:r>
              <w:rPr>
                <w:rFonts w:hint="eastAsia" w:hAnsi="宋体"/>
                <w:kern w:val="0"/>
                <w:sz w:val="24"/>
                <w:szCs w:val="24"/>
                <w:lang w:val="en-US" w:eastAsia="zh-CN"/>
              </w:rPr>
              <w:t>26</w:t>
            </w:r>
            <w:r>
              <w:rPr>
                <w:rFonts w:hint="eastAsia" w:hAnsi="宋体"/>
                <w:kern w:val="0"/>
                <w:sz w:val="24"/>
                <w:szCs w:val="24"/>
                <w:lang w:val="en-US"/>
              </w:rPr>
              <w:t>号），同意</w:t>
            </w:r>
            <w:r>
              <w:rPr>
                <w:rFonts w:hAnsi="宋体"/>
                <w:kern w:val="0"/>
                <w:sz w:val="24"/>
                <w:szCs w:val="24"/>
                <w:lang w:val="en-US"/>
              </w:rPr>
              <w:t>企业</w:t>
            </w:r>
            <w:r>
              <w:rPr>
                <w:rFonts w:hint="eastAsia" w:hAnsi="宋体"/>
                <w:kern w:val="0"/>
                <w:sz w:val="24"/>
                <w:szCs w:val="24"/>
                <w:lang w:val="en-US"/>
              </w:rPr>
              <w:t>投资</w:t>
            </w:r>
            <w:r>
              <w:rPr>
                <w:rFonts w:hint="eastAsia" w:hAnsi="宋体"/>
                <w:kern w:val="0"/>
                <w:sz w:val="24"/>
                <w:szCs w:val="24"/>
                <w:lang w:val="en-US" w:eastAsia="zh-CN"/>
              </w:rPr>
              <w:t>520</w:t>
            </w:r>
            <w:r>
              <w:rPr>
                <w:rFonts w:hAnsi="宋体"/>
                <w:kern w:val="0"/>
                <w:sz w:val="24"/>
                <w:szCs w:val="24"/>
                <w:lang w:val="en-US"/>
              </w:rPr>
              <w:t>万元，</w:t>
            </w:r>
            <w:r>
              <w:rPr>
                <w:rFonts w:hint="eastAsia" w:hAnsi="宋体"/>
                <w:kern w:val="0"/>
                <w:sz w:val="24"/>
                <w:szCs w:val="24"/>
                <w:lang w:val="en-US"/>
              </w:rPr>
              <w:t>租用</w:t>
            </w:r>
            <w:r>
              <w:rPr>
                <w:rFonts w:hint="eastAsia" w:hAnsi="宋体"/>
                <w:kern w:val="0"/>
                <w:sz w:val="24"/>
                <w:szCs w:val="24"/>
                <w:lang w:val="en-US" w:eastAsia="zh-CN"/>
              </w:rPr>
              <w:t>宜兴市志远仪表元件有限公司位于丁蜀镇陶瓷产业园查林村内的闲置厂房</w:t>
            </w:r>
            <w:r>
              <w:rPr>
                <w:rFonts w:hint="eastAsia" w:hAnsi="宋体"/>
                <w:kern w:val="0"/>
                <w:sz w:val="24"/>
                <w:szCs w:val="24"/>
                <w:lang w:val="en-US"/>
              </w:rPr>
              <w:t>进行生产</w:t>
            </w:r>
            <w:r>
              <w:rPr>
                <w:rFonts w:hint="eastAsia" w:hAnsi="宋体"/>
                <w:kern w:val="0"/>
                <w:sz w:val="24"/>
                <w:szCs w:val="24"/>
                <w:lang w:val="en-US" w:eastAsia="zh-CN"/>
              </w:rPr>
              <w:t>，项目</w:t>
            </w:r>
            <w:r>
              <w:rPr>
                <w:rFonts w:hint="eastAsia" w:hAnsi="宋体"/>
                <w:kern w:val="0"/>
                <w:sz w:val="24"/>
                <w:szCs w:val="24"/>
                <w:lang w:val="en-US"/>
              </w:rPr>
              <w:t>建成后形成年加工</w:t>
            </w:r>
            <w:r>
              <w:rPr>
                <w:rFonts w:hint="eastAsia" w:hAnsi="宋体"/>
                <w:kern w:val="0"/>
                <w:sz w:val="24"/>
                <w:szCs w:val="24"/>
                <w:lang w:val="en-US" w:eastAsia="zh-CN"/>
              </w:rPr>
              <w:t>瓷件200万件</w:t>
            </w:r>
            <w:r>
              <w:rPr>
                <w:rFonts w:hint="eastAsia" w:hAnsi="宋体"/>
                <w:kern w:val="0"/>
                <w:sz w:val="24"/>
                <w:szCs w:val="24"/>
                <w:lang w:val="en-US"/>
              </w:rPr>
              <w:t>的生产能力。</w:t>
            </w:r>
          </w:p>
          <w:p>
            <w:pPr>
              <w:spacing w:line="360" w:lineRule="auto"/>
              <w:ind w:firstLine="480" w:firstLineChars="200"/>
              <w:outlineLvl w:val="2"/>
              <w:rPr>
                <w:rFonts w:hint="eastAsia" w:hAnsi="宋体"/>
                <w:kern w:val="0"/>
                <w:sz w:val="24"/>
                <w:szCs w:val="24"/>
              </w:rPr>
            </w:pPr>
            <w:r>
              <w:rPr>
                <w:rFonts w:hint="eastAsia" w:hAnsi="宋体"/>
                <w:kern w:val="0"/>
                <w:sz w:val="24"/>
                <w:szCs w:val="24"/>
              </w:rPr>
              <w:t>根据《中华人民共和国环境影响评价法》、国务院令第682号令《建设项目环境保护管理条例》和江苏省生态环境厅、无锡市生态环境局有关文件精神和规定，建设项目需办理环境影响评价手续。根据</w:t>
            </w:r>
            <w:r>
              <w:rPr>
                <w:rFonts w:hAnsi="宋体"/>
                <w:kern w:val="0"/>
                <w:sz w:val="24"/>
                <w:szCs w:val="24"/>
              </w:rPr>
              <w:t>生态环境部</w:t>
            </w:r>
            <w:r>
              <w:rPr>
                <w:rFonts w:hint="eastAsia" w:hAnsi="宋体"/>
                <w:kern w:val="0"/>
                <w:sz w:val="24"/>
                <w:szCs w:val="24"/>
              </w:rPr>
              <w:t>1号令《建设项目环境影响评价分类管理名录》（2018年修正），</w:t>
            </w:r>
            <w:r>
              <w:rPr>
                <w:rFonts w:hint="eastAsia" w:asciiTheme="minorEastAsia" w:hAnsiTheme="minorEastAsia" w:eastAsiaTheme="minorEastAsia"/>
                <w:sz w:val="24"/>
                <w:szCs w:val="24"/>
              </w:rPr>
              <w:t>本项目属于“十九、非金属矿物制品业</w:t>
            </w:r>
            <w:r>
              <w:rPr>
                <w:rFonts w:eastAsiaTheme="minorEastAsia"/>
                <w:sz w:val="24"/>
                <w:szCs w:val="24"/>
              </w:rPr>
              <w:t>54</w:t>
            </w:r>
            <w:r>
              <w:rPr>
                <w:rFonts w:asciiTheme="minorEastAsia" w:hAnsiTheme="minorEastAsia" w:eastAsiaTheme="minorEastAsia"/>
                <w:sz w:val="24"/>
                <w:szCs w:val="24"/>
              </w:rPr>
              <w:t>陶瓷制品”</w:t>
            </w:r>
            <w:r>
              <w:rPr>
                <w:rFonts w:asciiTheme="minorEastAsia" w:hAnsiTheme="minorEastAsia" w:eastAsiaTheme="minorEastAsia"/>
                <w:color w:val="000000"/>
                <w:sz w:val="24"/>
                <w:szCs w:val="24"/>
              </w:rPr>
              <w:t>“其他”类别，应编制</w:t>
            </w:r>
            <w:r>
              <w:rPr>
                <w:rFonts w:hint="eastAsia" w:asciiTheme="minorEastAsia" w:hAnsiTheme="minorEastAsia" w:eastAsiaTheme="minorEastAsia"/>
                <w:sz w:val="24"/>
                <w:szCs w:val="24"/>
              </w:rPr>
              <w:t>环境影响报告表</w:t>
            </w:r>
            <w:r>
              <w:rPr>
                <w:rFonts w:hint="eastAsia" w:hAnsi="宋体"/>
                <w:kern w:val="0"/>
                <w:sz w:val="24"/>
                <w:szCs w:val="24"/>
              </w:rPr>
              <w:t>。因此，</w:t>
            </w:r>
            <w:r>
              <w:rPr>
                <w:rFonts w:hint="eastAsia" w:hAnsi="宋体"/>
                <w:kern w:val="0"/>
                <w:sz w:val="24"/>
                <w:szCs w:val="24"/>
                <w:lang w:eastAsia="zh-CN"/>
              </w:rPr>
              <w:t>宜兴市宜桥陶瓷有限公司</w:t>
            </w:r>
            <w:r>
              <w:rPr>
                <w:rFonts w:hint="eastAsia" w:hAnsi="宋体"/>
                <w:kern w:val="0"/>
                <w:sz w:val="24"/>
                <w:szCs w:val="24"/>
              </w:rPr>
              <w:t>特委托浙江环耀环境建设有限公司承担该项目的环境影响报告表编制工作。我单位通过现场勘探调查、资料收集，并依据《环境影响评价技术导则》的要求编制了本项目的环境影响报告表，提请审查。</w:t>
            </w:r>
          </w:p>
          <w:p>
            <w:pPr>
              <w:spacing w:line="360" w:lineRule="auto"/>
              <w:ind w:firstLine="482" w:firstLineChars="200"/>
              <w:outlineLvl w:val="2"/>
              <w:rPr>
                <w:b/>
                <w:kern w:val="0"/>
                <w:sz w:val="24"/>
                <w:szCs w:val="24"/>
              </w:rPr>
            </w:pPr>
            <w:r>
              <w:rPr>
                <w:rFonts w:hint="eastAsia"/>
                <w:b/>
                <w:kern w:val="0"/>
                <w:sz w:val="24"/>
                <w:szCs w:val="24"/>
              </w:rPr>
              <w:t>2</w:t>
            </w:r>
            <w:r>
              <w:rPr>
                <w:rFonts w:hAnsi="宋体"/>
                <w:b/>
                <w:kern w:val="0"/>
                <w:sz w:val="24"/>
                <w:szCs w:val="24"/>
              </w:rPr>
              <w:t>、建设规模及内容</w:t>
            </w:r>
          </w:p>
          <w:p>
            <w:pPr>
              <w:spacing w:line="360" w:lineRule="auto"/>
              <w:ind w:firstLine="480" w:firstLineChars="200"/>
              <w:outlineLvl w:val="2"/>
              <w:rPr>
                <w:rFonts w:hAnsi="宋体"/>
                <w:kern w:val="0"/>
                <w:sz w:val="24"/>
                <w:szCs w:val="24"/>
                <w:lang w:val="en-US"/>
              </w:rPr>
            </w:pPr>
            <w:r>
              <w:rPr>
                <w:rFonts w:hint="eastAsia" w:hAnsi="宋体"/>
                <w:kern w:val="0"/>
                <w:sz w:val="24"/>
                <w:szCs w:val="24"/>
              </w:rPr>
              <w:t>本项</w:t>
            </w:r>
            <w:r>
              <w:rPr>
                <w:rFonts w:hint="eastAsia" w:hAnsi="宋体"/>
                <w:kern w:val="0"/>
                <w:sz w:val="24"/>
                <w:szCs w:val="24"/>
                <w:lang w:eastAsia="zh-CN"/>
              </w:rPr>
              <w:t>目新建</w:t>
            </w:r>
            <w:r>
              <w:rPr>
                <w:rFonts w:hint="eastAsia" w:hAnsi="宋体"/>
                <w:kern w:val="0"/>
                <w:sz w:val="24"/>
                <w:szCs w:val="24"/>
                <w:lang w:val="en-US" w:eastAsia="zh-CN"/>
              </w:rPr>
              <w:t>1座40米辊道窑，购置喷雾造粒设备、干压机等设备，</w:t>
            </w:r>
            <w:r>
              <w:rPr>
                <w:rFonts w:hint="eastAsia" w:hAnsi="宋体"/>
                <w:kern w:val="0"/>
                <w:sz w:val="24"/>
                <w:szCs w:val="24"/>
                <w:lang w:val="en-US"/>
              </w:rPr>
              <w:t>租用</w:t>
            </w:r>
            <w:r>
              <w:rPr>
                <w:rFonts w:hint="eastAsia" w:hAnsi="宋体"/>
                <w:kern w:val="0"/>
                <w:sz w:val="24"/>
                <w:szCs w:val="24"/>
                <w:lang w:val="en-US" w:eastAsia="zh-CN"/>
              </w:rPr>
              <w:t>宜兴市志远仪表元件有限公司陶瓷产业园查林村内闲置厂房1000m</w:t>
            </w:r>
            <w:r>
              <w:rPr>
                <w:rFonts w:hint="eastAsia" w:hAnsi="宋体"/>
                <w:kern w:val="0"/>
                <w:sz w:val="24"/>
                <w:szCs w:val="24"/>
                <w:vertAlign w:val="superscript"/>
                <w:lang w:val="en-US" w:eastAsia="zh-CN"/>
              </w:rPr>
              <w:t>2</w:t>
            </w:r>
            <w:r>
              <w:rPr>
                <w:rFonts w:hint="eastAsia" w:hAnsi="宋体"/>
                <w:kern w:val="0"/>
                <w:sz w:val="24"/>
                <w:szCs w:val="24"/>
                <w:lang w:val="en-US" w:eastAsia="zh-CN"/>
              </w:rPr>
              <w:t>，</w:t>
            </w:r>
            <w:r>
              <w:rPr>
                <w:rFonts w:hint="eastAsia" w:hAnsi="宋体"/>
                <w:kern w:val="0"/>
                <w:sz w:val="24"/>
                <w:szCs w:val="24"/>
                <w:lang w:val="en-US"/>
              </w:rPr>
              <w:t>形成年加工</w:t>
            </w:r>
            <w:r>
              <w:rPr>
                <w:rFonts w:hint="eastAsia" w:hAnsi="宋体"/>
                <w:kern w:val="0"/>
                <w:sz w:val="24"/>
                <w:szCs w:val="24"/>
                <w:lang w:val="en-US" w:eastAsia="zh-CN"/>
              </w:rPr>
              <w:t>瓷件200万件</w:t>
            </w:r>
            <w:r>
              <w:rPr>
                <w:rFonts w:hint="eastAsia" w:hAnsi="宋体"/>
                <w:kern w:val="0"/>
                <w:sz w:val="24"/>
                <w:szCs w:val="24"/>
                <w:lang w:val="en-US"/>
              </w:rPr>
              <w:t>的生产能力。</w:t>
            </w:r>
          </w:p>
          <w:p>
            <w:pPr>
              <w:spacing w:line="360" w:lineRule="auto"/>
              <w:ind w:firstLine="720" w:firstLineChars="300"/>
              <w:rPr>
                <w:kern w:val="0"/>
                <w:sz w:val="24"/>
                <w:szCs w:val="24"/>
                <w:lang w:val="en-US"/>
              </w:rPr>
            </w:pPr>
            <w:bookmarkStart w:id="8" w:name="_Toc412708035"/>
            <w:bookmarkStart w:id="9" w:name="_Toc411512764"/>
            <w:r>
              <w:rPr>
                <w:rFonts w:hint="eastAsia" w:hAnsi="宋体"/>
                <w:kern w:val="0"/>
                <w:sz w:val="24"/>
                <w:szCs w:val="24"/>
              </w:rPr>
              <w:t>建设项目</w:t>
            </w:r>
            <w:r>
              <w:rPr>
                <w:rFonts w:hint="eastAsia"/>
                <w:kern w:val="0"/>
                <w:sz w:val="24"/>
                <w:szCs w:val="24"/>
              </w:rPr>
              <w:t>主体工程及产品方案见表1-</w:t>
            </w:r>
            <w:r>
              <w:rPr>
                <w:rFonts w:hint="eastAsia"/>
                <w:kern w:val="0"/>
                <w:sz w:val="24"/>
                <w:szCs w:val="24"/>
                <w:lang w:val="en-US"/>
              </w:rPr>
              <w:t>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4"/>
                <w:szCs w:val="24"/>
              </w:rPr>
            </w:pPr>
            <w:r>
              <w:rPr>
                <w:rFonts w:hint="eastAsia"/>
                <w:b/>
                <w:color w:val="000000"/>
                <w:sz w:val="24"/>
                <w:szCs w:val="24"/>
              </w:rPr>
              <w:t>表1-1  主体工程及产品方案</w:t>
            </w:r>
          </w:p>
          <w:tbl>
            <w:tblPr>
              <w:tblStyle w:val="75"/>
              <w:tblW w:w="835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24"/>
              <w:gridCol w:w="1463"/>
              <w:gridCol w:w="1027"/>
              <w:gridCol w:w="1108"/>
              <w:gridCol w:w="1122"/>
              <w:gridCol w:w="13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4" w:type="dxa"/>
                  <w:vMerge w:val="restart"/>
                  <w:vAlign w:val="center"/>
                </w:tcPr>
                <w:p>
                  <w:pPr>
                    <w:jc w:val="center"/>
                    <w:rPr>
                      <w:b/>
                      <w:color w:val="000000"/>
                      <w:szCs w:val="21"/>
                    </w:rPr>
                  </w:pPr>
                  <w:r>
                    <w:rPr>
                      <w:rFonts w:hint="eastAsia" w:hAnsi="宋体"/>
                      <w:b/>
                      <w:color w:val="000000"/>
                      <w:szCs w:val="21"/>
                    </w:rPr>
                    <w:t>序号</w:t>
                  </w:r>
                </w:p>
              </w:tc>
              <w:tc>
                <w:tcPr>
                  <w:tcW w:w="1524" w:type="dxa"/>
                  <w:vMerge w:val="restart"/>
                  <w:vAlign w:val="center"/>
                </w:tcPr>
                <w:p>
                  <w:pPr>
                    <w:jc w:val="center"/>
                    <w:rPr>
                      <w:b/>
                      <w:color w:val="000000"/>
                      <w:szCs w:val="21"/>
                    </w:rPr>
                  </w:pPr>
                  <w:r>
                    <w:rPr>
                      <w:rFonts w:hint="eastAsia" w:hAnsi="宋体"/>
                      <w:b/>
                      <w:color w:val="000000"/>
                      <w:szCs w:val="21"/>
                    </w:rPr>
                    <w:t>工程名称（车间、生产装置或生产线）</w:t>
                  </w:r>
                </w:p>
              </w:tc>
              <w:tc>
                <w:tcPr>
                  <w:tcW w:w="1463" w:type="dxa"/>
                  <w:vMerge w:val="restart"/>
                  <w:vAlign w:val="center"/>
                </w:tcPr>
                <w:p>
                  <w:pPr>
                    <w:jc w:val="center"/>
                    <w:rPr>
                      <w:b/>
                      <w:color w:val="000000"/>
                      <w:szCs w:val="21"/>
                    </w:rPr>
                  </w:pPr>
                  <w:r>
                    <w:rPr>
                      <w:rFonts w:hint="eastAsia" w:hAnsi="宋体"/>
                      <w:b/>
                      <w:color w:val="000000"/>
                      <w:szCs w:val="21"/>
                    </w:rPr>
                    <w:t>产品名称</w:t>
                  </w:r>
                </w:p>
              </w:tc>
              <w:tc>
                <w:tcPr>
                  <w:tcW w:w="3257" w:type="dxa"/>
                  <w:gridSpan w:val="3"/>
                  <w:vAlign w:val="center"/>
                </w:tcPr>
                <w:p>
                  <w:pPr>
                    <w:jc w:val="center"/>
                    <w:rPr>
                      <w:b/>
                      <w:color w:val="000000"/>
                      <w:szCs w:val="21"/>
                    </w:rPr>
                  </w:pPr>
                  <w:r>
                    <w:rPr>
                      <w:rFonts w:hint="eastAsia" w:hAnsi="宋体"/>
                      <w:b/>
                      <w:color w:val="000000"/>
                      <w:szCs w:val="21"/>
                    </w:rPr>
                    <w:t>年设计能力</w:t>
                  </w:r>
                </w:p>
              </w:tc>
              <w:tc>
                <w:tcPr>
                  <w:tcW w:w="1344" w:type="dxa"/>
                  <w:vMerge w:val="restart"/>
                  <w:vAlign w:val="center"/>
                </w:tcPr>
                <w:p>
                  <w:pPr>
                    <w:jc w:val="center"/>
                    <w:rPr>
                      <w:b/>
                      <w:color w:val="000000"/>
                      <w:szCs w:val="21"/>
                    </w:rPr>
                  </w:pPr>
                  <w:r>
                    <w:rPr>
                      <w:rFonts w:hint="eastAsia" w:hAnsi="宋体"/>
                      <w:b/>
                      <w:color w:val="000000"/>
                      <w:szCs w:val="21"/>
                    </w:rPr>
                    <w:t>年运行</w:t>
                  </w:r>
                </w:p>
                <w:p>
                  <w:pPr>
                    <w:jc w:val="center"/>
                    <w:rPr>
                      <w:color w:val="000000"/>
                      <w:szCs w:val="21"/>
                    </w:rPr>
                  </w:pPr>
                  <w:r>
                    <w:rPr>
                      <w:rFonts w:hint="eastAsia" w:hAnsi="宋体"/>
                      <w:b/>
                      <w:color w:val="000000"/>
                      <w:szCs w:val="21"/>
                    </w:rPr>
                    <w:t>时数</w:t>
                  </w:r>
                  <w:r>
                    <w:rPr>
                      <w:b/>
                      <w:color w:val="000000"/>
                      <w:szCs w:val="21"/>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64" w:type="dxa"/>
                  <w:vMerge w:val="continue"/>
                  <w:vAlign w:val="center"/>
                </w:tcPr>
                <w:p>
                  <w:pPr>
                    <w:widowControl/>
                    <w:jc w:val="center"/>
                    <w:rPr>
                      <w:b/>
                      <w:color w:val="000000"/>
                      <w:szCs w:val="21"/>
                    </w:rPr>
                  </w:pPr>
                </w:p>
              </w:tc>
              <w:tc>
                <w:tcPr>
                  <w:tcW w:w="1524" w:type="dxa"/>
                  <w:vMerge w:val="continue"/>
                  <w:vAlign w:val="center"/>
                </w:tcPr>
                <w:p>
                  <w:pPr>
                    <w:widowControl/>
                    <w:jc w:val="center"/>
                    <w:rPr>
                      <w:b/>
                      <w:color w:val="000000"/>
                      <w:szCs w:val="21"/>
                    </w:rPr>
                  </w:pPr>
                </w:p>
              </w:tc>
              <w:tc>
                <w:tcPr>
                  <w:tcW w:w="1463" w:type="dxa"/>
                  <w:vMerge w:val="continue"/>
                  <w:vAlign w:val="center"/>
                </w:tcPr>
                <w:p>
                  <w:pPr>
                    <w:widowControl/>
                    <w:jc w:val="center"/>
                    <w:rPr>
                      <w:b/>
                      <w:color w:val="000000"/>
                      <w:szCs w:val="21"/>
                    </w:rPr>
                  </w:pPr>
                </w:p>
              </w:tc>
              <w:tc>
                <w:tcPr>
                  <w:tcW w:w="1027" w:type="dxa"/>
                  <w:vAlign w:val="center"/>
                </w:tcPr>
                <w:p>
                  <w:pPr>
                    <w:jc w:val="center"/>
                    <w:rPr>
                      <w:rFonts w:hAnsi="宋体"/>
                      <w:b/>
                      <w:color w:val="000000"/>
                      <w:szCs w:val="21"/>
                    </w:rPr>
                  </w:pPr>
                  <w:r>
                    <w:rPr>
                      <w:rFonts w:hint="eastAsia" w:hAnsi="宋体"/>
                      <w:b/>
                      <w:color w:val="000000"/>
                      <w:szCs w:val="21"/>
                      <w:lang w:eastAsia="zh-CN"/>
                    </w:rPr>
                    <w:t>改建</w:t>
                  </w:r>
                  <w:r>
                    <w:rPr>
                      <w:rFonts w:hint="eastAsia" w:hAnsi="宋体"/>
                      <w:b/>
                      <w:color w:val="000000"/>
                      <w:szCs w:val="21"/>
                    </w:rPr>
                    <w:t>前</w:t>
                  </w:r>
                </w:p>
              </w:tc>
              <w:tc>
                <w:tcPr>
                  <w:tcW w:w="1108" w:type="dxa"/>
                  <w:vAlign w:val="center"/>
                </w:tcPr>
                <w:p>
                  <w:pPr>
                    <w:jc w:val="center"/>
                    <w:rPr>
                      <w:rFonts w:hAnsi="宋体"/>
                      <w:b/>
                      <w:color w:val="000000"/>
                      <w:szCs w:val="21"/>
                    </w:rPr>
                  </w:pPr>
                  <w:r>
                    <w:rPr>
                      <w:rFonts w:hint="eastAsia" w:hAnsi="宋体"/>
                      <w:b/>
                      <w:color w:val="000000"/>
                      <w:szCs w:val="21"/>
                      <w:lang w:eastAsia="zh-CN"/>
                    </w:rPr>
                    <w:t>改建</w:t>
                  </w:r>
                  <w:r>
                    <w:rPr>
                      <w:rFonts w:hint="eastAsia" w:hAnsi="宋体"/>
                      <w:b/>
                      <w:color w:val="000000"/>
                      <w:szCs w:val="21"/>
                    </w:rPr>
                    <w:t>后</w:t>
                  </w:r>
                </w:p>
              </w:tc>
              <w:tc>
                <w:tcPr>
                  <w:tcW w:w="1122" w:type="dxa"/>
                  <w:vAlign w:val="center"/>
                </w:tcPr>
                <w:p>
                  <w:pPr>
                    <w:jc w:val="center"/>
                    <w:rPr>
                      <w:rFonts w:hAnsi="宋体"/>
                      <w:b/>
                      <w:color w:val="000000"/>
                      <w:szCs w:val="21"/>
                    </w:rPr>
                  </w:pPr>
                  <w:r>
                    <w:rPr>
                      <w:rFonts w:hint="eastAsia" w:hAnsi="宋体"/>
                      <w:b/>
                      <w:color w:val="000000"/>
                      <w:szCs w:val="21"/>
                    </w:rPr>
                    <w:t>增量</w:t>
                  </w:r>
                </w:p>
              </w:tc>
              <w:tc>
                <w:tcPr>
                  <w:tcW w:w="1344" w:type="dxa"/>
                  <w:vMerge w:val="continue"/>
                  <w:vAlign w:val="center"/>
                </w:tcPr>
                <w:p>
                  <w:pPr>
                    <w:widowControl/>
                    <w:jc w:val="center"/>
                    <w:rPr>
                      <w:color w:val="00000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szCs w:val="21"/>
                    </w:rPr>
                  </w:pPr>
                  <w:r>
                    <w:rPr>
                      <w:szCs w:val="21"/>
                    </w:rPr>
                    <w:t>1</w:t>
                  </w:r>
                </w:p>
              </w:tc>
              <w:tc>
                <w:tcPr>
                  <w:tcW w:w="1524" w:type="dxa"/>
                  <w:vAlign w:val="center"/>
                </w:tcPr>
                <w:p>
                  <w:pPr>
                    <w:jc w:val="center"/>
                    <w:rPr>
                      <w:rFonts w:hint="eastAsia" w:hAnsi="宋体" w:eastAsia="宋体"/>
                      <w:color w:val="000000"/>
                      <w:szCs w:val="21"/>
                      <w:lang w:eastAsia="zh-CN"/>
                    </w:rPr>
                  </w:pPr>
                  <w:r>
                    <w:rPr>
                      <w:rFonts w:hint="eastAsia" w:hAnsi="宋体"/>
                      <w:color w:val="000000"/>
                      <w:szCs w:val="21"/>
                    </w:rPr>
                    <w:t>生产车间</w:t>
                  </w:r>
                  <w:r>
                    <w:rPr>
                      <w:rFonts w:hint="eastAsia" w:hAnsi="宋体"/>
                      <w:color w:val="000000"/>
                      <w:szCs w:val="21"/>
                      <w:lang w:eastAsia="zh-CN"/>
                    </w:rPr>
                    <w:t>一</w:t>
                  </w:r>
                </w:p>
              </w:tc>
              <w:tc>
                <w:tcPr>
                  <w:tcW w:w="1463" w:type="dxa"/>
                  <w:vAlign w:val="center"/>
                </w:tcPr>
                <w:p>
                  <w:pPr>
                    <w:jc w:val="center"/>
                    <w:rPr>
                      <w:rFonts w:hAnsi="宋体"/>
                      <w:color w:val="000000"/>
                      <w:szCs w:val="21"/>
                    </w:rPr>
                  </w:pPr>
                  <w:r>
                    <w:rPr>
                      <w:rFonts w:hint="eastAsia" w:hAnsi="宋体"/>
                      <w:color w:val="000000"/>
                      <w:szCs w:val="21"/>
                      <w:lang w:val="en-US"/>
                    </w:rPr>
                    <w:t>瓷件</w:t>
                  </w:r>
                </w:p>
              </w:tc>
              <w:tc>
                <w:tcPr>
                  <w:tcW w:w="1027" w:type="dxa"/>
                  <w:vAlign w:val="center"/>
                </w:tcPr>
                <w:p>
                  <w:pPr>
                    <w:jc w:val="center"/>
                    <w:rPr>
                      <w:rFonts w:hint="default" w:eastAsia="宋体"/>
                      <w:szCs w:val="21"/>
                      <w:lang w:val="en-US" w:eastAsia="zh-CN"/>
                    </w:rPr>
                  </w:pPr>
                  <w:r>
                    <w:rPr>
                      <w:rFonts w:hint="eastAsia"/>
                      <w:szCs w:val="21"/>
                      <w:lang w:val="en-US" w:eastAsia="zh-CN"/>
                    </w:rPr>
                    <w:t>50吨</w:t>
                  </w:r>
                </w:p>
              </w:tc>
              <w:tc>
                <w:tcPr>
                  <w:tcW w:w="1108" w:type="dxa"/>
                  <w:vAlign w:val="center"/>
                </w:tcPr>
                <w:p>
                  <w:pPr>
                    <w:jc w:val="center"/>
                    <w:rPr>
                      <w:rFonts w:hint="eastAsia" w:eastAsia="宋体"/>
                      <w:szCs w:val="21"/>
                      <w:lang w:eastAsia="zh-CN"/>
                    </w:rPr>
                  </w:pPr>
                  <w:r>
                    <w:rPr>
                      <w:rFonts w:hint="eastAsia"/>
                      <w:szCs w:val="21"/>
                      <w:lang w:val="en-US" w:eastAsia="zh-CN"/>
                    </w:rPr>
                    <w:t>5</w:t>
                  </w:r>
                  <w:r>
                    <w:rPr>
                      <w:rFonts w:hint="eastAsia"/>
                      <w:szCs w:val="21"/>
                    </w:rPr>
                    <w:t>0</w:t>
                  </w:r>
                  <w:r>
                    <w:rPr>
                      <w:rFonts w:hint="eastAsia"/>
                      <w:szCs w:val="21"/>
                      <w:lang w:eastAsia="zh-CN"/>
                    </w:rPr>
                    <w:t>吨</w:t>
                  </w:r>
                </w:p>
              </w:tc>
              <w:tc>
                <w:tcPr>
                  <w:tcW w:w="1122" w:type="dxa"/>
                  <w:vAlign w:val="center"/>
                </w:tcPr>
                <w:p>
                  <w:pPr>
                    <w:jc w:val="center"/>
                    <w:rPr>
                      <w:szCs w:val="21"/>
                    </w:rPr>
                  </w:pPr>
                  <w:r>
                    <w:rPr>
                      <w:rFonts w:hint="eastAsia"/>
                      <w:szCs w:val="21"/>
                      <w:lang w:val="en-US" w:eastAsia="zh-CN"/>
                    </w:rPr>
                    <w:t>0</w:t>
                  </w:r>
                </w:p>
              </w:tc>
              <w:tc>
                <w:tcPr>
                  <w:tcW w:w="1344" w:type="dxa"/>
                  <w:vAlign w:val="center"/>
                </w:tcPr>
                <w:p>
                  <w:pPr>
                    <w:jc w:val="center"/>
                    <w:rPr>
                      <w:rFonts w:hint="eastAsia" w:eastAsia="方正仿宋_GBK"/>
                      <w:color w:val="000000"/>
                      <w:szCs w:val="21"/>
                      <w:lang w:val="en-US" w:eastAsia="zh-CN"/>
                    </w:rPr>
                  </w:pPr>
                  <w:r>
                    <w:rPr>
                      <w:rFonts w:hint="eastAsia" w:eastAsia="方正仿宋_GBK"/>
                      <w:szCs w:val="21"/>
                      <w:lang w:val="en-US" w:eastAsia="zh-CN"/>
                    </w:rPr>
                    <w:t>72</w:t>
                  </w:r>
                  <w:r>
                    <w:rPr>
                      <w:rFonts w:hint="eastAsia" w:eastAsia="方正仿宋_GBK"/>
                      <w:szCs w:val="21"/>
                    </w:rPr>
                    <w:t>00</w:t>
                  </w:r>
                  <w:r>
                    <w:rPr>
                      <w:rFonts w:hint="eastAsia" w:eastAsia="方正仿宋_GBK"/>
                      <w:szCs w:val="21"/>
                      <w:lang w:val="en-US" w:eastAsia="zh-CN"/>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64" w:type="dxa"/>
                  <w:vAlign w:val="center"/>
                </w:tcPr>
                <w:p>
                  <w:pPr>
                    <w:jc w:val="center"/>
                    <w:rPr>
                      <w:rFonts w:hint="eastAsia" w:eastAsia="宋体"/>
                      <w:szCs w:val="21"/>
                      <w:lang w:val="en-US" w:eastAsia="zh-CN"/>
                    </w:rPr>
                  </w:pPr>
                  <w:r>
                    <w:rPr>
                      <w:rFonts w:hint="eastAsia"/>
                      <w:szCs w:val="21"/>
                      <w:lang w:val="en-US" w:eastAsia="zh-CN"/>
                    </w:rPr>
                    <w:t>2</w:t>
                  </w:r>
                </w:p>
              </w:tc>
              <w:tc>
                <w:tcPr>
                  <w:tcW w:w="1524" w:type="dxa"/>
                  <w:vAlign w:val="center"/>
                </w:tcPr>
                <w:p>
                  <w:pPr>
                    <w:jc w:val="center"/>
                    <w:rPr>
                      <w:rFonts w:hint="eastAsia" w:hAnsi="宋体" w:eastAsia="宋体"/>
                      <w:color w:val="000000"/>
                      <w:szCs w:val="21"/>
                      <w:lang w:eastAsia="zh-CN"/>
                    </w:rPr>
                  </w:pPr>
                  <w:r>
                    <w:rPr>
                      <w:rFonts w:hint="eastAsia" w:hAnsi="宋体"/>
                      <w:color w:val="000000"/>
                      <w:szCs w:val="21"/>
                      <w:lang w:eastAsia="zh-CN"/>
                    </w:rPr>
                    <w:t>生产车间二</w:t>
                  </w:r>
                </w:p>
              </w:tc>
              <w:tc>
                <w:tcPr>
                  <w:tcW w:w="1463" w:type="dxa"/>
                  <w:vAlign w:val="center"/>
                </w:tcPr>
                <w:p>
                  <w:pPr>
                    <w:jc w:val="center"/>
                    <w:rPr>
                      <w:rFonts w:hint="eastAsia" w:hAnsi="宋体" w:eastAsia="宋体"/>
                      <w:color w:val="000000"/>
                      <w:szCs w:val="21"/>
                      <w:lang w:val="en-US" w:eastAsia="zh-CN"/>
                    </w:rPr>
                  </w:pPr>
                  <w:r>
                    <w:rPr>
                      <w:rFonts w:hint="eastAsia" w:hAnsi="宋体"/>
                      <w:color w:val="000000"/>
                      <w:szCs w:val="21"/>
                      <w:lang w:val="en-US" w:eastAsia="zh-CN"/>
                    </w:rPr>
                    <w:t>瓷件</w:t>
                  </w:r>
                </w:p>
              </w:tc>
              <w:tc>
                <w:tcPr>
                  <w:tcW w:w="1027" w:type="dxa"/>
                  <w:vAlign w:val="center"/>
                </w:tcPr>
                <w:p>
                  <w:pPr>
                    <w:jc w:val="center"/>
                    <w:rPr>
                      <w:rFonts w:hint="eastAsia" w:eastAsia="宋体"/>
                      <w:szCs w:val="21"/>
                      <w:lang w:val="en-US" w:eastAsia="zh-CN"/>
                    </w:rPr>
                  </w:pPr>
                  <w:r>
                    <w:rPr>
                      <w:rFonts w:hint="eastAsia"/>
                      <w:szCs w:val="21"/>
                      <w:lang w:val="en-US" w:eastAsia="zh-CN"/>
                    </w:rPr>
                    <w:t>0</w:t>
                  </w:r>
                </w:p>
              </w:tc>
              <w:tc>
                <w:tcPr>
                  <w:tcW w:w="1108" w:type="dxa"/>
                  <w:vAlign w:val="center"/>
                </w:tcPr>
                <w:p>
                  <w:pPr>
                    <w:jc w:val="center"/>
                    <w:rPr>
                      <w:rFonts w:hint="default" w:eastAsia="宋体"/>
                      <w:szCs w:val="21"/>
                      <w:lang w:val="en-US" w:eastAsia="zh-CN"/>
                    </w:rPr>
                  </w:pPr>
                  <w:r>
                    <w:rPr>
                      <w:rFonts w:hint="eastAsia"/>
                      <w:szCs w:val="21"/>
                      <w:lang w:val="en-US" w:eastAsia="zh-CN"/>
                    </w:rPr>
                    <w:t>200万件</w:t>
                  </w:r>
                </w:p>
              </w:tc>
              <w:tc>
                <w:tcPr>
                  <w:tcW w:w="1122" w:type="dxa"/>
                  <w:vAlign w:val="center"/>
                </w:tcPr>
                <w:p>
                  <w:pPr>
                    <w:jc w:val="center"/>
                    <w:rPr>
                      <w:rFonts w:hint="eastAsia"/>
                      <w:szCs w:val="21"/>
                    </w:rPr>
                  </w:pPr>
                  <w:r>
                    <w:rPr>
                      <w:rFonts w:hint="eastAsia"/>
                      <w:szCs w:val="21"/>
                      <w:lang w:val="en-US" w:eastAsia="zh-CN"/>
                    </w:rPr>
                    <w:t>+200万件</w:t>
                  </w:r>
                </w:p>
              </w:tc>
              <w:tc>
                <w:tcPr>
                  <w:tcW w:w="1344" w:type="dxa"/>
                  <w:vAlign w:val="center"/>
                </w:tcPr>
                <w:p>
                  <w:pPr>
                    <w:jc w:val="center"/>
                    <w:rPr>
                      <w:rFonts w:hint="default" w:eastAsia="方正仿宋_GBK"/>
                      <w:szCs w:val="21"/>
                      <w:lang w:val="en-US" w:eastAsia="zh-CN"/>
                    </w:rPr>
                  </w:pPr>
                  <w:r>
                    <w:rPr>
                      <w:rFonts w:hint="eastAsia" w:eastAsia="方正仿宋_GBK"/>
                      <w:szCs w:val="21"/>
                      <w:lang w:val="en-US" w:eastAsia="zh-CN"/>
                    </w:rPr>
                    <w:t>7200h</w:t>
                  </w:r>
                </w:p>
              </w:tc>
            </w:tr>
          </w:tbl>
          <w:p>
            <w:pPr>
              <w:spacing w:beforeLines="50" w:line="360" w:lineRule="auto"/>
              <w:ind w:firstLine="480" w:firstLineChars="200"/>
              <w:rPr>
                <w:kern w:val="0"/>
                <w:sz w:val="24"/>
                <w:szCs w:val="24"/>
              </w:rPr>
            </w:pPr>
            <w:r>
              <w:rPr>
                <w:kern w:val="0"/>
                <w:sz w:val="24"/>
                <w:szCs w:val="24"/>
              </w:rPr>
              <w:t>建设项目主要原辅材料消耗见表1-</w:t>
            </w:r>
            <w:r>
              <w:rPr>
                <w:kern w:val="0"/>
                <w:sz w:val="24"/>
                <w:szCs w:val="24"/>
                <w:lang w:val="en-US"/>
              </w:rPr>
              <w:t>2</w:t>
            </w:r>
            <w:r>
              <w:rPr>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sz w:val="24"/>
                <w:szCs w:val="24"/>
              </w:rPr>
            </w:pPr>
            <w:r>
              <w:rPr>
                <w:rFonts w:hint="eastAsia"/>
                <w:b/>
                <w:color w:val="000000"/>
                <w:sz w:val="24"/>
                <w:szCs w:val="24"/>
              </w:rPr>
              <w:t>表1-2  主要原辅材料消耗表</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24"/>
              <w:gridCol w:w="1890"/>
              <w:gridCol w:w="2364"/>
              <w:gridCol w:w="118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8" w:type="pct"/>
                  <w:vAlign w:val="center"/>
                </w:tcPr>
                <w:p>
                  <w:pPr>
                    <w:jc w:val="center"/>
                    <w:rPr>
                      <w:b/>
                      <w:bCs/>
                    </w:rPr>
                  </w:pPr>
                  <w:r>
                    <w:rPr>
                      <w:rFonts w:hint="eastAsia"/>
                      <w:b/>
                      <w:bCs/>
                    </w:rPr>
                    <w:t>序号</w:t>
                  </w:r>
                </w:p>
              </w:tc>
              <w:tc>
                <w:tcPr>
                  <w:tcW w:w="1270" w:type="pct"/>
                  <w:vAlign w:val="center"/>
                </w:tcPr>
                <w:p>
                  <w:pPr>
                    <w:jc w:val="center"/>
                    <w:rPr>
                      <w:b/>
                      <w:bCs/>
                    </w:rPr>
                  </w:pPr>
                  <w:r>
                    <w:rPr>
                      <w:rFonts w:hint="eastAsia"/>
                      <w:b/>
                      <w:bCs/>
                    </w:rPr>
                    <w:t>名称</w:t>
                  </w:r>
                </w:p>
              </w:tc>
              <w:tc>
                <w:tcPr>
                  <w:tcW w:w="1130" w:type="pct"/>
                  <w:vAlign w:val="center"/>
                </w:tcPr>
                <w:p>
                  <w:pPr>
                    <w:jc w:val="center"/>
                    <w:rPr>
                      <w:b/>
                      <w:bCs/>
                    </w:rPr>
                  </w:pPr>
                  <w:r>
                    <w:rPr>
                      <w:rFonts w:hint="eastAsia"/>
                      <w:b/>
                      <w:bCs/>
                    </w:rPr>
                    <w:t>单位</w:t>
                  </w:r>
                </w:p>
              </w:tc>
              <w:tc>
                <w:tcPr>
                  <w:tcW w:w="1413" w:type="pct"/>
                  <w:vAlign w:val="center"/>
                </w:tcPr>
                <w:p>
                  <w:pPr>
                    <w:jc w:val="center"/>
                    <w:rPr>
                      <w:b/>
                      <w:bCs/>
                    </w:rPr>
                  </w:pPr>
                  <w:r>
                    <w:rPr>
                      <w:rFonts w:hint="eastAsia"/>
                      <w:b/>
                      <w:bCs/>
                    </w:rPr>
                    <w:t>年耗量</w:t>
                  </w:r>
                </w:p>
              </w:tc>
              <w:tc>
                <w:tcPr>
                  <w:tcW w:w="707" w:type="pct"/>
                  <w:vAlign w:val="center"/>
                </w:tcPr>
                <w:p>
                  <w:pPr>
                    <w:jc w:val="center"/>
                    <w:rPr>
                      <w:b/>
                      <w:bCs/>
                    </w:rPr>
                  </w:pPr>
                  <w:r>
                    <w:rPr>
                      <w:rFonts w:hint="eastAsia"/>
                      <w:b/>
                      <w:bCs/>
                      <w:lang w:val="en-US"/>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8" w:type="pct"/>
                  <w:vAlign w:val="center"/>
                </w:tcPr>
                <w:p>
                  <w:pPr>
                    <w:jc w:val="center"/>
                    <w:rPr>
                      <w:bCs/>
                    </w:rPr>
                  </w:pPr>
                  <w:r>
                    <w:rPr>
                      <w:rFonts w:hint="eastAsia"/>
                      <w:bCs/>
                    </w:rPr>
                    <w:t>1</w:t>
                  </w:r>
                </w:p>
              </w:tc>
              <w:tc>
                <w:tcPr>
                  <w:tcW w:w="1270" w:type="pct"/>
                  <w:vAlign w:val="center"/>
                </w:tcPr>
                <w:p>
                  <w:pPr>
                    <w:jc w:val="center"/>
                    <w:rPr>
                      <w:rFonts w:hint="eastAsia" w:eastAsia="宋体"/>
                      <w:b w:val="0"/>
                      <w:bCs w:val="0"/>
                      <w:lang w:eastAsia="zh-CN"/>
                    </w:rPr>
                  </w:pPr>
                  <w:r>
                    <w:rPr>
                      <w:rFonts w:hint="eastAsia"/>
                      <w:b w:val="0"/>
                      <w:bCs w:val="0"/>
                    </w:rPr>
                    <w:t>滑石</w:t>
                  </w:r>
                  <w:r>
                    <w:rPr>
                      <w:rFonts w:hint="eastAsia"/>
                      <w:b w:val="0"/>
                      <w:bCs w:val="0"/>
                      <w:lang w:eastAsia="zh-CN"/>
                    </w:rPr>
                    <w:t>粉</w:t>
                  </w:r>
                </w:p>
              </w:tc>
              <w:tc>
                <w:tcPr>
                  <w:tcW w:w="1130" w:type="pct"/>
                  <w:vAlign w:val="center"/>
                </w:tcPr>
                <w:p>
                  <w:pPr>
                    <w:jc w:val="center"/>
                    <w:rPr>
                      <w:rFonts w:hint="eastAsia" w:eastAsia="宋体"/>
                      <w:b w:val="0"/>
                      <w:bCs w:val="0"/>
                      <w:lang w:eastAsia="zh-CN"/>
                    </w:rPr>
                  </w:pPr>
                  <w:r>
                    <w:rPr>
                      <w:rFonts w:hint="eastAsia"/>
                      <w:b w:val="0"/>
                      <w:bCs w:val="0"/>
                      <w:lang w:eastAsia="zh-CN"/>
                    </w:rPr>
                    <w:t>吨</w:t>
                  </w:r>
                </w:p>
              </w:tc>
              <w:tc>
                <w:tcPr>
                  <w:tcW w:w="1413" w:type="pct"/>
                  <w:vAlign w:val="center"/>
                </w:tcPr>
                <w:p>
                  <w:pPr>
                    <w:jc w:val="center"/>
                    <w:rPr>
                      <w:rFonts w:hint="default" w:eastAsia="宋体"/>
                      <w:b w:val="0"/>
                      <w:bCs w:val="0"/>
                      <w:lang w:val="en-US" w:eastAsia="zh-CN"/>
                    </w:rPr>
                  </w:pPr>
                  <w:r>
                    <w:rPr>
                      <w:rFonts w:hint="eastAsia"/>
                      <w:b w:val="0"/>
                      <w:bCs w:val="0"/>
                      <w:lang w:val="en-US" w:eastAsia="zh-CN"/>
                    </w:rPr>
                    <w:t>1000</w:t>
                  </w:r>
                </w:p>
              </w:tc>
              <w:tc>
                <w:tcPr>
                  <w:tcW w:w="707" w:type="pct"/>
                  <w:vMerge w:val="restart"/>
                  <w:vAlign w:val="center"/>
                </w:tcPr>
                <w:p>
                  <w:pPr>
                    <w:pStyle w:val="183"/>
                    <w:jc w:val="center"/>
                  </w:pPr>
                  <w:r>
                    <w:rPr>
                      <w:rFonts w:hint="eastAsia"/>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8" w:type="pct"/>
                  <w:vAlign w:val="center"/>
                </w:tcPr>
                <w:p>
                  <w:pPr>
                    <w:jc w:val="center"/>
                    <w:rPr>
                      <w:bCs/>
                    </w:rPr>
                  </w:pPr>
                  <w:r>
                    <w:rPr>
                      <w:rFonts w:hint="eastAsia"/>
                      <w:bCs/>
                    </w:rPr>
                    <w:t>2</w:t>
                  </w:r>
                </w:p>
              </w:tc>
              <w:tc>
                <w:tcPr>
                  <w:tcW w:w="1270" w:type="pct"/>
                  <w:vAlign w:val="center"/>
                </w:tcPr>
                <w:p>
                  <w:pPr>
                    <w:jc w:val="center"/>
                    <w:rPr>
                      <w:rFonts w:hint="eastAsia" w:eastAsia="宋体"/>
                      <w:b w:val="0"/>
                      <w:bCs w:val="0"/>
                      <w:lang w:eastAsia="zh-CN"/>
                    </w:rPr>
                  </w:pPr>
                  <w:r>
                    <w:rPr>
                      <w:rFonts w:hint="eastAsia"/>
                      <w:b w:val="0"/>
                      <w:bCs w:val="0"/>
                      <w:lang w:eastAsia="zh-CN"/>
                    </w:rPr>
                    <w:t>高岭土</w:t>
                  </w:r>
                </w:p>
              </w:tc>
              <w:tc>
                <w:tcPr>
                  <w:tcW w:w="1130" w:type="pct"/>
                  <w:vAlign w:val="center"/>
                </w:tcPr>
                <w:p>
                  <w:pPr>
                    <w:jc w:val="center"/>
                    <w:rPr>
                      <w:rFonts w:hint="eastAsia" w:eastAsia="宋体"/>
                      <w:b w:val="0"/>
                      <w:bCs w:val="0"/>
                      <w:lang w:eastAsia="zh-CN"/>
                    </w:rPr>
                  </w:pPr>
                  <w:r>
                    <w:rPr>
                      <w:rFonts w:hint="eastAsia"/>
                      <w:b w:val="0"/>
                      <w:bCs w:val="0"/>
                      <w:lang w:eastAsia="zh-CN"/>
                    </w:rPr>
                    <w:t>吨</w:t>
                  </w:r>
                </w:p>
              </w:tc>
              <w:tc>
                <w:tcPr>
                  <w:tcW w:w="1413" w:type="pct"/>
                  <w:vAlign w:val="center"/>
                </w:tcPr>
                <w:p>
                  <w:pPr>
                    <w:jc w:val="center"/>
                    <w:rPr>
                      <w:rFonts w:hint="default" w:eastAsia="宋体"/>
                      <w:b w:val="0"/>
                      <w:bCs w:val="0"/>
                      <w:lang w:val="en-US" w:eastAsia="zh-CN"/>
                    </w:rPr>
                  </w:pPr>
                  <w:r>
                    <w:rPr>
                      <w:rFonts w:hint="eastAsia"/>
                      <w:b w:val="0"/>
                      <w:bCs w:val="0"/>
                      <w:lang w:val="en-US" w:eastAsia="zh-CN"/>
                    </w:rPr>
                    <w:t>50</w:t>
                  </w:r>
                </w:p>
              </w:tc>
              <w:tc>
                <w:tcPr>
                  <w:tcW w:w="707" w:type="pct"/>
                  <w:vMerge w:val="continue"/>
                  <w:vAlign w:val="center"/>
                </w:tcPr>
                <w:p>
                  <w:pPr>
                    <w:jc w:val="center"/>
                    <w:rPr>
                      <w:b/>
                      <w:bC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8" w:type="pct"/>
                  <w:vAlign w:val="center"/>
                </w:tcPr>
                <w:p>
                  <w:pPr>
                    <w:jc w:val="center"/>
                    <w:rPr>
                      <w:bCs/>
                    </w:rPr>
                  </w:pPr>
                  <w:r>
                    <w:rPr>
                      <w:rFonts w:hint="eastAsia"/>
                      <w:bCs/>
                    </w:rPr>
                    <w:t>3</w:t>
                  </w:r>
                </w:p>
              </w:tc>
              <w:tc>
                <w:tcPr>
                  <w:tcW w:w="1270" w:type="pct"/>
                  <w:vAlign w:val="center"/>
                </w:tcPr>
                <w:p>
                  <w:pPr>
                    <w:jc w:val="center"/>
                    <w:rPr>
                      <w:rFonts w:hint="eastAsia" w:eastAsia="宋体"/>
                      <w:b w:val="0"/>
                      <w:bCs w:val="0"/>
                      <w:lang w:eastAsia="zh-CN"/>
                    </w:rPr>
                  </w:pPr>
                  <w:r>
                    <w:rPr>
                      <w:rFonts w:hint="eastAsia"/>
                      <w:b w:val="0"/>
                      <w:bCs w:val="0"/>
                      <w:lang w:eastAsia="zh-CN"/>
                    </w:rPr>
                    <w:t>碳酸钡</w:t>
                  </w:r>
                </w:p>
              </w:tc>
              <w:tc>
                <w:tcPr>
                  <w:tcW w:w="1130" w:type="pct"/>
                  <w:vAlign w:val="center"/>
                </w:tcPr>
                <w:p>
                  <w:pPr>
                    <w:jc w:val="center"/>
                    <w:rPr>
                      <w:rFonts w:hint="eastAsia" w:eastAsia="宋体"/>
                      <w:b w:val="0"/>
                      <w:bCs w:val="0"/>
                      <w:lang w:eastAsia="zh-CN"/>
                    </w:rPr>
                  </w:pPr>
                  <w:r>
                    <w:rPr>
                      <w:rFonts w:hint="eastAsia"/>
                      <w:b w:val="0"/>
                      <w:bCs w:val="0"/>
                      <w:lang w:eastAsia="zh-CN"/>
                    </w:rPr>
                    <w:t>吨</w:t>
                  </w:r>
                </w:p>
              </w:tc>
              <w:tc>
                <w:tcPr>
                  <w:tcW w:w="1413" w:type="pct"/>
                  <w:vAlign w:val="center"/>
                </w:tcPr>
                <w:p>
                  <w:pPr>
                    <w:jc w:val="center"/>
                    <w:rPr>
                      <w:rFonts w:hint="default" w:eastAsia="宋体"/>
                      <w:b w:val="0"/>
                      <w:bCs w:val="0"/>
                      <w:lang w:val="en-US" w:eastAsia="zh-CN"/>
                    </w:rPr>
                  </w:pPr>
                  <w:r>
                    <w:rPr>
                      <w:rFonts w:hint="eastAsia"/>
                      <w:b w:val="0"/>
                      <w:bCs w:val="0"/>
                      <w:lang w:val="en-US" w:eastAsia="zh-CN"/>
                    </w:rPr>
                    <w:t>100</w:t>
                  </w:r>
                </w:p>
              </w:tc>
              <w:tc>
                <w:tcPr>
                  <w:tcW w:w="707" w:type="pct"/>
                  <w:vMerge w:val="continue"/>
                  <w:vAlign w:val="center"/>
                </w:tcPr>
                <w:p>
                  <w:pPr>
                    <w:jc w:val="center"/>
                    <w:rPr>
                      <w:b/>
                      <w:bC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8" w:type="pct"/>
                  <w:vAlign w:val="center"/>
                </w:tcPr>
                <w:p>
                  <w:pPr>
                    <w:jc w:val="center"/>
                  </w:pPr>
                  <w:r>
                    <w:rPr>
                      <w:rFonts w:hint="eastAsia"/>
                    </w:rPr>
                    <w:t>4</w:t>
                  </w:r>
                </w:p>
              </w:tc>
              <w:tc>
                <w:tcPr>
                  <w:tcW w:w="1270" w:type="pct"/>
                  <w:vAlign w:val="center"/>
                </w:tcPr>
                <w:p>
                  <w:pPr>
                    <w:adjustRightInd w:val="0"/>
                    <w:snapToGrid w:val="0"/>
                    <w:jc w:val="center"/>
                    <w:rPr>
                      <w:rFonts w:hint="eastAsia" w:eastAsia="宋体"/>
                      <w:lang w:eastAsia="zh-CN"/>
                    </w:rPr>
                  </w:pPr>
                  <w:r>
                    <w:rPr>
                      <w:rFonts w:hint="eastAsia"/>
                      <w:lang w:eastAsia="zh-CN"/>
                    </w:rPr>
                    <w:t>氧化铝</w:t>
                  </w:r>
                </w:p>
              </w:tc>
              <w:tc>
                <w:tcPr>
                  <w:tcW w:w="1130" w:type="pct"/>
                  <w:vAlign w:val="center"/>
                </w:tcPr>
                <w:p>
                  <w:pPr>
                    <w:jc w:val="center"/>
                    <w:rPr>
                      <w:rFonts w:hint="eastAsia" w:eastAsia="宋体"/>
                      <w:lang w:eastAsia="zh-CN"/>
                    </w:rPr>
                  </w:pPr>
                  <w:r>
                    <w:rPr>
                      <w:rFonts w:hint="eastAsia"/>
                      <w:lang w:eastAsia="zh-CN"/>
                    </w:rPr>
                    <w:t>吨</w:t>
                  </w:r>
                </w:p>
              </w:tc>
              <w:tc>
                <w:tcPr>
                  <w:tcW w:w="1413" w:type="pct"/>
                  <w:vAlign w:val="center"/>
                </w:tcPr>
                <w:p>
                  <w:pPr>
                    <w:adjustRightInd w:val="0"/>
                    <w:snapToGrid w:val="0"/>
                    <w:jc w:val="center"/>
                    <w:rPr>
                      <w:rFonts w:hint="eastAsia" w:eastAsia="宋体"/>
                      <w:lang w:val="en-US" w:eastAsia="zh-CN"/>
                    </w:rPr>
                  </w:pPr>
                  <w:r>
                    <w:rPr>
                      <w:rFonts w:hint="eastAsia"/>
                      <w:lang w:val="en-US" w:eastAsia="zh-CN"/>
                    </w:rPr>
                    <w:t>5</w:t>
                  </w:r>
                </w:p>
              </w:tc>
              <w:tc>
                <w:tcPr>
                  <w:tcW w:w="707" w:type="pct"/>
                  <w:vMerge w:val="continue"/>
                  <w:vAlign w:val="center"/>
                </w:tcPr>
                <w:p>
                  <w:pPr>
                    <w:jc w:val="center"/>
                  </w:pPr>
                </w:p>
              </w:tc>
            </w:tr>
          </w:tbl>
          <w:p>
            <w:pPr>
              <w:adjustRightInd w:val="0"/>
              <w:snapToGrid w:val="0"/>
              <w:spacing w:line="360" w:lineRule="auto"/>
              <w:ind w:firstLine="720" w:firstLineChars="300"/>
              <w:jc w:val="left"/>
              <w:rPr>
                <w:bCs/>
                <w:sz w:val="24"/>
                <w:szCs w:val="24"/>
              </w:rPr>
            </w:pPr>
            <w:r>
              <w:rPr>
                <w:rFonts w:hint="eastAsia"/>
                <w:bCs/>
                <w:sz w:val="24"/>
                <w:szCs w:val="24"/>
              </w:rPr>
              <w:t>原辅料理化性质见表1-3。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sz w:val="24"/>
                <w:szCs w:val="24"/>
              </w:rPr>
            </w:pPr>
            <w:r>
              <w:rPr>
                <w:rFonts w:hint="eastAsia"/>
                <w:b/>
                <w:color w:val="000000"/>
                <w:sz w:val="24"/>
                <w:szCs w:val="24"/>
              </w:rPr>
              <w:t>表1-3  主要原辅料理化性质、毒性毒理</w:t>
            </w:r>
          </w:p>
          <w:tbl>
            <w:tblPr>
              <w:tblStyle w:val="7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37"/>
              <w:gridCol w:w="4838"/>
              <w:gridCol w:w="1173"/>
              <w:gridCol w:w="82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3" w:type="dxa"/>
                  <w:vAlign w:val="center"/>
                </w:tcPr>
                <w:p>
                  <w:pPr>
                    <w:jc w:val="center"/>
                    <w:rPr>
                      <w:b/>
                      <w:bCs/>
                      <w:szCs w:val="21"/>
                    </w:rPr>
                  </w:pPr>
                  <w:r>
                    <w:rPr>
                      <w:b/>
                      <w:bCs/>
                      <w:szCs w:val="21"/>
                    </w:rPr>
                    <w:t>序号</w:t>
                  </w:r>
                </w:p>
              </w:tc>
              <w:tc>
                <w:tcPr>
                  <w:tcW w:w="937" w:type="dxa"/>
                  <w:vAlign w:val="center"/>
                </w:tcPr>
                <w:p>
                  <w:pPr>
                    <w:jc w:val="center"/>
                    <w:rPr>
                      <w:b/>
                      <w:bCs/>
                      <w:szCs w:val="21"/>
                    </w:rPr>
                  </w:pPr>
                  <w:r>
                    <w:rPr>
                      <w:b/>
                      <w:bCs/>
                      <w:szCs w:val="21"/>
                    </w:rPr>
                    <w:t>名称</w:t>
                  </w:r>
                </w:p>
              </w:tc>
              <w:tc>
                <w:tcPr>
                  <w:tcW w:w="4838" w:type="dxa"/>
                  <w:vAlign w:val="center"/>
                </w:tcPr>
                <w:p>
                  <w:pPr>
                    <w:ind w:firstLine="422"/>
                    <w:jc w:val="center"/>
                    <w:rPr>
                      <w:b/>
                      <w:bCs/>
                      <w:szCs w:val="21"/>
                    </w:rPr>
                  </w:pPr>
                  <w:r>
                    <w:rPr>
                      <w:b/>
                      <w:bCs/>
                      <w:szCs w:val="21"/>
                    </w:rPr>
                    <w:t>理化性质</w:t>
                  </w:r>
                </w:p>
              </w:tc>
              <w:tc>
                <w:tcPr>
                  <w:tcW w:w="1173" w:type="dxa"/>
                  <w:vAlign w:val="center"/>
                </w:tcPr>
                <w:p>
                  <w:pPr>
                    <w:jc w:val="center"/>
                    <w:rPr>
                      <w:b/>
                      <w:bCs/>
                      <w:szCs w:val="21"/>
                    </w:rPr>
                  </w:pPr>
                  <w:r>
                    <w:rPr>
                      <w:b/>
                      <w:bCs/>
                      <w:szCs w:val="21"/>
                    </w:rPr>
                    <w:t>燃烧爆炸性</w:t>
                  </w:r>
                </w:p>
              </w:tc>
              <w:tc>
                <w:tcPr>
                  <w:tcW w:w="823" w:type="dxa"/>
                  <w:vAlign w:val="center"/>
                </w:tcPr>
                <w:p>
                  <w:pPr>
                    <w:jc w:val="center"/>
                    <w:rPr>
                      <w:b/>
                      <w:bCs/>
                      <w:szCs w:val="21"/>
                    </w:rPr>
                  </w:pPr>
                  <w:r>
                    <w:rPr>
                      <w:b/>
                      <w:bCs/>
                      <w:szCs w:val="21"/>
                    </w:rPr>
                    <w:t>毒性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593" w:type="dxa"/>
                  <w:vAlign w:val="center"/>
                </w:tcPr>
                <w:p>
                  <w:pPr>
                    <w:pStyle w:val="265"/>
                    <w:rPr>
                      <w:rFonts w:ascii="Times New Roman" w:hAnsi="Times New Roman" w:eastAsia="宋体"/>
                      <w:sz w:val="21"/>
                      <w:szCs w:val="21"/>
                    </w:rPr>
                  </w:pPr>
                  <w:r>
                    <w:rPr>
                      <w:rFonts w:ascii="Times New Roman" w:hAnsi="Times New Roman" w:eastAsia="宋体"/>
                      <w:sz w:val="21"/>
                      <w:szCs w:val="21"/>
                    </w:rPr>
                    <w:t>1</w:t>
                  </w:r>
                </w:p>
              </w:tc>
              <w:tc>
                <w:tcPr>
                  <w:tcW w:w="937"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滑石粉</w:t>
                  </w:r>
                </w:p>
              </w:tc>
              <w:tc>
                <w:tcPr>
                  <w:tcW w:w="4838" w:type="dxa"/>
                  <w:vAlign w:val="center"/>
                </w:tcPr>
                <w:p>
                  <w:pPr>
                    <w:pStyle w:val="265"/>
                    <w:jc w:val="both"/>
                    <w:rPr>
                      <w:rFonts w:ascii="Times New Roman" w:hAnsi="Times New Roman" w:eastAsiaTheme="minorEastAsia"/>
                      <w:sz w:val="21"/>
                      <w:szCs w:val="21"/>
                    </w:rPr>
                  </w:pPr>
                  <w:r>
                    <w:rPr>
                      <w:rFonts w:ascii="Times New Roman" w:hAnsiTheme="minorEastAsia" w:eastAsiaTheme="minorEastAsia"/>
                      <w:sz w:val="21"/>
                      <w:szCs w:val="21"/>
                    </w:rPr>
                    <w:t>滑石主要成分是滑石含水的</w:t>
                  </w:r>
                  <w:r>
                    <w:fldChar w:fldCharType="begin"/>
                  </w:r>
                  <w:r>
                    <w:instrText xml:space="preserve"> HYPERLINK "https://baike.baidu.com/item/%E7%A1%85%E9%85%B8%E9%95%81" \t "_blank" </w:instrText>
                  </w:r>
                  <w:r>
                    <w:fldChar w:fldCharType="separate"/>
                  </w:r>
                  <w:r>
                    <w:rPr>
                      <w:rStyle w:val="87"/>
                      <w:rFonts w:ascii="Times New Roman" w:hAnsiTheme="minorEastAsia" w:eastAsiaTheme="minorEastAsia"/>
                      <w:sz w:val="21"/>
                      <w:szCs w:val="21"/>
                    </w:rPr>
                    <w:t>硅酸镁</w:t>
                  </w:r>
                  <w:r>
                    <w:rPr>
                      <w:rStyle w:val="87"/>
                      <w:rFonts w:ascii="Times New Roman" w:hAnsiTheme="minorEastAsia" w:eastAsiaTheme="minorEastAsia"/>
                      <w:sz w:val="21"/>
                      <w:szCs w:val="21"/>
                    </w:rPr>
                    <w:fldChar w:fldCharType="end"/>
                  </w:r>
                  <w:r>
                    <w:rPr>
                      <w:rFonts w:ascii="Times New Roman" w:hAnsiTheme="minorEastAsia" w:eastAsiaTheme="minorEastAsia"/>
                      <w:sz w:val="21"/>
                      <w:szCs w:val="21"/>
                    </w:rPr>
                    <w:t>，分子式为</w:t>
                  </w:r>
                  <w:r>
                    <w:rPr>
                      <w:rFonts w:ascii="Times New Roman" w:hAnsi="Times New Roman" w:eastAsiaTheme="minorEastAsia"/>
                      <w:sz w:val="21"/>
                      <w:szCs w:val="21"/>
                    </w:rPr>
                    <w:t>Mg</w:t>
                  </w:r>
                  <w:r>
                    <w:rPr>
                      <w:rFonts w:ascii="Times New Roman" w:hAnsi="Times New Roman" w:eastAsiaTheme="minorEastAsia"/>
                      <w:sz w:val="21"/>
                      <w:szCs w:val="21"/>
                      <w:vertAlign w:val="subscript"/>
                    </w:rPr>
                    <w:t>3</w:t>
                  </w:r>
                  <w:r>
                    <w:rPr>
                      <w:rFonts w:ascii="Times New Roman" w:hAnsi="Times New Roman" w:eastAsiaTheme="minorEastAsia"/>
                      <w:sz w:val="21"/>
                      <w:szCs w:val="21"/>
                    </w:rPr>
                    <w:t>[Si</w:t>
                  </w:r>
                  <w:r>
                    <w:rPr>
                      <w:rFonts w:ascii="Times New Roman" w:hAnsi="Times New Roman" w:eastAsiaTheme="minorEastAsia"/>
                      <w:sz w:val="21"/>
                      <w:szCs w:val="21"/>
                      <w:vertAlign w:val="subscript"/>
                    </w:rPr>
                    <w:t>4</w:t>
                  </w:r>
                  <w:r>
                    <w:rPr>
                      <w:rFonts w:ascii="Times New Roman" w:hAnsi="Times New Roman" w:eastAsiaTheme="minorEastAsia"/>
                      <w:sz w:val="21"/>
                      <w:szCs w:val="21"/>
                    </w:rPr>
                    <w:t>O</w:t>
                  </w:r>
                  <w:r>
                    <w:rPr>
                      <w:rFonts w:ascii="Times New Roman" w:hAnsi="Times New Roman" w:eastAsiaTheme="minorEastAsia"/>
                      <w:sz w:val="21"/>
                      <w:szCs w:val="21"/>
                      <w:vertAlign w:val="subscript"/>
                    </w:rPr>
                    <w:t>10</w:t>
                  </w:r>
                  <w:r>
                    <w:rPr>
                      <w:rFonts w:ascii="Times New Roman" w:hAnsi="Times New Roman" w:eastAsiaTheme="minorEastAsia"/>
                      <w:sz w:val="21"/>
                      <w:szCs w:val="21"/>
                    </w:rPr>
                    <w:t>](OH)</w:t>
                  </w:r>
                  <w:r>
                    <w:rPr>
                      <w:rFonts w:ascii="Times New Roman" w:hAnsi="Times New Roman" w:eastAsiaTheme="minorEastAsia"/>
                      <w:sz w:val="21"/>
                      <w:szCs w:val="21"/>
                      <w:vertAlign w:val="subscript"/>
                    </w:rPr>
                    <w:t>2</w:t>
                  </w:r>
                  <w:r>
                    <w:rPr>
                      <w:rFonts w:ascii="Times New Roman" w:hAnsiTheme="minorEastAsia" w:eastAsiaTheme="minorEastAsia"/>
                      <w:sz w:val="21"/>
                      <w:szCs w:val="21"/>
                    </w:rPr>
                    <w:t>。滑石属</w:t>
                  </w:r>
                  <w:r>
                    <w:fldChar w:fldCharType="begin"/>
                  </w:r>
                  <w:r>
                    <w:instrText xml:space="preserve"> HYPERLINK "https://baike.baidu.com/item/%E5%8D%95%E6%96%9C%E6%99%B6%E7%B3%BB/1685656" \t "_blank" </w:instrText>
                  </w:r>
                  <w:r>
                    <w:fldChar w:fldCharType="separate"/>
                  </w:r>
                  <w:r>
                    <w:rPr>
                      <w:rStyle w:val="87"/>
                      <w:rFonts w:ascii="Times New Roman" w:hAnsiTheme="minorEastAsia" w:eastAsiaTheme="minorEastAsia"/>
                      <w:sz w:val="21"/>
                      <w:szCs w:val="21"/>
                    </w:rPr>
                    <w:t>单斜晶系</w:t>
                  </w:r>
                  <w:r>
                    <w:rPr>
                      <w:rStyle w:val="87"/>
                      <w:rFonts w:ascii="Times New Roman" w:hAnsiTheme="minorEastAsia" w:eastAsiaTheme="minorEastAsia"/>
                      <w:sz w:val="21"/>
                      <w:szCs w:val="21"/>
                    </w:rPr>
                    <w:fldChar w:fldCharType="end"/>
                  </w:r>
                  <w:r>
                    <w:rPr>
                      <w:rFonts w:ascii="Times New Roman" w:hAnsiTheme="minorEastAsia" w:eastAsiaTheme="minorEastAsia"/>
                      <w:sz w:val="21"/>
                      <w:szCs w:val="21"/>
                    </w:rPr>
                    <w:t>。晶体呈假六方或菱形的片状，偶见。通常成致密的块状、叶片状</w:t>
                  </w:r>
                  <w:r>
                    <w:rPr>
                      <w:rFonts w:ascii="Times New Roman" w:hAnsi="Times New Roman" w:eastAsiaTheme="minorEastAsia"/>
                      <w:sz w:val="21"/>
                      <w:szCs w:val="21"/>
                    </w:rPr>
                    <w:t xml:space="preserve"> </w:t>
                  </w:r>
                  <w:r>
                    <w:rPr>
                      <w:rFonts w:ascii="Times New Roman" w:hAnsiTheme="minorEastAsia" w:eastAsiaTheme="minorEastAsia"/>
                      <w:sz w:val="21"/>
                      <w:szCs w:val="21"/>
                    </w:rPr>
                    <w:t>、放射状、纤维状集合体。无色透明或白色，但因含少量的杂质而呈现浅绿、浅黄、浅棕甚至浅红色；解理面上呈珍珠光泽。</w:t>
                  </w:r>
                  <w:r>
                    <w:fldChar w:fldCharType="begin"/>
                  </w:r>
                  <w:r>
                    <w:instrText xml:space="preserve"> HYPERLINK "https://baike.baidu.com/item/%E7%A1%AC%E5%BA%A6" \t "_blank" </w:instrText>
                  </w:r>
                  <w:r>
                    <w:fldChar w:fldCharType="separate"/>
                  </w:r>
                  <w:r>
                    <w:rPr>
                      <w:rStyle w:val="87"/>
                      <w:rFonts w:ascii="Times New Roman" w:hAnsiTheme="minorEastAsia" w:eastAsiaTheme="minorEastAsia"/>
                      <w:sz w:val="21"/>
                      <w:szCs w:val="21"/>
                    </w:rPr>
                    <w:t>硬度</w:t>
                  </w:r>
                  <w:r>
                    <w:rPr>
                      <w:rStyle w:val="87"/>
                      <w:rFonts w:ascii="Times New Roman" w:hAnsiTheme="minorEastAsia" w:eastAsiaTheme="minorEastAsia"/>
                      <w:sz w:val="21"/>
                      <w:szCs w:val="21"/>
                    </w:rPr>
                    <w:fldChar w:fldCharType="end"/>
                  </w:r>
                  <w:r>
                    <w:rPr>
                      <w:rFonts w:ascii="Times New Roman" w:hAnsi="Times New Roman" w:eastAsiaTheme="minorEastAsia"/>
                      <w:sz w:val="21"/>
                      <w:szCs w:val="21"/>
                    </w:rPr>
                    <w:t>1</w:t>
                  </w:r>
                  <w:r>
                    <w:rPr>
                      <w:rFonts w:ascii="Times New Roman" w:hAnsiTheme="minorEastAsia" w:eastAsiaTheme="minorEastAsia"/>
                      <w:sz w:val="21"/>
                      <w:szCs w:val="21"/>
                    </w:rPr>
                    <w:t>，比重</w:t>
                  </w:r>
                  <w:r>
                    <w:rPr>
                      <w:rFonts w:ascii="Times New Roman" w:hAnsi="Times New Roman" w:eastAsiaTheme="minorEastAsia"/>
                      <w:sz w:val="21"/>
                      <w:szCs w:val="21"/>
                    </w:rPr>
                    <w:t>2.7</w:t>
                  </w:r>
                  <w:r>
                    <w:rPr>
                      <w:rFonts w:ascii="Times New Roman" w:hAnsiTheme="minorEastAsia" w:eastAsiaTheme="minorEastAsia"/>
                      <w:sz w:val="21"/>
                      <w:szCs w:val="21"/>
                    </w:rPr>
                    <w:t>～</w:t>
                  </w:r>
                  <w:r>
                    <w:rPr>
                      <w:rFonts w:ascii="Times New Roman" w:hAnsi="Times New Roman" w:eastAsiaTheme="minorEastAsia"/>
                      <w:sz w:val="21"/>
                      <w:szCs w:val="21"/>
                    </w:rPr>
                    <w:t>2.8</w:t>
                  </w:r>
                  <w:r>
                    <w:rPr>
                      <w:rFonts w:ascii="Times New Roman" w:hAnsiTheme="minorEastAsia" w:eastAsiaTheme="minorEastAsia"/>
                      <w:sz w:val="21"/>
                      <w:szCs w:val="21"/>
                    </w:rPr>
                    <w:t>。</w:t>
                  </w:r>
                </w:p>
              </w:tc>
              <w:tc>
                <w:tcPr>
                  <w:tcW w:w="117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c>
                <w:tcPr>
                  <w:tcW w:w="82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59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2</w:t>
                  </w:r>
                </w:p>
              </w:tc>
              <w:tc>
                <w:tcPr>
                  <w:tcW w:w="937" w:type="dxa"/>
                  <w:vAlign w:val="center"/>
                </w:tcPr>
                <w:p>
                  <w:pPr>
                    <w:pStyle w:val="265"/>
                    <w:rPr>
                      <w:rFonts w:ascii="Times New Roman" w:hAnsi="Times New Roman" w:eastAsia="宋体"/>
                      <w:sz w:val="21"/>
                      <w:szCs w:val="21"/>
                    </w:rPr>
                  </w:pPr>
                  <w:r>
                    <w:rPr>
                      <w:rFonts w:hint="eastAsia" w:hAnsiTheme="minorEastAsia" w:eastAsiaTheme="minorEastAsia"/>
                      <w:sz w:val="21"/>
                      <w:szCs w:val="21"/>
                    </w:rPr>
                    <w:t>碳酸钡</w:t>
                  </w:r>
                </w:p>
              </w:tc>
              <w:tc>
                <w:tcPr>
                  <w:tcW w:w="4838" w:type="dxa"/>
                  <w:vAlign w:val="center"/>
                </w:tcPr>
                <w:p>
                  <w:pPr>
                    <w:pStyle w:val="265"/>
                    <w:jc w:val="both"/>
                    <w:rPr>
                      <w:rFonts w:ascii="Times New Roman" w:hAnsi="Times New Roman" w:eastAsiaTheme="minorEastAsia"/>
                      <w:sz w:val="21"/>
                      <w:szCs w:val="21"/>
                    </w:rPr>
                  </w:pPr>
                  <w:r>
                    <w:rPr>
                      <w:rFonts w:ascii="Times New Roman" w:hAnsiTheme="minorEastAsia" w:eastAsiaTheme="minorEastAsia"/>
                      <w:sz w:val="21"/>
                      <w:szCs w:val="21"/>
                    </w:rPr>
                    <w:t>化学式</w:t>
                  </w:r>
                  <w:r>
                    <w:rPr>
                      <w:rFonts w:ascii="Times New Roman" w:hAnsi="Times New Roman" w:eastAsiaTheme="minorEastAsia"/>
                      <w:sz w:val="21"/>
                      <w:szCs w:val="21"/>
                    </w:rPr>
                    <w:t>BaCO</w:t>
                  </w:r>
                  <w:r>
                    <w:rPr>
                      <w:rFonts w:ascii="Times New Roman" w:hAnsi="Times New Roman" w:eastAsiaTheme="minorEastAsia"/>
                      <w:sz w:val="21"/>
                      <w:szCs w:val="21"/>
                      <w:vertAlign w:val="subscript"/>
                    </w:rPr>
                    <w:t>3</w:t>
                  </w:r>
                  <w:r>
                    <w:rPr>
                      <w:rFonts w:ascii="Times New Roman" w:hAnsiTheme="minorEastAsia" w:eastAsiaTheme="minorEastAsia"/>
                      <w:sz w:val="21"/>
                      <w:szCs w:val="21"/>
                    </w:rPr>
                    <w:t>，分子量</w:t>
                  </w:r>
                  <w:r>
                    <w:rPr>
                      <w:rFonts w:ascii="Times New Roman" w:hAnsi="Times New Roman" w:eastAsiaTheme="minorEastAsia"/>
                      <w:sz w:val="21"/>
                      <w:szCs w:val="21"/>
                    </w:rPr>
                    <w:t>197.35</w:t>
                  </w:r>
                  <w:r>
                    <w:rPr>
                      <w:rFonts w:ascii="Times New Roman" w:hAnsiTheme="minorEastAsia" w:eastAsiaTheme="minorEastAsia"/>
                      <w:sz w:val="21"/>
                      <w:szCs w:val="21"/>
                    </w:rPr>
                    <w:t>。六角形微细晶体或白色粉末。难溶于水，密度</w:t>
                  </w:r>
                  <w:r>
                    <w:rPr>
                      <w:rFonts w:ascii="Times New Roman" w:hAnsi="Times New Roman" w:eastAsiaTheme="minorEastAsia"/>
                      <w:sz w:val="21"/>
                      <w:szCs w:val="21"/>
                    </w:rPr>
                    <w:t>4.43</w:t>
                  </w:r>
                  <w:r>
                    <w:rPr>
                      <w:rFonts w:ascii="Times New Roman" w:hAnsiTheme="minorEastAsia" w:eastAsiaTheme="minorEastAsia"/>
                      <w:sz w:val="21"/>
                      <w:szCs w:val="21"/>
                    </w:rPr>
                    <w:t>克</w:t>
                  </w:r>
                  <w:r>
                    <w:rPr>
                      <w:rFonts w:ascii="Times New Roman" w:hAnsi="Times New Roman" w:eastAsiaTheme="minorEastAsia"/>
                      <w:sz w:val="21"/>
                      <w:szCs w:val="21"/>
                    </w:rPr>
                    <w:t>/</w:t>
                  </w:r>
                  <w:r>
                    <w:rPr>
                      <w:rFonts w:ascii="Times New Roman" w:hAnsiTheme="minorEastAsia" w:eastAsiaTheme="minorEastAsia"/>
                      <w:sz w:val="21"/>
                      <w:szCs w:val="21"/>
                    </w:rPr>
                    <w:t>厘米</w:t>
                  </w:r>
                  <w:r>
                    <w:rPr>
                      <w:rFonts w:ascii="Times New Roman" w:hAnsi="Times New Roman" w:eastAsiaTheme="minorEastAsia"/>
                      <w:sz w:val="21"/>
                      <w:szCs w:val="21"/>
                      <w:vertAlign w:val="superscript"/>
                    </w:rPr>
                    <w:t>2</w:t>
                  </w:r>
                  <w:r>
                    <w:rPr>
                      <w:rFonts w:ascii="Times New Roman" w:hAnsiTheme="minorEastAsia" w:eastAsiaTheme="minorEastAsia"/>
                      <w:sz w:val="21"/>
                      <w:szCs w:val="21"/>
                    </w:rPr>
                    <w:t>，熔点</w:t>
                  </w:r>
                  <w:r>
                    <w:rPr>
                      <w:rFonts w:ascii="Times New Roman" w:hAnsi="Times New Roman" w:eastAsiaTheme="minorEastAsia"/>
                      <w:sz w:val="21"/>
                      <w:szCs w:val="21"/>
                    </w:rPr>
                    <w:t>1740</w:t>
                  </w:r>
                  <w:r>
                    <w:rPr>
                      <w:rFonts w:ascii="Times New Roman" w:hAnsiTheme="minorEastAsia" w:eastAsiaTheme="minorEastAsia"/>
                      <w:sz w:val="21"/>
                      <w:szCs w:val="21"/>
                    </w:rPr>
                    <w:t>℃（</w:t>
                  </w:r>
                  <w:r>
                    <w:rPr>
                      <w:rFonts w:ascii="Times New Roman" w:hAnsi="Times New Roman" w:eastAsiaTheme="minorEastAsia"/>
                      <w:sz w:val="21"/>
                      <w:szCs w:val="21"/>
                    </w:rPr>
                    <w:t>8820</w:t>
                  </w:r>
                  <w:r>
                    <w:rPr>
                      <w:rFonts w:ascii="Times New Roman" w:hAnsiTheme="minorEastAsia" w:eastAsiaTheme="minorEastAsia"/>
                      <w:sz w:val="21"/>
                      <w:szCs w:val="21"/>
                    </w:rPr>
                    <w:t>千帕</w:t>
                  </w:r>
                  <w:r>
                    <w:rPr>
                      <w:rFonts w:ascii="Times New Roman" w:hAnsi="Times New Roman" w:eastAsiaTheme="minorEastAsia"/>
                      <w:sz w:val="21"/>
                      <w:szCs w:val="21"/>
                    </w:rPr>
                    <w:t>-90</w:t>
                  </w:r>
                  <w:r>
                    <w:rPr>
                      <w:rFonts w:ascii="Times New Roman" w:hAnsiTheme="minorEastAsia" w:eastAsiaTheme="minorEastAsia"/>
                      <w:sz w:val="21"/>
                      <w:szCs w:val="21"/>
                    </w:rPr>
                    <w:t>大气压）。</w:t>
                  </w:r>
                  <w:r>
                    <w:rPr>
                      <w:rFonts w:ascii="Times New Roman" w:hAnsi="Times New Roman" w:eastAsiaTheme="minorEastAsia"/>
                      <w:sz w:val="21"/>
                      <w:szCs w:val="21"/>
                    </w:rPr>
                    <w:t>1450</w:t>
                  </w:r>
                  <w:r>
                    <w:rPr>
                      <w:rFonts w:ascii="Times New Roman" w:hAnsiTheme="minorEastAsia" w:eastAsiaTheme="minorEastAsia"/>
                      <w:sz w:val="21"/>
                      <w:szCs w:val="21"/>
                    </w:rPr>
                    <w:t>℃分解，放出二氧化碳。微溶于含有二氧化碳的水，也溶于氯化铵或硝酸铵溶液生成络合物，溶于盐酸、硝酸放出二氧化碳。</w:t>
                  </w:r>
                </w:p>
              </w:tc>
              <w:tc>
                <w:tcPr>
                  <w:tcW w:w="117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c>
                <w:tcPr>
                  <w:tcW w:w="82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有毒</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9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2</w:t>
                  </w:r>
                </w:p>
              </w:tc>
              <w:tc>
                <w:tcPr>
                  <w:tcW w:w="937"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氧化铝</w:t>
                  </w:r>
                </w:p>
              </w:tc>
              <w:tc>
                <w:tcPr>
                  <w:tcW w:w="4838" w:type="dxa"/>
                  <w:vAlign w:val="center"/>
                </w:tcPr>
                <w:p>
                  <w:pPr>
                    <w:pStyle w:val="265"/>
                    <w:jc w:val="left"/>
                    <w:rPr>
                      <w:rFonts w:ascii="Times New Roman" w:hAnsi="Times New Roman" w:eastAsia="宋体"/>
                      <w:sz w:val="21"/>
                      <w:szCs w:val="21"/>
                      <w:lang w:val="fi-FI"/>
                    </w:rPr>
                  </w:pPr>
                  <w:r>
                    <w:rPr>
                      <w:rFonts w:ascii="Times New Roman" w:hAnsi="Times New Roman" w:eastAsia="宋体"/>
                      <w:sz w:val="21"/>
                      <w:szCs w:val="21"/>
                      <w:lang w:val="fi-FI"/>
                    </w:rPr>
                    <w:t>化学式Al</w:t>
                  </w:r>
                  <w:r>
                    <w:rPr>
                      <w:rFonts w:ascii="Times New Roman" w:hAnsi="Times New Roman" w:eastAsia="宋体"/>
                      <w:sz w:val="21"/>
                      <w:szCs w:val="21"/>
                      <w:vertAlign w:val="subscript"/>
                      <w:lang w:val="fi-FI"/>
                    </w:rPr>
                    <w:t>2</w:t>
                  </w:r>
                  <w:r>
                    <w:rPr>
                      <w:rFonts w:ascii="Times New Roman" w:hAnsi="Times New Roman" w:eastAsia="宋体"/>
                      <w:sz w:val="21"/>
                      <w:szCs w:val="21"/>
                      <w:lang w:val="fi-FI"/>
                    </w:rPr>
                    <w:t>O</w:t>
                  </w:r>
                  <w:r>
                    <w:rPr>
                      <w:rFonts w:ascii="Times New Roman" w:hAnsi="Times New Roman" w:eastAsia="宋体"/>
                      <w:sz w:val="21"/>
                      <w:szCs w:val="21"/>
                      <w:vertAlign w:val="subscript"/>
                      <w:lang w:val="fi-FI"/>
                    </w:rPr>
                    <w:t>3。</w:t>
                  </w:r>
                  <w:r>
                    <w:rPr>
                      <w:rFonts w:ascii="Times New Roman" w:hAnsi="Times New Roman" w:eastAsia="宋体"/>
                      <w:sz w:val="21"/>
                      <w:szCs w:val="21"/>
                      <w:lang w:val="fi-FI"/>
                    </w:rPr>
                    <w:t>是一种高硬度的化合物，熔点为2054</w:t>
                  </w:r>
                  <w:r>
                    <w:rPr>
                      <w:rFonts w:hint="eastAsia" w:hAnsi="宋体" w:eastAsia="宋体" w:cs="宋体"/>
                      <w:sz w:val="21"/>
                      <w:szCs w:val="21"/>
                      <w:lang w:val="fi-FI"/>
                    </w:rPr>
                    <w:t>℃</w:t>
                  </w:r>
                  <w:r>
                    <w:rPr>
                      <w:rFonts w:ascii="Times New Roman" w:hAnsi="Times New Roman" w:eastAsia="宋体"/>
                      <w:sz w:val="21"/>
                      <w:szCs w:val="21"/>
                      <w:lang w:val="fi-FI"/>
                    </w:rPr>
                    <w:t>，沸点为2980</w:t>
                  </w:r>
                  <w:r>
                    <w:rPr>
                      <w:rFonts w:hint="eastAsia" w:hAnsi="宋体" w:eastAsia="宋体" w:cs="宋体"/>
                      <w:sz w:val="21"/>
                      <w:szCs w:val="21"/>
                      <w:lang w:val="fi-FI"/>
                    </w:rPr>
                    <w:t>℃</w:t>
                  </w:r>
                  <w:r>
                    <w:rPr>
                      <w:rFonts w:ascii="Times New Roman" w:hAnsi="Times New Roman" w:eastAsia="宋体"/>
                      <w:sz w:val="21"/>
                      <w:szCs w:val="21"/>
                      <w:lang w:val="fi-FI"/>
                    </w:rPr>
                    <w:t>，在高温下可电离的</w:t>
                  </w:r>
                  <w:r>
                    <w:fldChar w:fldCharType="begin"/>
                  </w:r>
                  <w:r>
                    <w:instrText xml:space="preserve"> HYPERLINK "https://baike.baidu.com/item/%E7%A6%BB%E5%AD%90%E6%99%B6%E4%BD%93/1838475" \t "_blank" </w:instrText>
                  </w:r>
                  <w:r>
                    <w:fldChar w:fldCharType="separate"/>
                  </w:r>
                  <w:r>
                    <w:rPr>
                      <w:rStyle w:val="87"/>
                      <w:rFonts w:ascii="Times New Roman" w:hAnsi="Times New Roman" w:eastAsia="宋体"/>
                      <w:sz w:val="21"/>
                      <w:szCs w:val="21"/>
                      <w:lang w:val="fi-FI"/>
                    </w:rPr>
                    <w:t>离子晶体</w:t>
                  </w:r>
                  <w:r>
                    <w:rPr>
                      <w:rStyle w:val="87"/>
                      <w:rFonts w:ascii="Times New Roman" w:hAnsi="Times New Roman" w:eastAsia="宋体"/>
                      <w:sz w:val="21"/>
                      <w:szCs w:val="21"/>
                      <w:lang w:val="fi-FI"/>
                    </w:rPr>
                    <w:fldChar w:fldCharType="end"/>
                  </w:r>
                  <w:r>
                    <w:rPr>
                      <w:rFonts w:ascii="Times New Roman" w:hAnsi="Times New Roman" w:eastAsia="宋体"/>
                      <w:sz w:val="21"/>
                      <w:szCs w:val="21"/>
                      <w:lang w:val="fi-FI"/>
                    </w:rPr>
                    <w:t>，常用于制造耐火材料。</w:t>
                  </w:r>
                </w:p>
              </w:tc>
              <w:tc>
                <w:tcPr>
                  <w:tcW w:w="117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c>
                <w:tcPr>
                  <w:tcW w:w="82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3" w:type="dxa"/>
                  <w:vAlign w:val="center"/>
                </w:tcPr>
                <w:p>
                  <w:pPr>
                    <w:pStyle w:val="265"/>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p>
              </w:tc>
              <w:tc>
                <w:tcPr>
                  <w:tcW w:w="937"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高岭土</w:t>
                  </w:r>
                </w:p>
              </w:tc>
              <w:tc>
                <w:tcPr>
                  <w:tcW w:w="4838" w:type="dxa"/>
                  <w:vAlign w:val="center"/>
                </w:tcPr>
                <w:p>
                  <w:pPr>
                    <w:pStyle w:val="265"/>
                    <w:jc w:val="left"/>
                    <w:rPr>
                      <w:rFonts w:ascii="Times New Roman" w:hAnsi="Times New Roman" w:eastAsia="宋体"/>
                      <w:sz w:val="21"/>
                      <w:szCs w:val="21"/>
                      <w:lang w:val="fi-FI"/>
                    </w:rPr>
                  </w:pPr>
                  <w:r>
                    <w:rPr>
                      <w:rFonts w:ascii="Times New Roman" w:hAnsi="Times New Roman" w:eastAsia="宋体"/>
                      <w:sz w:val="21"/>
                      <w:szCs w:val="21"/>
                      <w:lang w:val="fi-FI"/>
                    </w:rPr>
                    <w:t>是一种非金属矿产，是一种以高岭石族</w:t>
                  </w:r>
                  <w:r>
                    <w:fldChar w:fldCharType="begin"/>
                  </w:r>
                  <w:r>
                    <w:instrText xml:space="preserve"> HYPERLINK "https://baike.baidu.com/item/%E7%B2%98%E5%9C%9F%E7%9F%BF" \t "_blank" </w:instrText>
                  </w:r>
                  <w:r>
                    <w:fldChar w:fldCharType="separate"/>
                  </w:r>
                  <w:r>
                    <w:rPr>
                      <w:rStyle w:val="87"/>
                      <w:rFonts w:ascii="Times New Roman" w:hAnsi="Times New Roman" w:eastAsia="宋体"/>
                      <w:sz w:val="21"/>
                      <w:szCs w:val="21"/>
                      <w:lang w:val="fi-FI"/>
                    </w:rPr>
                    <w:t>粘土矿</w:t>
                  </w:r>
                  <w:r>
                    <w:rPr>
                      <w:rStyle w:val="87"/>
                      <w:rFonts w:ascii="Times New Roman" w:hAnsi="Times New Roman" w:eastAsia="宋体"/>
                      <w:sz w:val="21"/>
                      <w:szCs w:val="21"/>
                      <w:lang w:val="fi-FI"/>
                    </w:rPr>
                    <w:fldChar w:fldCharType="end"/>
                  </w:r>
                  <w:r>
                    <w:rPr>
                      <w:rFonts w:ascii="Times New Roman" w:hAnsi="Times New Roman" w:eastAsia="宋体"/>
                      <w:sz w:val="21"/>
                      <w:szCs w:val="21"/>
                      <w:lang w:val="fi-FI"/>
                    </w:rPr>
                    <w:t>物为主的粘土和粘土岩。因呈白色而又细腻，又称</w:t>
                  </w:r>
                  <w:r>
                    <w:fldChar w:fldCharType="begin"/>
                  </w:r>
                  <w:r>
                    <w:instrText xml:space="preserve"> HYPERLINK "https://baike.baidu.com/item/%E7%99%BD%E4%BA%91%E5%9C%9F/9954005" \t "_blank" </w:instrText>
                  </w:r>
                  <w:r>
                    <w:fldChar w:fldCharType="separate"/>
                  </w:r>
                  <w:r>
                    <w:rPr>
                      <w:rStyle w:val="87"/>
                      <w:rFonts w:ascii="Times New Roman" w:hAnsi="Times New Roman" w:eastAsia="宋体"/>
                      <w:sz w:val="21"/>
                      <w:szCs w:val="21"/>
                      <w:lang w:val="fi-FI"/>
                    </w:rPr>
                    <w:t>白云土</w:t>
                  </w:r>
                  <w:r>
                    <w:rPr>
                      <w:rStyle w:val="87"/>
                      <w:rFonts w:ascii="Times New Roman" w:hAnsi="Times New Roman" w:eastAsia="宋体"/>
                      <w:sz w:val="21"/>
                      <w:szCs w:val="21"/>
                      <w:lang w:val="fi-FI"/>
                    </w:rPr>
                    <w:fldChar w:fldCharType="end"/>
                  </w:r>
                  <w:r>
                    <w:rPr>
                      <w:rFonts w:ascii="Times New Roman" w:hAnsi="Times New Roman" w:eastAsia="宋体"/>
                      <w:sz w:val="21"/>
                      <w:szCs w:val="21"/>
                      <w:lang w:val="fi-FI"/>
                    </w:rPr>
                    <w:t>。</w:t>
                  </w:r>
                </w:p>
              </w:tc>
              <w:tc>
                <w:tcPr>
                  <w:tcW w:w="117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c>
                <w:tcPr>
                  <w:tcW w:w="823" w:type="dxa"/>
                  <w:vAlign w:val="center"/>
                </w:tcPr>
                <w:p>
                  <w:pPr>
                    <w:pStyle w:val="265"/>
                    <w:rPr>
                      <w:rFonts w:ascii="Times New Roman" w:hAnsi="Times New Roman" w:eastAsia="宋体"/>
                      <w:sz w:val="21"/>
                      <w:szCs w:val="21"/>
                    </w:rPr>
                  </w:pPr>
                  <w:r>
                    <w:rPr>
                      <w:rFonts w:hint="eastAsia" w:ascii="Times New Roman" w:hAnsi="Times New Roman" w:eastAsia="宋体"/>
                      <w:sz w:val="21"/>
                      <w:szCs w:val="21"/>
                    </w:rPr>
                    <w:t>/</w:t>
                  </w:r>
                </w:p>
              </w:tc>
            </w:tr>
          </w:tbl>
          <w:p>
            <w:pPr>
              <w:spacing w:beforeLines="50" w:line="360" w:lineRule="auto"/>
              <w:ind w:firstLine="480" w:firstLineChars="200"/>
              <w:rPr>
                <w:rFonts w:asciiTheme="minorEastAsia" w:hAnsiTheme="minorEastAsia" w:eastAsiaTheme="minorEastAsia"/>
                <w:b/>
                <w:color w:val="000000"/>
                <w:szCs w:val="21"/>
              </w:rPr>
            </w:pPr>
            <w:r>
              <w:rPr>
                <w:rFonts w:hint="eastAsia" w:hAnsi="宋体"/>
                <w:kern w:val="0"/>
                <w:sz w:val="24"/>
                <w:szCs w:val="24"/>
              </w:rPr>
              <w:t>建设项目主要生产及辅助设备见</w:t>
            </w:r>
            <w:r>
              <w:rPr>
                <w:rFonts w:hint="eastAsia"/>
                <w:kern w:val="0"/>
                <w:sz w:val="24"/>
                <w:szCs w:val="24"/>
              </w:rPr>
              <w:t>表1-4。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sz w:val="24"/>
                <w:szCs w:val="24"/>
              </w:rPr>
            </w:pPr>
            <w:r>
              <w:rPr>
                <w:rFonts w:hint="eastAsia"/>
                <w:b/>
                <w:color w:val="000000"/>
                <w:sz w:val="24"/>
                <w:szCs w:val="24"/>
              </w:rPr>
              <w:t>表1-</w:t>
            </w:r>
            <w:r>
              <w:rPr>
                <w:rFonts w:hint="eastAsia"/>
                <w:b/>
                <w:color w:val="000000"/>
                <w:sz w:val="24"/>
                <w:szCs w:val="24"/>
                <w:lang w:val="en-US"/>
              </w:rPr>
              <w:t xml:space="preserve">4  </w:t>
            </w:r>
            <w:r>
              <w:rPr>
                <w:rFonts w:hint="eastAsia"/>
                <w:b/>
                <w:color w:val="000000"/>
                <w:sz w:val="24"/>
                <w:szCs w:val="24"/>
              </w:rPr>
              <w:t>主要生产及辅助设备表</w:t>
            </w:r>
          </w:p>
          <w:tbl>
            <w:tblPr>
              <w:tblStyle w:val="75"/>
              <w:tblW w:w="839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24"/>
              <w:gridCol w:w="1701"/>
              <w:gridCol w:w="987"/>
              <w:gridCol w:w="988"/>
              <w:gridCol w:w="1128"/>
              <w:gridCol w:w="113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Merge w:val="restart"/>
                  <w:vAlign w:val="center"/>
                </w:tcPr>
                <w:p>
                  <w:pPr>
                    <w:jc w:val="center"/>
                    <w:rPr>
                      <w:b/>
                      <w:kern w:val="0"/>
                      <w:szCs w:val="21"/>
                    </w:rPr>
                  </w:pPr>
                  <w:r>
                    <w:rPr>
                      <w:rFonts w:hint="eastAsia"/>
                      <w:b/>
                      <w:kern w:val="0"/>
                      <w:szCs w:val="21"/>
                    </w:rPr>
                    <w:t>序号</w:t>
                  </w:r>
                </w:p>
              </w:tc>
              <w:tc>
                <w:tcPr>
                  <w:tcW w:w="1824" w:type="dxa"/>
                  <w:vMerge w:val="restart"/>
                  <w:vAlign w:val="center"/>
                </w:tcPr>
                <w:p>
                  <w:pPr>
                    <w:jc w:val="center"/>
                    <w:rPr>
                      <w:b/>
                      <w:kern w:val="0"/>
                      <w:szCs w:val="21"/>
                    </w:rPr>
                  </w:pPr>
                  <w:r>
                    <w:rPr>
                      <w:b/>
                      <w:kern w:val="0"/>
                      <w:szCs w:val="21"/>
                    </w:rPr>
                    <w:t>名称</w:t>
                  </w:r>
                </w:p>
              </w:tc>
              <w:tc>
                <w:tcPr>
                  <w:tcW w:w="1701" w:type="dxa"/>
                  <w:vMerge w:val="restart"/>
                  <w:vAlign w:val="center"/>
                </w:tcPr>
                <w:p>
                  <w:pPr>
                    <w:jc w:val="center"/>
                    <w:rPr>
                      <w:b/>
                      <w:kern w:val="0"/>
                      <w:szCs w:val="21"/>
                    </w:rPr>
                  </w:pPr>
                  <w:r>
                    <w:rPr>
                      <w:rFonts w:hint="eastAsia"/>
                      <w:b/>
                      <w:kern w:val="0"/>
                      <w:szCs w:val="21"/>
                    </w:rPr>
                    <w:t>规格（型号）</w:t>
                  </w:r>
                </w:p>
              </w:tc>
              <w:tc>
                <w:tcPr>
                  <w:tcW w:w="3103" w:type="dxa"/>
                  <w:gridSpan w:val="3"/>
                  <w:vAlign w:val="center"/>
                </w:tcPr>
                <w:p>
                  <w:pPr>
                    <w:jc w:val="center"/>
                    <w:rPr>
                      <w:b/>
                      <w:bCs/>
                      <w:spacing w:val="-4"/>
                      <w:kern w:val="0"/>
                      <w:szCs w:val="21"/>
                    </w:rPr>
                  </w:pPr>
                  <w:r>
                    <w:rPr>
                      <w:b/>
                      <w:kern w:val="0"/>
                      <w:szCs w:val="21"/>
                    </w:rPr>
                    <w:t>数量（单位）</w:t>
                  </w:r>
                </w:p>
              </w:tc>
              <w:tc>
                <w:tcPr>
                  <w:tcW w:w="1139" w:type="dxa"/>
                  <w:vMerge w:val="restart"/>
                  <w:vAlign w:val="center"/>
                </w:tcPr>
                <w:p>
                  <w:pPr>
                    <w:jc w:val="center"/>
                    <w:rPr>
                      <w:b/>
                      <w:kern w:val="0"/>
                      <w:szCs w:val="21"/>
                    </w:rPr>
                  </w:pPr>
                  <w:r>
                    <w:rPr>
                      <w:b/>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Merge w:val="continue"/>
                  <w:vAlign w:val="center"/>
                </w:tcPr>
                <w:p>
                  <w:pPr>
                    <w:jc w:val="center"/>
                    <w:rPr>
                      <w:b/>
                      <w:kern w:val="0"/>
                      <w:szCs w:val="21"/>
                    </w:rPr>
                  </w:pPr>
                </w:p>
              </w:tc>
              <w:tc>
                <w:tcPr>
                  <w:tcW w:w="1824" w:type="dxa"/>
                  <w:vMerge w:val="continue"/>
                  <w:vAlign w:val="center"/>
                </w:tcPr>
                <w:p>
                  <w:pPr>
                    <w:jc w:val="center"/>
                    <w:rPr>
                      <w:b/>
                      <w:kern w:val="0"/>
                      <w:szCs w:val="21"/>
                    </w:rPr>
                  </w:pPr>
                </w:p>
              </w:tc>
              <w:tc>
                <w:tcPr>
                  <w:tcW w:w="1701" w:type="dxa"/>
                  <w:vMerge w:val="continue"/>
                  <w:vAlign w:val="center"/>
                </w:tcPr>
                <w:p>
                  <w:pPr>
                    <w:jc w:val="center"/>
                    <w:rPr>
                      <w:b/>
                      <w:kern w:val="0"/>
                      <w:szCs w:val="21"/>
                    </w:rPr>
                  </w:pPr>
                </w:p>
              </w:tc>
              <w:tc>
                <w:tcPr>
                  <w:tcW w:w="987" w:type="dxa"/>
                  <w:vAlign w:val="center"/>
                </w:tcPr>
                <w:p>
                  <w:pPr>
                    <w:jc w:val="center"/>
                    <w:rPr>
                      <w:b/>
                      <w:kern w:val="0"/>
                      <w:szCs w:val="21"/>
                    </w:rPr>
                  </w:pPr>
                  <w:r>
                    <w:rPr>
                      <w:rFonts w:hint="eastAsia" w:asciiTheme="minorEastAsia" w:hAnsiTheme="minorEastAsia" w:eastAsiaTheme="minorEastAsia"/>
                      <w:b/>
                      <w:szCs w:val="21"/>
                      <w:lang w:eastAsia="zh-CN"/>
                    </w:rPr>
                    <w:t>改建</w:t>
                  </w:r>
                  <w:r>
                    <w:rPr>
                      <w:rFonts w:hint="eastAsia" w:asciiTheme="minorEastAsia" w:hAnsiTheme="minorEastAsia" w:eastAsiaTheme="minorEastAsia"/>
                      <w:b/>
                      <w:szCs w:val="21"/>
                    </w:rPr>
                    <w:t>前</w:t>
                  </w:r>
                </w:p>
              </w:tc>
              <w:tc>
                <w:tcPr>
                  <w:tcW w:w="988" w:type="dxa"/>
                  <w:vAlign w:val="center"/>
                </w:tcPr>
                <w:p>
                  <w:pPr>
                    <w:jc w:val="center"/>
                    <w:rPr>
                      <w:b/>
                      <w:kern w:val="0"/>
                      <w:szCs w:val="21"/>
                    </w:rPr>
                  </w:pPr>
                  <w:r>
                    <w:rPr>
                      <w:rFonts w:hint="eastAsia" w:asciiTheme="minorEastAsia" w:hAnsiTheme="minorEastAsia" w:eastAsiaTheme="minorEastAsia"/>
                      <w:b/>
                      <w:szCs w:val="21"/>
                      <w:lang w:eastAsia="zh-CN"/>
                    </w:rPr>
                    <w:t>改建</w:t>
                  </w:r>
                  <w:r>
                    <w:rPr>
                      <w:rFonts w:hint="eastAsia" w:asciiTheme="minorEastAsia" w:hAnsiTheme="minorEastAsia" w:eastAsiaTheme="minorEastAsia"/>
                      <w:b/>
                      <w:szCs w:val="21"/>
                    </w:rPr>
                    <w:t>后</w:t>
                  </w:r>
                </w:p>
              </w:tc>
              <w:tc>
                <w:tcPr>
                  <w:tcW w:w="1128" w:type="dxa"/>
                  <w:vAlign w:val="center"/>
                </w:tcPr>
                <w:p>
                  <w:pPr>
                    <w:jc w:val="center"/>
                    <w:rPr>
                      <w:b/>
                      <w:kern w:val="0"/>
                      <w:szCs w:val="21"/>
                    </w:rPr>
                  </w:pPr>
                  <w:r>
                    <w:rPr>
                      <w:rFonts w:hint="eastAsia" w:asciiTheme="minorEastAsia" w:hAnsiTheme="minorEastAsia" w:eastAsiaTheme="minorEastAsia"/>
                      <w:b/>
                      <w:szCs w:val="21"/>
                    </w:rPr>
                    <w:t>变化量</w:t>
                  </w:r>
                </w:p>
              </w:tc>
              <w:tc>
                <w:tcPr>
                  <w:tcW w:w="1139" w:type="dxa"/>
                  <w:vMerge w:val="continue"/>
                  <w:vAlign w:val="center"/>
                </w:tcPr>
                <w:p>
                  <w:pPr>
                    <w:jc w:val="center"/>
                    <w:rPr>
                      <w:b/>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kern w:val="0"/>
                      <w:szCs w:val="21"/>
                      <w:lang w:val="en-US"/>
                    </w:rPr>
                  </w:pPr>
                  <w:r>
                    <w:rPr>
                      <w:rFonts w:hint="eastAsia"/>
                      <w:kern w:val="0"/>
                      <w:szCs w:val="21"/>
                      <w:lang w:val="en-US"/>
                    </w:rPr>
                    <w:t>1</w:t>
                  </w:r>
                </w:p>
              </w:tc>
              <w:tc>
                <w:tcPr>
                  <w:tcW w:w="1824" w:type="dxa"/>
                  <w:vAlign w:val="center"/>
                </w:tcPr>
                <w:p>
                  <w:pPr>
                    <w:jc w:val="center"/>
                    <w:rPr>
                      <w:rFonts w:hint="eastAsia" w:eastAsia="宋体"/>
                      <w:szCs w:val="21"/>
                      <w:lang w:val="en-US" w:eastAsia="zh-CN"/>
                    </w:rPr>
                  </w:pPr>
                  <w:r>
                    <w:rPr>
                      <w:rFonts w:hint="eastAsia"/>
                      <w:szCs w:val="21"/>
                      <w:lang w:val="en-US" w:eastAsia="zh-CN"/>
                    </w:rPr>
                    <w:t>天然气推板窑</w:t>
                  </w:r>
                </w:p>
              </w:tc>
              <w:tc>
                <w:tcPr>
                  <w:tcW w:w="1701" w:type="dxa"/>
                  <w:vAlign w:val="center"/>
                </w:tcPr>
                <w:p>
                  <w:pPr>
                    <w:jc w:val="center"/>
                    <w:rPr>
                      <w:rFonts w:hint="default" w:eastAsia="宋体"/>
                      <w:szCs w:val="21"/>
                      <w:lang w:val="en-US" w:eastAsia="zh-CN"/>
                    </w:rPr>
                  </w:pPr>
                  <w:r>
                    <w:rPr>
                      <w:rFonts w:hint="eastAsia"/>
                      <w:szCs w:val="21"/>
                      <w:lang w:val="en-US" w:eastAsia="zh-CN"/>
                    </w:rPr>
                    <w:t>20m、2孔</w:t>
                  </w:r>
                </w:p>
              </w:tc>
              <w:tc>
                <w:tcPr>
                  <w:tcW w:w="987" w:type="dxa"/>
                  <w:vAlign w:val="center"/>
                </w:tcPr>
                <w:p>
                  <w:pPr>
                    <w:jc w:val="center"/>
                    <w:rPr>
                      <w:rFonts w:hint="eastAsia" w:eastAsia="宋体"/>
                      <w:szCs w:val="21"/>
                      <w:lang w:val="en-US" w:eastAsia="zh-CN"/>
                    </w:rPr>
                  </w:pPr>
                  <w:r>
                    <w:rPr>
                      <w:rFonts w:hint="eastAsia"/>
                      <w:szCs w:val="21"/>
                      <w:lang w:val="en-US" w:eastAsia="zh-CN"/>
                    </w:rPr>
                    <w:t>1</w:t>
                  </w:r>
                </w:p>
              </w:tc>
              <w:tc>
                <w:tcPr>
                  <w:tcW w:w="988" w:type="dxa"/>
                  <w:vAlign w:val="center"/>
                </w:tcPr>
                <w:p>
                  <w:pPr>
                    <w:jc w:val="center"/>
                    <w:rPr>
                      <w:rFonts w:hint="default" w:eastAsia="宋体"/>
                      <w:szCs w:val="21"/>
                      <w:lang w:val="en-US" w:eastAsia="zh-CN"/>
                    </w:rPr>
                  </w:pPr>
                  <w:r>
                    <w:rPr>
                      <w:rFonts w:hint="eastAsia"/>
                      <w:szCs w:val="21"/>
                      <w:lang w:val="en-US" w:eastAsia="zh-CN"/>
                    </w:rPr>
                    <w:t>1</w:t>
                  </w:r>
                </w:p>
              </w:tc>
              <w:tc>
                <w:tcPr>
                  <w:tcW w:w="1128" w:type="dxa"/>
                  <w:vAlign w:val="center"/>
                </w:tcPr>
                <w:p>
                  <w:pPr>
                    <w:jc w:val="center"/>
                    <w:rPr>
                      <w:rFonts w:hint="eastAsia" w:eastAsia="宋体"/>
                      <w:szCs w:val="21"/>
                      <w:lang w:val="en-US" w:eastAsia="zh-CN"/>
                    </w:rPr>
                  </w:pPr>
                  <w:r>
                    <w:rPr>
                      <w:rFonts w:hint="eastAsia"/>
                      <w:szCs w:val="21"/>
                      <w:lang w:val="en-US" w:eastAsia="zh-CN"/>
                    </w:rPr>
                    <w:t>0</w:t>
                  </w:r>
                </w:p>
              </w:tc>
              <w:tc>
                <w:tcPr>
                  <w:tcW w:w="1139" w:type="dxa"/>
                  <w:vMerge w:val="restart"/>
                  <w:vAlign w:val="center"/>
                </w:tcPr>
                <w:p>
                  <w:pPr>
                    <w:jc w:val="center"/>
                    <w:rPr>
                      <w:szCs w:val="21"/>
                    </w:rPr>
                  </w:pPr>
                </w:p>
                <w:p>
                  <w:pPr>
                    <w:jc w:val="center"/>
                    <w:rPr>
                      <w:szCs w:val="21"/>
                    </w:rPr>
                  </w:pPr>
                  <w:r>
                    <w:rPr>
                      <w:rFonts w:hint="eastAsia"/>
                      <w:szCs w:val="21"/>
                    </w:rPr>
                    <w:t>原有设备纳入三个一批登记管理</w:t>
                  </w:r>
                </w:p>
                <w:p>
                  <w:pP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kern w:val="0"/>
                      <w:szCs w:val="21"/>
                      <w:lang w:val="en-US"/>
                    </w:rPr>
                  </w:pPr>
                  <w:r>
                    <w:rPr>
                      <w:rFonts w:hint="eastAsia"/>
                      <w:kern w:val="0"/>
                      <w:szCs w:val="21"/>
                      <w:lang w:val="en-US"/>
                    </w:rPr>
                    <w:t>2</w:t>
                  </w:r>
                </w:p>
              </w:tc>
              <w:tc>
                <w:tcPr>
                  <w:tcW w:w="1824" w:type="dxa"/>
                  <w:vAlign w:val="center"/>
                </w:tcPr>
                <w:p>
                  <w:pPr>
                    <w:jc w:val="center"/>
                    <w:rPr>
                      <w:rFonts w:hint="eastAsia" w:eastAsia="宋体"/>
                      <w:szCs w:val="21"/>
                      <w:lang w:eastAsia="zh-CN"/>
                    </w:rPr>
                  </w:pPr>
                  <w:r>
                    <w:rPr>
                      <w:rFonts w:hint="eastAsia"/>
                      <w:szCs w:val="21"/>
                      <w:lang w:eastAsia="zh-CN"/>
                    </w:rPr>
                    <w:t>球磨机</w:t>
                  </w:r>
                </w:p>
              </w:tc>
              <w:tc>
                <w:tcPr>
                  <w:tcW w:w="1701" w:type="dxa"/>
                  <w:vAlign w:val="center"/>
                </w:tcPr>
                <w:p>
                  <w:pPr>
                    <w:jc w:val="center"/>
                    <w:rPr>
                      <w:rFonts w:hint="eastAsia" w:eastAsia="宋体"/>
                      <w:szCs w:val="21"/>
                      <w:lang w:val="en-US" w:eastAsia="zh-CN"/>
                    </w:rPr>
                  </w:pPr>
                  <w:r>
                    <w:rPr>
                      <w:rFonts w:hint="eastAsia"/>
                      <w:szCs w:val="21"/>
                      <w:lang w:val="en-US" w:eastAsia="zh-CN"/>
                    </w:rPr>
                    <w:t>/</w:t>
                  </w:r>
                </w:p>
              </w:tc>
              <w:tc>
                <w:tcPr>
                  <w:tcW w:w="987" w:type="dxa"/>
                  <w:vAlign w:val="center"/>
                </w:tcPr>
                <w:p>
                  <w:pPr>
                    <w:jc w:val="center"/>
                    <w:rPr>
                      <w:rFonts w:hint="eastAsia" w:eastAsia="宋体"/>
                      <w:szCs w:val="21"/>
                      <w:lang w:val="en-US" w:eastAsia="zh-CN"/>
                    </w:rPr>
                  </w:pPr>
                  <w:r>
                    <w:rPr>
                      <w:rFonts w:hint="eastAsia"/>
                      <w:szCs w:val="21"/>
                      <w:lang w:val="en-US" w:eastAsia="zh-CN"/>
                    </w:rPr>
                    <w:t>3</w:t>
                  </w:r>
                </w:p>
              </w:tc>
              <w:tc>
                <w:tcPr>
                  <w:tcW w:w="988" w:type="dxa"/>
                  <w:vAlign w:val="center"/>
                </w:tcPr>
                <w:p>
                  <w:pPr>
                    <w:jc w:val="center"/>
                    <w:rPr>
                      <w:rFonts w:hint="eastAsia" w:eastAsia="宋体"/>
                      <w:szCs w:val="21"/>
                      <w:lang w:val="en-US" w:eastAsia="zh-CN"/>
                    </w:rPr>
                  </w:pPr>
                  <w:r>
                    <w:rPr>
                      <w:rFonts w:hint="eastAsia"/>
                      <w:szCs w:val="21"/>
                      <w:lang w:val="en-US" w:eastAsia="zh-CN"/>
                    </w:rPr>
                    <w:t>9</w:t>
                  </w:r>
                </w:p>
              </w:tc>
              <w:tc>
                <w:tcPr>
                  <w:tcW w:w="1128" w:type="dxa"/>
                  <w:vAlign w:val="center"/>
                </w:tcPr>
                <w:p>
                  <w:pPr>
                    <w:jc w:val="center"/>
                    <w:rPr>
                      <w:rFonts w:hint="default" w:eastAsia="宋体"/>
                      <w:szCs w:val="21"/>
                      <w:lang w:val="en-US" w:eastAsia="zh-CN"/>
                    </w:rPr>
                  </w:pPr>
                  <w:r>
                    <w:rPr>
                      <w:rFonts w:hint="eastAsia"/>
                      <w:szCs w:val="21"/>
                      <w:lang w:val="en-US" w:eastAsia="zh-CN"/>
                    </w:rPr>
                    <w:t>+6</w:t>
                  </w:r>
                </w:p>
              </w:tc>
              <w:tc>
                <w:tcPr>
                  <w:tcW w:w="1139"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kern w:val="0"/>
                      <w:szCs w:val="21"/>
                      <w:lang w:val="en-US"/>
                    </w:rPr>
                  </w:pPr>
                  <w:r>
                    <w:rPr>
                      <w:rFonts w:hint="eastAsia"/>
                      <w:kern w:val="0"/>
                      <w:szCs w:val="21"/>
                      <w:lang w:val="en-US"/>
                    </w:rPr>
                    <w:t>3</w:t>
                  </w:r>
                </w:p>
              </w:tc>
              <w:tc>
                <w:tcPr>
                  <w:tcW w:w="1824" w:type="dxa"/>
                  <w:vAlign w:val="center"/>
                </w:tcPr>
                <w:p>
                  <w:pPr>
                    <w:jc w:val="center"/>
                    <w:rPr>
                      <w:rFonts w:hint="default" w:eastAsia="宋体"/>
                      <w:szCs w:val="21"/>
                      <w:lang w:val="en-US" w:eastAsia="zh-CN"/>
                    </w:rPr>
                  </w:pPr>
                  <w:r>
                    <w:rPr>
                      <w:rFonts w:hint="eastAsia"/>
                      <w:szCs w:val="21"/>
                      <w:lang w:val="en-US" w:eastAsia="zh-CN"/>
                    </w:rPr>
                    <w:t>搅拌机</w:t>
                  </w:r>
                </w:p>
              </w:tc>
              <w:tc>
                <w:tcPr>
                  <w:tcW w:w="1701" w:type="dxa"/>
                  <w:vAlign w:val="center"/>
                </w:tcPr>
                <w:p>
                  <w:pPr>
                    <w:jc w:val="center"/>
                    <w:rPr>
                      <w:rFonts w:hint="eastAsia" w:eastAsia="宋体"/>
                      <w:szCs w:val="21"/>
                      <w:lang w:val="en-US" w:eastAsia="zh-CN"/>
                    </w:rPr>
                  </w:pPr>
                  <w:r>
                    <w:rPr>
                      <w:rFonts w:hint="eastAsia"/>
                      <w:szCs w:val="21"/>
                      <w:lang w:val="en-US" w:eastAsia="zh-CN"/>
                    </w:rPr>
                    <w:t>/</w:t>
                  </w:r>
                </w:p>
              </w:tc>
              <w:tc>
                <w:tcPr>
                  <w:tcW w:w="987" w:type="dxa"/>
                  <w:vAlign w:val="center"/>
                </w:tcPr>
                <w:p>
                  <w:pPr>
                    <w:jc w:val="center"/>
                    <w:rPr>
                      <w:rFonts w:hint="eastAsia" w:eastAsia="宋体"/>
                      <w:szCs w:val="21"/>
                      <w:lang w:val="en-US" w:eastAsia="zh-CN"/>
                    </w:rPr>
                  </w:pPr>
                  <w:r>
                    <w:rPr>
                      <w:rFonts w:hint="eastAsia"/>
                      <w:szCs w:val="21"/>
                      <w:lang w:val="en-US" w:eastAsia="zh-CN"/>
                    </w:rPr>
                    <w:t>4</w:t>
                  </w:r>
                </w:p>
              </w:tc>
              <w:tc>
                <w:tcPr>
                  <w:tcW w:w="988" w:type="dxa"/>
                  <w:vAlign w:val="center"/>
                </w:tcPr>
                <w:p>
                  <w:pPr>
                    <w:jc w:val="center"/>
                    <w:rPr>
                      <w:rFonts w:hint="default" w:eastAsia="宋体"/>
                      <w:szCs w:val="21"/>
                      <w:lang w:val="en-US" w:eastAsia="zh-CN"/>
                    </w:rPr>
                  </w:pPr>
                  <w:r>
                    <w:rPr>
                      <w:rFonts w:hint="eastAsia"/>
                      <w:szCs w:val="21"/>
                      <w:lang w:val="en-US" w:eastAsia="zh-CN"/>
                    </w:rPr>
                    <w:t>4</w:t>
                  </w:r>
                </w:p>
              </w:tc>
              <w:tc>
                <w:tcPr>
                  <w:tcW w:w="1128" w:type="dxa"/>
                  <w:vAlign w:val="center"/>
                </w:tcPr>
                <w:p>
                  <w:pPr>
                    <w:jc w:val="center"/>
                    <w:rPr>
                      <w:rFonts w:hint="eastAsia" w:eastAsia="宋体"/>
                      <w:szCs w:val="21"/>
                      <w:lang w:val="en-US" w:eastAsia="zh-CN"/>
                    </w:rPr>
                  </w:pPr>
                  <w:r>
                    <w:rPr>
                      <w:rFonts w:hint="eastAsia"/>
                      <w:szCs w:val="21"/>
                      <w:lang w:val="en-US" w:eastAsia="zh-CN"/>
                    </w:rPr>
                    <w:t>0</w:t>
                  </w:r>
                </w:p>
              </w:tc>
              <w:tc>
                <w:tcPr>
                  <w:tcW w:w="1139"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kern w:val="0"/>
                      <w:szCs w:val="21"/>
                      <w:lang w:val="en-US"/>
                    </w:rPr>
                  </w:pPr>
                  <w:r>
                    <w:rPr>
                      <w:rFonts w:hint="eastAsia"/>
                      <w:kern w:val="0"/>
                      <w:szCs w:val="21"/>
                      <w:lang w:val="en-US"/>
                    </w:rPr>
                    <w:t>4</w:t>
                  </w:r>
                </w:p>
              </w:tc>
              <w:tc>
                <w:tcPr>
                  <w:tcW w:w="1824" w:type="dxa"/>
                  <w:vAlign w:val="center"/>
                </w:tcPr>
                <w:p>
                  <w:pPr>
                    <w:jc w:val="center"/>
                    <w:rPr>
                      <w:rFonts w:hint="default" w:eastAsia="宋体"/>
                      <w:szCs w:val="21"/>
                      <w:lang w:val="en-US" w:eastAsia="zh-CN"/>
                    </w:rPr>
                  </w:pPr>
                  <w:r>
                    <w:rPr>
                      <w:rFonts w:hint="eastAsia"/>
                      <w:szCs w:val="21"/>
                      <w:lang w:val="en-US" w:eastAsia="zh-CN"/>
                    </w:rPr>
                    <w:t>干压机</w:t>
                  </w:r>
                </w:p>
              </w:tc>
              <w:tc>
                <w:tcPr>
                  <w:tcW w:w="1701" w:type="dxa"/>
                  <w:vAlign w:val="center"/>
                </w:tcPr>
                <w:p>
                  <w:pPr>
                    <w:jc w:val="center"/>
                    <w:rPr>
                      <w:rFonts w:hint="eastAsia" w:eastAsia="宋体"/>
                      <w:szCs w:val="21"/>
                      <w:lang w:val="en-US" w:eastAsia="zh-CN"/>
                    </w:rPr>
                  </w:pPr>
                  <w:r>
                    <w:rPr>
                      <w:rFonts w:hint="eastAsia"/>
                      <w:szCs w:val="21"/>
                      <w:lang w:val="en-US" w:eastAsia="zh-CN"/>
                    </w:rPr>
                    <w:t>/</w:t>
                  </w:r>
                </w:p>
              </w:tc>
              <w:tc>
                <w:tcPr>
                  <w:tcW w:w="987" w:type="dxa"/>
                  <w:vAlign w:val="center"/>
                </w:tcPr>
                <w:p>
                  <w:pPr>
                    <w:jc w:val="center"/>
                    <w:rPr>
                      <w:rFonts w:hint="eastAsia" w:eastAsia="宋体"/>
                      <w:szCs w:val="21"/>
                      <w:lang w:val="en-US" w:eastAsia="zh-CN"/>
                    </w:rPr>
                  </w:pPr>
                  <w:r>
                    <w:rPr>
                      <w:rFonts w:hint="eastAsia"/>
                      <w:szCs w:val="21"/>
                      <w:lang w:val="en-US" w:eastAsia="zh-CN"/>
                    </w:rPr>
                    <w:t>1</w:t>
                  </w:r>
                </w:p>
              </w:tc>
              <w:tc>
                <w:tcPr>
                  <w:tcW w:w="988" w:type="dxa"/>
                  <w:vAlign w:val="center"/>
                </w:tcPr>
                <w:p>
                  <w:pPr>
                    <w:jc w:val="center"/>
                    <w:rPr>
                      <w:rFonts w:hint="default" w:eastAsia="宋体"/>
                      <w:szCs w:val="21"/>
                      <w:lang w:val="en-US" w:eastAsia="zh-CN"/>
                    </w:rPr>
                  </w:pPr>
                  <w:r>
                    <w:rPr>
                      <w:rFonts w:hint="eastAsia"/>
                      <w:szCs w:val="21"/>
                      <w:lang w:val="en-US" w:eastAsia="zh-CN"/>
                    </w:rPr>
                    <w:t>11</w:t>
                  </w:r>
                </w:p>
              </w:tc>
              <w:tc>
                <w:tcPr>
                  <w:tcW w:w="1128" w:type="dxa"/>
                  <w:vAlign w:val="center"/>
                </w:tcPr>
                <w:p>
                  <w:pPr>
                    <w:jc w:val="center"/>
                    <w:rPr>
                      <w:rFonts w:hint="default" w:eastAsia="宋体"/>
                      <w:szCs w:val="21"/>
                      <w:lang w:val="en-US" w:eastAsia="zh-CN"/>
                    </w:rPr>
                  </w:pPr>
                  <w:r>
                    <w:rPr>
                      <w:rFonts w:hint="eastAsia"/>
                      <w:szCs w:val="21"/>
                      <w:lang w:val="en-US" w:eastAsia="zh-CN"/>
                    </w:rPr>
                    <w:t>+10</w:t>
                  </w:r>
                </w:p>
              </w:tc>
              <w:tc>
                <w:tcPr>
                  <w:tcW w:w="1139"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rFonts w:hint="eastAsia" w:eastAsia="宋体"/>
                      <w:kern w:val="0"/>
                      <w:szCs w:val="21"/>
                      <w:lang w:val="en-US" w:eastAsia="zh-CN"/>
                    </w:rPr>
                  </w:pPr>
                  <w:r>
                    <w:rPr>
                      <w:rFonts w:hint="eastAsia"/>
                      <w:kern w:val="0"/>
                      <w:szCs w:val="21"/>
                      <w:lang w:val="en-US" w:eastAsia="zh-CN"/>
                    </w:rPr>
                    <w:t>5</w:t>
                  </w:r>
                </w:p>
              </w:tc>
              <w:tc>
                <w:tcPr>
                  <w:tcW w:w="1824" w:type="dxa"/>
                  <w:vAlign w:val="center"/>
                </w:tcPr>
                <w:p>
                  <w:pPr>
                    <w:jc w:val="center"/>
                    <w:rPr>
                      <w:rFonts w:hint="default" w:eastAsia="宋体"/>
                      <w:szCs w:val="21"/>
                      <w:lang w:val="en-US" w:eastAsia="zh-CN"/>
                    </w:rPr>
                  </w:pPr>
                  <w:r>
                    <w:rPr>
                      <w:rFonts w:hint="eastAsia"/>
                      <w:szCs w:val="21"/>
                      <w:lang w:val="en-US" w:eastAsia="zh-CN"/>
                    </w:rPr>
                    <w:t>喷雾造粒设备</w:t>
                  </w:r>
                </w:p>
              </w:tc>
              <w:tc>
                <w:tcPr>
                  <w:tcW w:w="1701" w:type="dxa"/>
                  <w:vAlign w:val="center"/>
                </w:tcPr>
                <w:p>
                  <w:pPr>
                    <w:jc w:val="center"/>
                    <w:rPr>
                      <w:rFonts w:hint="eastAsia" w:eastAsia="宋体"/>
                      <w:lang w:val="en-US" w:eastAsia="zh-CN"/>
                    </w:rPr>
                  </w:pPr>
                  <w:r>
                    <w:rPr>
                      <w:rFonts w:hint="eastAsia"/>
                      <w:lang w:val="en-US" w:eastAsia="zh-CN"/>
                    </w:rPr>
                    <w:t>/</w:t>
                  </w:r>
                </w:p>
              </w:tc>
              <w:tc>
                <w:tcPr>
                  <w:tcW w:w="987" w:type="dxa"/>
                  <w:vAlign w:val="center"/>
                </w:tcPr>
                <w:p>
                  <w:pPr>
                    <w:jc w:val="center"/>
                    <w:rPr>
                      <w:rFonts w:hint="eastAsia" w:eastAsia="宋体"/>
                      <w:lang w:val="en-US" w:eastAsia="zh-CN"/>
                    </w:rPr>
                  </w:pPr>
                  <w:r>
                    <w:rPr>
                      <w:rFonts w:hint="eastAsia"/>
                      <w:lang w:val="en-US" w:eastAsia="zh-CN"/>
                    </w:rPr>
                    <w:t>0</w:t>
                  </w:r>
                </w:p>
              </w:tc>
              <w:tc>
                <w:tcPr>
                  <w:tcW w:w="988" w:type="dxa"/>
                  <w:vAlign w:val="center"/>
                </w:tcPr>
                <w:p>
                  <w:pPr>
                    <w:jc w:val="center"/>
                    <w:rPr>
                      <w:rFonts w:hint="eastAsia" w:eastAsia="宋体"/>
                      <w:lang w:val="en-US" w:eastAsia="zh-CN"/>
                    </w:rPr>
                  </w:pPr>
                  <w:r>
                    <w:rPr>
                      <w:rFonts w:hint="eastAsia"/>
                      <w:lang w:val="en-US" w:eastAsia="zh-CN"/>
                    </w:rPr>
                    <w:t>2</w:t>
                  </w:r>
                </w:p>
              </w:tc>
              <w:tc>
                <w:tcPr>
                  <w:tcW w:w="1128" w:type="dxa"/>
                  <w:vAlign w:val="center"/>
                </w:tcPr>
                <w:p>
                  <w:pPr>
                    <w:jc w:val="center"/>
                    <w:rPr>
                      <w:rFonts w:hint="default" w:eastAsia="宋体"/>
                      <w:szCs w:val="21"/>
                      <w:lang w:val="en-US" w:eastAsia="zh-CN"/>
                    </w:rPr>
                  </w:pPr>
                  <w:r>
                    <w:rPr>
                      <w:rFonts w:hint="eastAsia"/>
                      <w:szCs w:val="21"/>
                      <w:lang w:val="en-US" w:eastAsia="zh-CN"/>
                    </w:rPr>
                    <w:t>+2</w:t>
                  </w:r>
                </w:p>
              </w:tc>
              <w:tc>
                <w:tcPr>
                  <w:tcW w:w="1139"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Align w:val="center"/>
                </w:tcPr>
                <w:p>
                  <w:pPr>
                    <w:jc w:val="center"/>
                    <w:rPr>
                      <w:rFonts w:hint="eastAsia" w:eastAsia="宋体"/>
                      <w:kern w:val="0"/>
                      <w:szCs w:val="21"/>
                      <w:lang w:val="en-US" w:eastAsia="zh-CN"/>
                    </w:rPr>
                  </w:pPr>
                  <w:r>
                    <w:rPr>
                      <w:rFonts w:hint="eastAsia"/>
                      <w:kern w:val="0"/>
                      <w:szCs w:val="21"/>
                      <w:lang w:val="en-US" w:eastAsia="zh-CN"/>
                    </w:rPr>
                    <w:t>6</w:t>
                  </w:r>
                </w:p>
              </w:tc>
              <w:tc>
                <w:tcPr>
                  <w:tcW w:w="1824" w:type="dxa"/>
                  <w:vAlign w:val="center"/>
                </w:tcPr>
                <w:p>
                  <w:pPr>
                    <w:jc w:val="center"/>
                    <w:rPr>
                      <w:rFonts w:hint="default" w:eastAsia="宋体"/>
                      <w:szCs w:val="21"/>
                      <w:lang w:val="en-US" w:eastAsia="zh-CN"/>
                    </w:rPr>
                  </w:pPr>
                  <w:r>
                    <w:rPr>
                      <w:rFonts w:hint="eastAsia"/>
                      <w:szCs w:val="21"/>
                      <w:lang w:val="en-US" w:eastAsia="zh-CN"/>
                    </w:rPr>
                    <w:t>辊道窑</w:t>
                  </w:r>
                </w:p>
              </w:tc>
              <w:tc>
                <w:tcPr>
                  <w:tcW w:w="1701" w:type="dxa"/>
                  <w:vAlign w:val="center"/>
                </w:tcPr>
                <w:p>
                  <w:pPr>
                    <w:jc w:val="center"/>
                    <w:rPr>
                      <w:rFonts w:hint="default" w:eastAsia="宋体"/>
                      <w:lang w:val="en-US" w:eastAsia="zh-CN"/>
                    </w:rPr>
                  </w:pPr>
                  <w:r>
                    <w:rPr>
                      <w:rFonts w:hint="eastAsia"/>
                      <w:lang w:val="en-US" w:eastAsia="zh-CN"/>
                    </w:rPr>
                    <w:t>40m</w:t>
                  </w:r>
                </w:p>
              </w:tc>
              <w:tc>
                <w:tcPr>
                  <w:tcW w:w="987" w:type="dxa"/>
                  <w:vAlign w:val="center"/>
                </w:tcPr>
                <w:p>
                  <w:pPr>
                    <w:jc w:val="center"/>
                    <w:rPr>
                      <w:rFonts w:hint="eastAsia" w:eastAsia="宋体"/>
                      <w:lang w:val="en-US" w:eastAsia="zh-CN"/>
                    </w:rPr>
                  </w:pPr>
                  <w:r>
                    <w:rPr>
                      <w:rFonts w:hint="eastAsia"/>
                      <w:lang w:val="en-US" w:eastAsia="zh-CN"/>
                    </w:rPr>
                    <w:t>0</w:t>
                  </w:r>
                </w:p>
              </w:tc>
              <w:tc>
                <w:tcPr>
                  <w:tcW w:w="988" w:type="dxa"/>
                  <w:vAlign w:val="center"/>
                </w:tcPr>
                <w:p>
                  <w:pPr>
                    <w:jc w:val="center"/>
                    <w:rPr>
                      <w:rFonts w:hint="eastAsia" w:eastAsia="宋体"/>
                      <w:lang w:val="en-US" w:eastAsia="zh-CN"/>
                    </w:rPr>
                  </w:pPr>
                  <w:r>
                    <w:rPr>
                      <w:rFonts w:hint="eastAsia"/>
                      <w:lang w:val="en-US" w:eastAsia="zh-CN"/>
                    </w:rPr>
                    <w:t>1</w:t>
                  </w:r>
                </w:p>
              </w:tc>
              <w:tc>
                <w:tcPr>
                  <w:tcW w:w="1128" w:type="dxa"/>
                  <w:vAlign w:val="center"/>
                </w:tcPr>
                <w:p>
                  <w:pPr>
                    <w:jc w:val="center"/>
                    <w:rPr>
                      <w:rFonts w:hint="default" w:eastAsia="宋体"/>
                      <w:szCs w:val="21"/>
                      <w:lang w:val="en-US" w:eastAsia="zh-CN"/>
                    </w:rPr>
                  </w:pPr>
                  <w:r>
                    <w:rPr>
                      <w:rFonts w:hint="eastAsia"/>
                      <w:szCs w:val="21"/>
                      <w:lang w:val="en-US" w:eastAsia="zh-CN"/>
                    </w:rPr>
                    <w:t>+1</w:t>
                  </w:r>
                </w:p>
              </w:tc>
              <w:tc>
                <w:tcPr>
                  <w:tcW w:w="1139" w:type="dxa"/>
                  <w:vMerge w:val="continue"/>
                  <w:vAlign w:val="center"/>
                </w:tcPr>
                <w:p>
                  <w:pPr>
                    <w:jc w:val="center"/>
                    <w:rPr>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sz w:val="24"/>
                <w:szCs w:val="24"/>
              </w:rPr>
            </w:pPr>
            <w:r>
              <w:rPr>
                <w:rFonts w:hint="eastAsia"/>
                <w:b/>
                <w:color w:val="000000"/>
                <w:sz w:val="24"/>
                <w:szCs w:val="24"/>
              </w:rPr>
              <w:t>表1-</w:t>
            </w:r>
            <w:r>
              <w:rPr>
                <w:rFonts w:hint="eastAsia"/>
                <w:b/>
                <w:color w:val="000000"/>
                <w:sz w:val="24"/>
                <w:szCs w:val="24"/>
                <w:lang w:val="en-US" w:eastAsia="zh-CN"/>
              </w:rPr>
              <w:t>5</w:t>
            </w:r>
            <w:r>
              <w:rPr>
                <w:rFonts w:hint="eastAsia"/>
                <w:b/>
                <w:color w:val="000000"/>
                <w:sz w:val="24"/>
                <w:szCs w:val="24"/>
              </w:rPr>
              <w:t xml:space="preserve">  </w:t>
            </w:r>
            <w:r>
              <w:rPr>
                <w:rFonts w:hint="eastAsia"/>
                <w:b/>
                <w:color w:val="000000"/>
                <w:sz w:val="24"/>
                <w:szCs w:val="24"/>
                <w:lang w:eastAsia="zh-CN"/>
              </w:rPr>
              <w:t>本项目辊道</w:t>
            </w:r>
            <w:r>
              <w:rPr>
                <w:rFonts w:hint="eastAsia"/>
                <w:b/>
                <w:color w:val="000000"/>
                <w:sz w:val="24"/>
                <w:szCs w:val="24"/>
              </w:rPr>
              <w:t>窑基本情况</w:t>
            </w:r>
          </w:p>
          <w:tbl>
            <w:tblPr>
              <w:tblStyle w:val="75"/>
              <w:tblW w:w="845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6"/>
              <w:gridCol w:w="771"/>
              <w:gridCol w:w="1592"/>
              <w:gridCol w:w="1057"/>
              <w:gridCol w:w="1336"/>
              <w:gridCol w:w="929"/>
              <w:gridCol w:w="87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64" w:type="dxa"/>
                  <w:vMerge w:val="restart"/>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336" w:type="dxa"/>
                  <w:vMerge w:val="restart"/>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窑类型</w:t>
                  </w:r>
                </w:p>
              </w:tc>
              <w:tc>
                <w:tcPr>
                  <w:tcW w:w="771" w:type="dxa"/>
                  <w:vMerge w:val="restart"/>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长度</w:t>
                  </w:r>
                </w:p>
              </w:tc>
              <w:tc>
                <w:tcPr>
                  <w:tcW w:w="1592" w:type="dxa"/>
                  <w:vMerge w:val="restart"/>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内径</w:t>
                  </w:r>
                </w:p>
              </w:tc>
              <w:tc>
                <w:tcPr>
                  <w:tcW w:w="3322" w:type="dxa"/>
                  <w:gridSpan w:val="3"/>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温长度段</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、温度</w:t>
                  </w:r>
                </w:p>
              </w:tc>
              <w:tc>
                <w:tcPr>
                  <w:tcW w:w="874" w:type="dxa"/>
                  <w:vMerge w:val="restart"/>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年运行</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时数</w:t>
                  </w:r>
                  <w:r>
                    <w:rPr>
                      <w:rFonts w:asciiTheme="minorEastAsia" w:hAnsiTheme="minorEastAsia" w:eastAsiaTheme="minorEastAsia"/>
                      <w:b/>
                      <w:color w:val="000000"/>
                      <w:szCs w:val="21"/>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64" w:type="dxa"/>
                  <w:vMerge w:val="continue"/>
                  <w:vAlign w:val="center"/>
                </w:tcPr>
                <w:p>
                  <w:pPr>
                    <w:widowControl/>
                    <w:jc w:val="left"/>
                    <w:rPr>
                      <w:rFonts w:asciiTheme="minorEastAsia" w:hAnsiTheme="minorEastAsia" w:eastAsiaTheme="minorEastAsia"/>
                      <w:color w:val="000000"/>
                      <w:szCs w:val="21"/>
                    </w:rPr>
                  </w:pPr>
                </w:p>
              </w:tc>
              <w:tc>
                <w:tcPr>
                  <w:tcW w:w="1336" w:type="dxa"/>
                  <w:vMerge w:val="continue"/>
                  <w:vAlign w:val="center"/>
                </w:tcPr>
                <w:p>
                  <w:pPr>
                    <w:widowControl/>
                    <w:jc w:val="left"/>
                    <w:rPr>
                      <w:rFonts w:asciiTheme="minorEastAsia" w:hAnsiTheme="minorEastAsia" w:eastAsiaTheme="minorEastAsia"/>
                      <w:color w:val="000000"/>
                      <w:szCs w:val="21"/>
                    </w:rPr>
                  </w:pPr>
                </w:p>
              </w:tc>
              <w:tc>
                <w:tcPr>
                  <w:tcW w:w="771" w:type="dxa"/>
                  <w:vMerge w:val="continue"/>
                  <w:vAlign w:val="center"/>
                </w:tcPr>
                <w:p>
                  <w:pPr>
                    <w:widowControl/>
                    <w:jc w:val="left"/>
                    <w:rPr>
                      <w:rFonts w:asciiTheme="minorEastAsia" w:hAnsiTheme="minorEastAsia" w:eastAsiaTheme="minorEastAsia"/>
                      <w:color w:val="000000"/>
                      <w:szCs w:val="21"/>
                    </w:rPr>
                  </w:pPr>
                </w:p>
              </w:tc>
              <w:tc>
                <w:tcPr>
                  <w:tcW w:w="1592" w:type="dxa"/>
                  <w:vMerge w:val="continue"/>
                  <w:vAlign w:val="center"/>
                </w:tcPr>
                <w:p>
                  <w:pPr>
                    <w:widowControl/>
                    <w:jc w:val="left"/>
                    <w:rPr>
                      <w:rFonts w:asciiTheme="minorEastAsia" w:hAnsiTheme="minorEastAsia" w:eastAsiaTheme="minorEastAsia"/>
                      <w:color w:val="000000"/>
                      <w:szCs w:val="21"/>
                    </w:rPr>
                  </w:pPr>
                </w:p>
              </w:tc>
              <w:tc>
                <w:tcPr>
                  <w:tcW w:w="10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预热段</w:t>
                  </w:r>
                </w:p>
              </w:tc>
              <w:tc>
                <w:tcPr>
                  <w:tcW w:w="1336" w:type="dxa"/>
                  <w:vAlign w:val="center"/>
                </w:tcPr>
                <w:p>
                  <w:pPr>
                    <w:jc w:val="center"/>
                    <w:rPr>
                      <w:rFonts w:eastAsiaTheme="minorEastAsia"/>
                      <w:b/>
                      <w:color w:val="000000"/>
                      <w:szCs w:val="21"/>
                    </w:rPr>
                  </w:pPr>
                  <w:r>
                    <w:rPr>
                      <w:rFonts w:hint="eastAsia" w:eastAsiaTheme="minorEastAsia"/>
                      <w:b/>
                      <w:color w:val="000000"/>
                      <w:szCs w:val="21"/>
                    </w:rPr>
                    <w:t>高温段</w:t>
                  </w:r>
                </w:p>
              </w:tc>
              <w:tc>
                <w:tcPr>
                  <w:tcW w:w="929"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冷却带</w:t>
                  </w:r>
                </w:p>
              </w:tc>
              <w:tc>
                <w:tcPr>
                  <w:tcW w:w="874" w:type="dxa"/>
                  <w:vMerge w:val="continue"/>
                  <w:vAlign w:val="center"/>
                </w:tcPr>
                <w:p>
                  <w:pPr>
                    <w:widowControl/>
                    <w:jc w:val="left"/>
                    <w:rPr>
                      <w:rFonts w:asciiTheme="minorEastAsia" w:hAnsiTheme="minorEastAsia" w:eastAsiaTheme="minorEastAsia"/>
                      <w:color w:val="00000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64" w:type="dxa"/>
                  <w:vMerge w:val="restart"/>
                  <w:vAlign w:val="center"/>
                </w:tcPr>
                <w:p>
                  <w:pPr>
                    <w:jc w:val="center"/>
                    <w:rPr>
                      <w:rFonts w:eastAsiaTheme="minorEastAsia"/>
                      <w:szCs w:val="21"/>
                    </w:rPr>
                  </w:pPr>
                  <w:r>
                    <w:rPr>
                      <w:rFonts w:eastAsiaTheme="minorEastAsia"/>
                      <w:szCs w:val="21"/>
                    </w:rPr>
                    <w:t>1</w:t>
                  </w:r>
                </w:p>
              </w:tc>
              <w:tc>
                <w:tcPr>
                  <w:tcW w:w="1336" w:type="dxa"/>
                  <w:vMerge w:val="restart"/>
                  <w:vAlign w:val="center"/>
                </w:tcPr>
                <w:p>
                  <w:pPr>
                    <w:jc w:val="center"/>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辊道窑</w:t>
                  </w:r>
                </w:p>
              </w:tc>
              <w:tc>
                <w:tcPr>
                  <w:tcW w:w="771" w:type="dxa"/>
                  <w:vMerge w:val="restart"/>
                  <w:vAlign w:val="center"/>
                </w:tcPr>
                <w:p>
                  <w:pPr>
                    <w:jc w:val="center"/>
                    <w:rPr>
                      <w:rFonts w:eastAsiaTheme="minorEastAsia"/>
                      <w:color w:val="000000"/>
                      <w:szCs w:val="21"/>
                    </w:rPr>
                  </w:pPr>
                  <w:r>
                    <w:rPr>
                      <w:rFonts w:hint="eastAsia" w:eastAsiaTheme="minorEastAsia"/>
                      <w:color w:val="000000"/>
                      <w:szCs w:val="21"/>
                      <w:lang w:val="en-US" w:eastAsia="zh-CN"/>
                    </w:rPr>
                    <w:t>40</w:t>
                  </w:r>
                  <w:r>
                    <w:rPr>
                      <w:rFonts w:eastAsiaTheme="minorEastAsia"/>
                      <w:color w:val="000000"/>
                      <w:szCs w:val="21"/>
                    </w:rPr>
                    <w:t>m</w:t>
                  </w:r>
                </w:p>
              </w:tc>
              <w:tc>
                <w:tcPr>
                  <w:tcW w:w="1592" w:type="dxa"/>
                  <w:vMerge w:val="restart"/>
                  <w:vAlign w:val="center"/>
                </w:tcPr>
                <w:p>
                  <w:pPr>
                    <w:jc w:val="center"/>
                    <w:rPr>
                      <w:rFonts w:eastAsiaTheme="minorEastAsia"/>
                      <w:color w:val="000000" w:themeColor="text1"/>
                      <w:szCs w:val="21"/>
                    </w:rPr>
                  </w:pPr>
                  <w:r>
                    <w:rPr>
                      <w:rFonts w:hint="eastAsia"/>
                      <w:color w:val="000000" w:themeColor="text1"/>
                      <w:lang w:val="en-US"/>
                    </w:rPr>
                    <w:t>1350mm*650mm</w:t>
                  </w:r>
                </w:p>
              </w:tc>
              <w:tc>
                <w:tcPr>
                  <w:tcW w:w="1057" w:type="dxa"/>
                  <w:vAlign w:val="center"/>
                </w:tcPr>
                <w:p>
                  <w:pPr>
                    <w:jc w:val="center"/>
                    <w:rPr>
                      <w:rFonts w:asciiTheme="minorEastAsia" w:hAnsiTheme="minorEastAsia" w:eastAsiaTheme="minorEastAsia"/>
                      <w:color w:val="000000" w:themeColor="text1"/>
                      <w:szCs w:val="21"/>
                    </w:rPr>
                  </w:pPr>
                  <w:r>
                    <w:rPr>
                      <w:rFonts w:hint="eastAsia" w:eastAsiaTheme="minorEastAsia"/>
                      <w:color w:val="000000" w:themeColor="text1"/>
                      <w:szCs w:val="21"/>
                      <w:lang w:val="en-US" w:eastAsia="zh-CN"/>
                    </w:rPr>
                    <w:t>16</w:t>
                  </w:r>
                  <w:r>
                    <w:rPr>
                      <w:rFonts w:eastAsiaTheme="minorEastAsia"/>
                      <w:color w:val="000000" w:themeColor="text1"/>
                      <w:szCs w:val="21"/>
                    </w:rPr>
                    <w:t>m</w:t>
                  </w:r>
                </w:p>
              </w:tc>
              <w:tc>
                <w:tcPr>
                  <w:tcW w:w="1336" w:type="dxa"/>
                  <w:vAlign w:val="center"/>
                </w:tcPr>
                <w:p>
                  <w:pPr>
                    <w:jc w:val="center"/>
                    <w:rPr>
                      <w:rFonts w:asciiTheme="minorEastAsia" w:hAnsiTheme="minorEastAsia"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lang w:val="en-US" w:eastAsia="zh-CN"/>
                    </w:rPr>
                    <w:t>2</w:t>
                  </w:r>
                  <w:r>
                    <w:rPr>
                      <w:rFonts w:eastAsiaTheme="minorEastAsia"/>
                      <w:color w:val="000000" w:themeColor="text1"/>
                      <w:szCs w:val="21"/>
                    </w:rPr>
                    <w:t>m</w:t>
                  </w:r>
                </w:p>
              </w:tc>
              <w:tc>
                <w:tcPr>
                  <w:tcW w:w="929" w:type="dxa"/>
                  <w:vAlign w:val="center"/>
                </w:tcPr>
                <w:p>
                  <w:pPr>
                    <w:jc w:val="center"/>
                    <w:rPr>
                      <w:rFonts w:eastAsiaTheme="minorEastAsia"/>
                      <w:color w:val="000000" w:themeColor="text1"/>
                      <w:szCs w:val="21"/>
                    </w:rPr>
                  </w:pPr>
                  <w:r>
                    <w:rPr>
                      <w:rFonts w:hint="eastAsia" w:eastAsiaTheme="minorEastAsia"/>
                      <w:color w:val="000000" w:themeColor="text1"/>
                      <w:szCs w:val="21"/>
                      <w:lang w:val="en-US" w:eastAsia="zh-CN"/>
                    </w:rPr>
                    <w:t>12</w:t>
                  </w:r>
                  <w:r>
                    <w:rPr>
                      <w:rFonts w:eastAsiaTheme="minorEastAsia"/>
                      <w:color w:val="000000" w:themeColor="text1"/>
                      <w:szCs w:val="21"/>
                    </w:rPr>
                    <w:t>m</w:t>
                  </w:r>
                </w:p>
              </w:tc>
              <w:tc>
                <w:tcPr>
                  <w:tcW w:w="874" w:type="dxa"/>
                  <w:vMerge w:val="restart"/>
                  <w:vAlign w:val="center"/>
                </w:tcPr>
                <w:p>
                  <w:pPr>
                    <w:jc w:val="center"/>
                    <w:rPr>
                      <w:rFonts w:eastAsiaTheme="minorEastAsia"/>
                      <w:color w:val="000000"/>
                      <w:szCs w:val="21"/>
                    </w:rPr>
                  </w:pPr>
                  <w:r>
                    <w:rPr>
                      <w:rFonts w:hint="eastAsia" w:eastAsiaTheme="minorEastAsia"/>
                      <w:color w:val="000000"/>
                      <w:szCs w:val="21"/>
                    </w:rPr>
                    <w:t>72</w:t>
                  </w:r>
                  <w:r>
                    <w:rPr>
                      <w:rFonts w:eastAsiaTheme="minorEastAsia"/>
                      <w:color w:val="000000"/>
                      <w:szCs w:val="21"/>
                    </w:rPr>
                    <w:t>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64" w:type="dxa"/>
                  <w:vMerge w:val="continue"/>
                  <w:vAlign w:val="center"/>
                </w:tcPr>
                <w:p>
                  <w:pPr>
                    <w:jc w:val="center"/>
                    <w:rPr>
                      <w:rFonts w:eastAsiaTheme="minorEastAsia"/>
                      <w:color w:val="FF0000"/>
                      <w:szCs w:val="21"/>
                    </w:rPr>
                  </w:pPr>
                </w:p>
              </w:tc>
              <w:tc>
                <w:tcPr>
                  <w:tcW w:w="1336" w:type="dxa"/>
                  <w:vMerge w:val="continue"/>
                  <w:vAlign w:val="center"/>
                </w:tcPr>
                <w:p>
                  <w:pPr>
                    <w:jc w:val="center"/>
                    <w:rPr>
                      <w:rFonts w:asciiTheme="minorEastAsia" w:hAnsiTheme="minorEastAsia" w:eastAsiaTheme="minorEastAsia"/>
                      <w:color w:val="FF0000"/>
                      <w:szCs w:val="21"/>
                    </w:rPr>
                  </w:pPr>
                </w:p>
              </w:tc>
              <w:tc>
                <w:tcPr>
                  <w:tcW w:w="771" w:type="dxa"/>
                  <w:vMerge w:val="continue"/>
                  <w:vAlign w:val="center"/>
                </w:tcPr>
                <w:p>
                  <w:pPr>
                    <w:jc w:val="center"/>
                    <w:rPr>
                      <w:rFonts w:eastAsiaTheme="minorEastAsia"/>
                      <w:color w:val="FF0000"/>
                      <w:szCs w:val="21"/>
                    </w:rPr>
                  </w:pPr>
                </w:p>
              </w:tc>
              <w:tc>
                <w:tcPr>
                  <w:tcW w:w="1592" w:type="dxa"/>
                  <w:vMerge w:val="continue"/>
                  <w:vAlign w:val="center"/>
                </w:tcPr>
                <w:p>
                  <w:pPr>
                    <w:jc w:val="center"/>
                    <w:rPr>
                      <w:rFonts w:eastAsiaTheme="minorEastAsia"/>
                      <w:color w:val="000000" w:themeColor="text1"/>
                      <w:szCs w:val="21"/>
                    </w:rPr>
                  </w:pPr>
                </w:p>
              </w:tc>
              <w:tc>
                <w:tcPr>
                  <w:tcW w:w="1057" w:type="dxa"/>
                  <w:vAlign w:val="center"/>
                </w:tcPr>
                <w:p>
                  <w:pPr>
                    <w:jc w:val="center"/>
                    <w:rPr>
                      <w:rFonts w:eastAsiaTheme="minorEastAsia"/>
                      <w:color w:val="000000" w:themeColor="text1"/>
                      <w:szCs w:val="21"/>
                    </w:rPr>
                  </w:pPr>
                  <w:r>
                    <w:rPr>
                      <w:rFonts w:hint="eastAsia" w:eastAsiaTheme="minorEastAsia"/>
                      <w:color w:val="000000" w:themeColor="text1"/>
                      <w:szCs w:val="21"/>
                    </w:rPr>
                    <w:t>室温</w:t>
                  </w:r>
                  <w:r>
                    <w:rPr>
                      <w:rFonts w:eastAsiaTheme="minorEastAsia"/>
                      <w:color w:val="000000" w:themeColor="text1"/>
                      <w:szCs w:val="21"/>
                    </w:rPr>
                    <w:t>-1</w:t>
                  </w:r>
                  <w:r>
                    <w:rPr>
                      <w:rFonts w:hint="eastAsia" w:eastAsiaTheme="minorEastAsia"/>
                      <w:color w:val="000000" w:themeColor="text1"/>
                      <w:szCs w:val="21"/>
                      <w:lang w:val="en-US" w:eastAsia="zh-CN"/>
                    </w:rPr>
                    <w:t>35</w:t>
                  </w:r>
                  <w:r>
                    <w:rPr>
                      <w:rFonts w:eastAsiaTheme="minorEastAsia"/>
                      <w:color w:val="000000" w:themeColor="text1"/>
                      <w:szCs w:val="21"/>
                    </w:rPr>
                    <w:t>0</w:t>
                  </w:r>
                  <w:r>
                    <w:rPr>
                      <w:rFonts w:hint="eastAsia" w:eastAsiaTheme="minorEastAsia"/>
                      <w:color w:val="000000" w:themeColor="text1"/>
                      <w:szCs w:val="21"/>
                    </w:rPr>
                    <w:t>℃</w:t>
                  </w:r>
                </w:p>
              </w:tc>
              <w:tc>
                <w:tcPr>
                  <w:tcW w:w="1336" w:type="dxa"/>
                  <w:vAlign w:val="center"/>
                </w:tcPr>
                <w:p>
                  <w:pPr>
                    <w:jc w:val="center"/>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lang w:val="en-US" w:eastAsia="zh-CN"/>
                    </w:rPr>
                    <w:t>35</w:t>
                  </w:r>
                  <w:r>
                    <w:rPr>
                      <w:rFonts w:eastAsiaTheme="minorEastAsia"/>
                      <w:color w:val="000000" w:themeColor="text1"/>
                      <w:szCs w:val="21"/>
                    </w:rPr>
                    <w:t>0-1600</w:t>
                  </w:r>
                  <w:r>
                    <w:rPr>
                      <w:rFonts w:hint="eastAsia" w:eastAsiaTheme="minorEastAsia"/>
                      <w:color w:val="000000" w:themeColor="text1"/>
                      <w:szCs w:val="21"/>
                    </w:rPr>
                    <w:t>℃</w:t>
                  </w:r>
                </w:p>
              </w:tc>
              <w:tc>
                <w:tcPr>
                  <w:tcW w:w="929" w:type="dxa"/>
                  <w:vAlign w:val="center"/>
                </w:tcPr>
                <w:p>
                  <w:pPr>
                    <w:jc w:val="center"/>
                    <w:rPr>
                      <w:rFonts w:eastAsiaTheme="minorEastAsia"/>
                      <w:color w:val="000000" w:themeColor="text1"/>
                      <w:szCs w:val="21"/>
                    </w:rPr>
                  </w:pPr>
                  <w:r>
                    <w:rPr>
                      <w:rFonts w:eastAsiaTheme="minorEastAsia"/>
                      <w:color w:val="000000" w:themeColor="text1"/>
                      <w:szCs w:val="21"/>
                    </w:rPr>
                    <w:t>1600-</w:t>
                  </w:r>
                  <w:r>
                    <w:rPr>
                      <w:rFonts w:hint="eastAsia" w:eastAsiaTheme="minorEastAsia"/>
                      <w:color w:val="000000" w:themeColor="text1"/>
                      <w:szCs w:val="21"/>
                    </w:rPr>
                    <w:t>室温℃</w:t>
                  </w:r>
                </w:p>
              </w:tc>
              <w:tc>
                <w:tcPr>
                  <w:tcW w:w="874" w:type="dxa"/>
                  <w:vMerge w:val="continue"/>
                  <w:vAlign w:val="center"/>
                </w:tcPr>
                <w:p>
                  <w:pPr>
                    <w:jc w:val="center"/>
                    <w:rPr>
                      <w:rFonts w:eastAsiaTheme="minorEastAsia"/>
                      <w:color w:val="000000"/>
                      <w:szCs w:val="21"/>
                    </w:rPr>
                  </w:pPr>
                </w:p>
              </w:tc>
            </w:tr>
          </w:tbl>
          <w:p>
            <w:pPr>
              <w:spacing w:beforeLines="50" w:line="360" w:lineRule="auto"/>
              <w:ind w:firstLine="480" w:firstLineChars="200"/>
              <w:rPr>
                <w:rFonts w:hAnsi="宋体"/>
                <w:b/>
                <w:kern w:val="0"/>
                <w:szCs w:val="21"/>
              </w:rPr>
            </w:pPr>
            <w:r>
              <w:rPr>
                <w:rFonts w:hint="eastAsia" w:hAnsi="宋体"/>
                <w:kern w:val="0"/>
                <w:sz w:val="24"/>
                <w:szCs w:val="24"/>
              </w:rPr>
              <w:t>建设项目</w:t>
            </w:r>
            <w:r>
              <w:rPr>
                <w:rFonts w:hint="eastAsia"/>
                <w:kern w:val="0"/>
                <w:sz w:val="24"/>
                <w:szCs w:val="24"/>
              </w:rPr>
              <w:t>公用及辅助工程见表1-</w:t>
            </w:r>
            <w:r>
              <w:rPr>
                <w:rFonts w:hint="eastAsia"/>
                <w:kern w:val="0"/>
                <w:sz w:val="24"/>
                <w:szCs w:val="24"/>
                <w:lang w:val="en-US" w:eastAsia="zh-CN"/>
              </w:rPr>
              <w:t>6</w:t>
            </w:r>
            <w:r>
              <w:rPr>
                <w:rFonts w:hint="eastAsia"/>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sz w:val="24"/>
                <w:szCs w:val="24"/>
              </w:rPr>
            </w:pPr>
            <w:r>
              <w:rPr>
                <w:rFonts w:hint="eastAsia"/>
                <w:b/>
                <w:color w:val="000000"/>
                <w:sz w:val="24"/>
                <w:szCs w:val="24"/>
              </w:rPr>
              <w:t>表1-</w:t>
            </w:r>
            <w:r>
              <w:rPr>
                <w:rFonts w:hint="eastAsia"/>
                <w:b/>
                <w:color w:val="000000"/>
                <w:sz w:val="24"/>
                <w:szCs w:val="24"/>
                <w:lang w:val="en-US" w:eastAsia="zh-CN"/>
              </w:rPr>
              <w:t>6</w:t>
            </w:r>
            <w:r>
              <w:rPr>
                <w:rFonts w:hint="eastAsia"/>
                <w:b/>
                <w:color w:val="000000"/>
                <w:sz w:val="24"/>
                <w:szCs w:val="24"/>
              </w:rPr>
              <w:t xml:space="preserve">  本项目公用及辅助工程</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3"/>
              <w:gridCol w:w="1702"/>
              <w:gridCol w:w="3968"/>
              <w:gridCol w:w="153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9" w:type="dxa"/>
                  <w:gridSpan w:val="2"/>
                  <w:vAlign w:val="center"/>
                </w:tcPr>
                <w:p>
                  <w:pPr>
                    <w:jc w:val="center"/>
                    <w:rPr>
                      <w:b/>
                      <w:kern w:val="0"/>
                      <w:szCs w:val="21"/>
                    </w:rPr>
                  </w:pPr>
                  <w:r>
                    <w:rPr>
                      <w:rFonts w:hint="eastAsia"/>
                      <w:b/>
                      <w:kern w:val="0"/>
                      <w:szCs w:val="21"/>
                    </w:rPr>
                    <w:t>工程名称</w:t>
                  </w:r>
                </w:p>
              </w:tc>
              <w:tc>
                <w:tcPr>
                  <w:tcW w:w="1702" w:type="dxa"/>
                  <w:vAlign w:val="center"/>
                </w:tcPr>
                <w:p>
                  <w:pPr>
                    <w:jc w:val="center"/>
                    <w:rPr>
                      <w:b/>
                      <w:kern w:val="0"/>
                      <w:szCs w:val="21"/>
                    </w:rPr>
                  </w:pPr>
                  <w:r>
                    <w:rPr>
                      <w:b/>
                      <w:kern w:val="0"/>
                      <w:szCs w:val="21"/>
                    </w:rPr>
                    <w:t>建设名称</w:t>
                  </w:r>
                </w:p>
              </w:tc>
              <w:tc>
                <w:tcPr>
                  <w:tcW w:w="3968" w:type="dxa"/>
                  <w:vAlign w:val="center"/>
                </w:tcPr>
                <w:p>
                  <w:pPr>
                    <w:jc w:val="center"/>
                    <w:rPr>
                      <w:b/>
                      <w:kern w:val="0"/>
                      <w:szCs w:val="21"/>
                    </w:rPr>
                  </w:pPr>
                  <w:r>
                    <w:rPr>
                      <w:rFonts w:hint="eastAsia"/>
                      <w:b/>
                      <w:kern w:val="0"/>
                      <w:szCs w:val="21"/>
                    </w:rPr>
                    <w:t>内容</w:t>
                  </w:r>
                </w:p>
              </w:tc>
              <w:tc>
                <w:tcPr>
                  <w:tcW w:w="1533" w:type="dxa"/>
                  <w:vAlign w:val="center"/>
                </w:tcPr>
                <w:p>
                  <w:pPr>
                    <w:jc w:val="center"/>
                    <w:rPr>
                      <w:b/>
                      <w:kern w:val="0"/>
                      <w:szCs w:val="21"/>
                    </w:rPr>
                  </w:pPr>
                  <w:r>
                    <w:rPr>
                      <w:b/>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9" w:type="dxa"/>
                  <w:gridSpan w:val="2"/>
                  <w:vAlign w:val="center"/>
                </w:tcPr>
                <w:p>
                  <w:pPr>
                    <w:jc w:val="center"/>
                    <w:rPr>
                      <w:kern w:val="0"/>
                      <w:szCs w:val="21"/>
                    </w:rPr>
                  </w:pPr>
                  <w:r>
                    <w:rPr>
                      <w:rFonts w:hint="eastAsia"/>
                      <w:kern w:val="0"/>
                      <w:szCs w:val="21"/>
                    </w:rPr>
                    <w:t>主体工程</w:t>
                  </w:r>
                </w:p>
              </w:tc>
              <w:tc>
                <w:tcPr>
                  <w:tcW w:w="1702" w:type="dxa"/>
                  <w:vAlign w:val="center"/>
                </w:tcPr>
                <w:p>
                  <w:pPr>
                    <w:jc w:val="center"/>
                    <w:rPr>
                      <w:kern w:val="0"/>
                      <w:szCs w:val="21"/>
                      <w:highlight w:val="yellow"/>
                    </w:rPr>
                  </w:pPr>
                  <w:r>
                    <w:rPr>
                      <w:rFonts w:hint="eastAsia"/>
                    </w:rPr>
                    <w:t>生产车间</w:t>
                  </w:r>
                </w:p>
              </w:tc>
              <w:tc>
                <w:tcPr>
                  <w:tcW w:w="3968" w:type="dxa"/>
                  <w:vAlign w:val="center"/>
                </w:tcPr>
                <w:p>
                  <w:pPr>
                    <w:jc w:val="center"/>
                    <w:rPr>
                      <w:kern w:val="0"/>
                      <w:szCs w:val="21"/>
                      <w:lang w:val="en-US"/>
                    </w:rPr>
                  </w:pPr>
                  <w:r>
                    <w:rPr>
                      <w:rFonts w:hint="eastAsia"/>
                      <w:szCs w:val="21"/>
                      <w:lang w:val="en-US" w:eastAsia="zh-CN"/>
                    </w:rPr>
                    <w:t>1000</w:t>
                  </w:r>
                  <w:r>
                    <w:rPr>
                      <w:szCs w:val="21"/>
                    </w:rPr>
                    <w:t>m</w:t>
                  </w:r>
                  <w:r>
                    <w:rPr>
                      <w:szCs w:val="21"/>
                      <w:vertAlign w:val="superscript"/>
                    </w:rPr>
                    <w:t>2</w:t>
                  </w:r>
                </w:p>
              </w:tc>
              <w:tc>
                <w:tcPr>
                  <w:tcW w:w="1533" w:type="dxa"/>
                  <w:vAlign w:val="center"/>
                </w:tcPr>
                <w:p>
                  <w:pPr>
                    <w:jc w:val="center"/>
                    <w:rPr>
                      <w:kern w:val="0"/>
                      <w:szCs w:val="21"/>
                    </w:rPr>
                  </w:pPr>
                  <w:r>
                    <w:rPr>
                      <w:rFonts w:hint="eastAsia"/>
                      <w:kern w:val="0"/>
                      <w:szCs w:val="21"/>
                    </w:rPr>
                    <w:t>1F，高度</w:t>
                  </w:r>
                  <w:r>
                    <w:rPr>
                      <w:rFonts w:hint="eastAsia"/>
                      <w:kern w:val="0"/>
                      <w:szCs w:val="21"/>
                      <w:lang w:val="en-US" w:eastAsia="zh-CN"/>
                    </w:rPr>
                    <w:t>10</w:t>
                  </w:r>
                  <w:r>
                    <w:rPr>
                      <w:rFonts w:hint="eastAsia"/>
                      <w:kern w:val="0"/>
                      <w:szCs w:val="21"/>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restart"/>
                  <w:vAlign w:val="center"/>
                </w:tcPr>
                <w:p>
                  <w:pPr>
                    <w:jc w:val="center"/>
                    <w:rPr>
                      <w:kern w:val="0"/>
                      <w:szCs w:val="21"/>
                    </w:rPr>
                  </w:pPr>
                  <w:r>
                    <w:rPr>
                      <w:kern w:val="0"/>
                      <w:szCs w:val="21"/>
                    </w:rPr>
                    <w:t>公用工程</w:t>
                  </w:r>
                </w:p>
              </w:tc>
              <w:tc>
                <w:tcPr>
                  <w:tcW w:w="723" w:type="dxa"/>
                  <w:vAlign w:val="center"/>
                </w:tcPr>
                <w:p>
                  <w:pPr>
                    <w:jc w:val="center"/>
                    <w:rPr>
                      <w:kern w:val="0"/>
                      <w:szCs w:val="21"/>
                    </w:rPr>
                  </w:pPr>
                  <w:r>
                    <w:rPr>
                      <w:kern w:val="0"/>
                      <w:szCs w:val="21"/>
                    </w:rPr>
                    <w:t>给水</w:t>
                  </w:r>
                </w:p>
              </w:tc>
              <w:tc>
                <w:tcPr>
                  <w:tcW w:w="1702" w:type="dxa"/>
                  <w:vAlign w:val="center"/>
                </w:tcPr>
                <w:p>
                  <w:pPr>
                    <w:jc w:val="center"/>
                    <w:rPr>
                      <w:kern w:val="0"/>
                      <w:szCs w:val="21"/>
                    </w:rPr>
                  </w:pPr>
                  <w:r>
                    <w:rPr>
                      <w:kern w:val="0"/>
                      <w:szCs w:val="21"/>
                    </w:rPr>
                    <w:t>给水管网</w:t>
                  </w:r>
                </w:p>
              </w:tc>
              <w:tc>
                <w:tcPr>
                  <w:tcW w:w="3968" w:type="dxa"/>
                  <w:vAlign w:val="center"/>
                </w:tcPr>
                <w:p>
                  <w:pPr>
                    <w:jc w:val="center"/>
                    <w:rPr>
                      <w:kern w:val="0"/>
                      <w:szCs w:val="21"/>
                    </w:rPr>
                  </w:pPr>
                  <w:r>
                    <w:rPr>
                      <w:rFonts w:hint="eastAsia"/>
                      <w:kern w:val="0"/>
                      <w:szCs w:val="21"/>
                    </w:rPr>
                    <w:t>由镇区给水站给水管网直接供给</w:t>
                  </w:r>
                </w:p>
              </w:tc>
              <w:tc>
                <w:tcPr>
                  <w:tcW w:w="1533" w:type="dxa"/>
                  <w:vAlign w:val="center"/>
                </w:tcPr>
                <w:p>
                  <w:pPr>
                    <w:jc w:val="center"/>
                    <w:rPr>
                      <w:kern w:val="0"/>
                      <w:szCs w:val="21"/>
                      <w:lang w:val="en-US"/>
                    </w:rPr>
                  </w:pPr>
                </w:p>
                <w:p>
                  <w:pPr>
                    <w:jc w:val="cente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Align w:val="center"/>
                </w:tcPr>
                <w:p>
                  <w:pPr>
                    <w:jc w:val="center"/>
                    <w:rPr>
                      <w:kern w:val="0"/>
                      <w:szCs w:val="21"/>
                    </w:rPr>
                  </w:pPr>
                  <w:r>
                    <w:rPr>
                      <w:rFonts w:hint="eastAsia"/>
                      <w:kern w:val="0"/>
                      <w:szCs w:val="21"/>
                    </w:rPr>
                    <w:t>排水</w:t>
                  </w:r>
                </w:p>
              </w:tc>
              <w:tc>
                <w:tcPr>
                  <w:tcW w:w="1702" w:type="dxa"/>
                  <w:vAlign w:val="center"/>
                </w:tcPr>
                <w:p>
                  <w:pPr>
                    <w:jc w:val="center"/>
                    <w:rPr>
                      <w:kern w:val="0"/>
                      <w:szCs w:val="21"/>
                    </w:rPr>
                  </w:pPr>
                  <w:r>
                    <w:rPr>
                      <w:rFonts w:hint="eastAsia"/>
                      <w:kern w:val="0"/>
                      <w:szCs w:val="21"/>
                    </w:rPr>
                    <w:t>排水管网</w:t>
                  </w:r>
                </w:p>
              </w:tc>
              <w:tc>
                <w:tcPr>
                  <w:tcW w:w="3968" w:type="dxa"/>
                  <w:vAlign w:val="center"/>
                </w:tcPr>
                <w:p>
                  <w:pPr>
                    <w:jc w:val="center"/>
                    <w:rPr>
                      <w:kern w:val="0"/>
                      <w:szCs w:val="21"/>
                    </w:rPr>
                  </w:pPr>
                  <w:r>
                    <w:rPr>
                      <w:rFonts w:hint="eastAsia"/>
                      <w:kern w:val="0"/>
                      <w:szCs w:val="21"/>
                    </w:rPr>
                    <w:t>项目无生产废水排放，经厂内化粪池处理后接入</w:t>
                  </w:r>
                  <w:r>
                    <w:rPr>
                      <w:rFonts w:hint="eastAsia"/>
                      <w:kern w:val="0"/>
                      <w:szCs w:val="21"/>
                      <w:lang w:val="en-US"/>
                    </w:rPr>
                    <w:t>宜兴市华骐污水处理有限公司</w:t>
                  </w:r>
                  <w:r>
                    <w:rPr>
                      <w:rFonts w:hint="eastAsia"/>
                      <w:kern w:val="0"/>
                      <w:szCs w:val="21"/>
                    </w:rPr>
                    <w:t>处理达标后外排</w:t>
                  </w:r>
                </w:p>
              </w:tc>
              <w:tc>
                <w:tcPr>
                  <w:tcW w:w="1533" w:type="dxa"/>
                  <w:vAlign w:val="center"/>
                </w:tcPr>
                <w:p>
                  <w:pPr>
                    <w:jc w:val="center"/>
                    <w:rPr>
                      <w:kern w:val="0"/>
                      <w:szCs w:val="21"/>
                      <w:lang w:val="en-US"/>
                    </w:rPr>
                  </w:pPr>
                </w:p>
                <w:p>
                  <w:pPr>
                    <w:jc w:val="cente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Align w:val="center"/>
                </w:tcPr>
                <w:p>
                  <w:pPr>
                    <w:jc w:val="center"/>
                    <w:rPr>
                      <w:kern w:val="0"/>
                      <w:szCs w:val="21"/>
                    </w:rPr>
                  </w:pPr>
                  <w:r>
                    <w:rPr>
                      <w:kern w:val="0"/>
                      <w:szCs w:val="21"/>
                    </w:rPr>
                    <w:t>供电</w:t>
                  </w:r>
                </w:p>
              </w:tc>
              <w:tc>
                <w:tcPr>
                  <w:tcW w:w="1702" w:type="dxa"/>
                  <w:vAlign w:val="center"/>
                </w:tcPr>
                <w:p>
                  <w:pPr>
                    <w:jc w:val="center"/>
                    <w:rPr>
                      <w:kern w:val="0"/>
                      <w:szCs w:val="21"/>
                    </w:rPr>
                  </w:pPr>
                  <w:r>
                    <w:rPr>
                      <w:kern w:val="0"/>
                      <w:szCs w:val="21"/>
                    </w:rPr>
                    <w:t>供电网络</w:t>
                  </w:r>
                </w:p>
              </w:tc>
              <w:tc>
                <w:tcPr>
                  <w:tcW w:w="3968" w:type="dxa"/>
                  <w:vAlign w:val="center"/>
                </w:tcPr>
                <w:p>
                  <w:pPr>
                    <w:jc w:val="center"/>
                    <w:rPr>
                      <w:kern w:val="0"/>
                      <w:szCs w:val="21"/>
                    </w:rPr>
                  </w:pPr>
                  <w:r>
                    <w:rPr>
                      <w:rFonts w:hint="eastAsia"/>
                      <w:kern w:val="0"/>
                      <w:szCs w:val="21"/>
                    </w:rPr>
                    <w:t>由镇区变电所架空线接入厂区配电室</w:t>
                  </w:r>
                </w:p>
              </w:tc>
              <w:tc>
                <w:tcPr>
                  <w:tcW w:w="1533" w:type="dxa"/>
                  <w:vAlign w:val="center"/>
                </w:tcPr>
                <w:p>
                  <w:pPr>
                    <w:jc w:val="cente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Align w:val="center"/>
                </w:tcPr>
                <w:p>
                  <w:pPr>
                    <w:jc w:val="center"/>
                    <w:rPr>
                      <w:kern w:val="0"/>
                      <w:szCs w:val="21"/>
                    </w:rPr>
                  </w:pPr>
                  <w:r>
                    <w:rPr>
                      <w:kern w:val="0"/>
                      <w:szCs w:val="21"/>
                    </w:rPr>
                    <w:t>供</w:t>
                  </w:r>
                  <w:r>
                    <w:rPr>
                      <w:rFonts w:hint="eastAsia"/>
                      <w:kern w:val="0"/>
                      <w:szCs w:val="21"/>
                    </w:rPr>
                    <w:t>气</w:t>
                  </w:r>
                </w:p>
              </w:tc>
              <w:tc>
                <w:tcPr>
                  <w:tcW w:w="1702" w:type="dxa"/>
                  <w:vAlign w:val="center"/>
                </w:tcPr>
                <w:p>
                  <w:pPr>
                    <w:jc w:val="center"/>
                    <w:rPr>
                      <w:rFonts w:hAnsi="宋体"/>
                      <w:kern w:val="0"/>
                      <w:szCs w:val="21"/>
                    </w:rPr>
                  </w:pPr>
                  <w:r>
                    <w:rPr>
                      <w:rFonts w:hint="eastAsia" w:hAnsi="宋体"/>
                      <w:kern w:val="0"/>
                      <w:szCs w:val="21"/>
                    </w:rPr>
                    <w:t>供气网络</w:t>
                  </w:r>
                </w:p>
              </w:tc>
              <w:tc>
                <w:tcPr>
                  <w:tcW w:w="3968" w:type="dxa"/>
                  <w:vAlign w:val="center"/>
                </w:tcPr>
                <w:p>
                  <w:pPr>
                    <w:jc w:val="center"/>
                    <w:rPr>
                      <w:rFonts w:hAnsi="宋体"/>
                      <w:kern w:val="0"/>
                      <w:szCs w:val="21"/>
                    </w:rPr>
                  </w:pPr>
                  <w:r>
                    <w:rPr>
                      <w:rFonts w:hint="eastAsia" w:hAnsi="宋体"/>
                      <w:kern w:val="0"/>
                      <w:szCs w:val="21"/>
                    </w:rPr>
                    <w:t>由宜兴市港华燃气有限公司直接供给</w:t>
                  </w:r>
                </w:p>
              </w:tc>
              <w:tc>
                <w:tcPr>
                  <w:tcW w:w="1533" w:type="dxa"/>
                  <w:vAlign w:val="center"/>
                </w:tcPr>
                <w:p>
                  <w:pPr>
                    <w:jc w:val="center"/>
                    <w:rPr>
                      <w:kern w:val="0"/>
                      <w:szCs w:val="21"/>
                      <w:lang w:val="en-US"/>
                    </w:rP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restart"/>
                  <w:vAlign w:val="center"/>
                </w:tcPr>
                <w:p>
                  <w:pPr>
                    <w:jc w:val="center"/>
                    <w:rPr>
                      <w:kern w:val="0"/>
                      <w:szCs w:val="21"/>
                    </w:rPr>
                  </w:pPr>
                  <w:r>
                    <w:rPr>
                      <w:kern w:val="0"/>
                      <w:szCs w:val="21"/>
                    </w:rPr>
                    <w:t>环保工程</w:t>
                  </w:r>
                </w:p>
              </w:tc>
              <w:tc>
                <w:tcPr>
                  <w:tcW w:w="723" w:type="dxa"/>
                  <w:vMerge w:val="restart"/>
                  <w:vAlign w:val="center"/>
                </w:tcPr>
                <w:p>
                  <w:pPr>
                    <w:jc w:val="center"/>
                    <w:rPr>
                      <w:kern w:val="0"/>
                      <w:szCs w:val="21"/>
                    </w:rPr>
                  </w:pPr>
                  <w:r>
                    <w:rPr>
                      <w:rFonts w:hint="eastAsia"/>
                      <w:kern w:val="0"/>
                      <w:szCs w:val="21"/>
                    </w:rPr>
                    <w:t>废气</w:t>
                  </w:r>
                </w:p>
              </w:tc>
              <w:tc>
                <w:tcPr>
                  <w:tcW w:w="1702" w:type="dxa"/>
                  <w:vAlign w:val="center"/>
                </w:tcPr>
                <w:p>
                  <w:pPr>
                    <w:adjustRightInd w:val="0"/>
                    <w:snapToGrid w:val="0"/>
                    <w:jc w:val="center"/>
                    <w:rPr>
                      <w:color w:val="FF0000"/>
                      <w:spacing w:val="-2"/>
                      <w:szCs w:val="21"/>
                    </w:rPr>
                  </w:pPr>
                  <w:r>
                    <w:rPr>
                      <w:rFonts w:hint="eastAsia"/>
                      <w:spacing w:val="-2"/>
                      <w:szCs w:val="21"/>
                    </w:rPr>
                    <w:t>投料</w:t>
                  </w:r>
                  <w:r>
                    <w:rPr>
                      <w:spacing w:val="-2"/>
                      <w:szCs w:val="21"/>
                    </w:rPr>
                    <w:t>工序废气处理设施</w:t>
                  </w:r>
                </w:p>
              </w:tc>
              <w:tc>
                <w:tcPr>
                  <w:tcW w:w="3968" w:type="dxa"/>
                  <w:vAlign w:val="center"/>
                </w:tcPr>
                <w:p>
                  <w:pPr>
                    <w:adjustRightInd w:val="0"/>
                    <w:snapToGrid w:val="0"/>
                    <w:ind w:left="-346" w:leftChars="-165" w:firstLine="346" w:firstLineChars="165"/>
                    <w:jc w:val="center"/>
                    <w:rPr>
                      <w:szCs w:val="21"/>
                    </w:rPr>
                  </w:pPr>
                  <w:r>
                    <w:rPr>
                      <w:rFonts w:hint="eastAsia"/>
                      <w:szCs w:val="21"/>
                    </w:rPr>
                    <w:t>集气罩</w:t>
                  </w:r>
                  <w:r>
                    <w:rPr>
                      <w:szCs w:val="21"/>
                    </w:rPr>
                    <w:t>捕集率</w:t>
                  </w:r>
                  <w:r>
                    <w:rPr>
                      <w:rFonts w:hint="eastAsia"/>
                      <w:szCs w:val="21"/>
                    </w:rPr>
                    <w:t>90</w:t>
                  </w:r>
                  <w:r>
                    <w:rPr>
                      <w:szCs w:val="21"/>
                    </w:rPr>
                    <w:t>%、</w:t>
                  </w:r>
                </w:p>
                <w:p>
                  <w:pPr>
                    <w:adjustRightInd w:val="0"/>
                    <w:snapToGrid w:val="0"/>
                    <w:ind w:left="-346" w:leftChars="-165" w:firstLine="346" w:firstLineChars="165"/>
                    <w:jc w:val="center"/>
                    <w:rPr>
                      <w:szCs w:val="21"/>
                    </w:rPr>
                  </w:pPr>
                  <w:r>
                    <w:rPr>
                      <w:szCs w:val="21"/>
                    </w:rPr>
                    <w:t xml:space="preserve"> 除尘效率9</w:t>
                  </w:r>
                  <w:r>
                    <w:rPr>
                      <w:rFonts w:hint="eastAsia"/>
                      <w:szCs w:val="21"/>
                      <w:lang w:val="en-US" w:eastAsia="zh-CN"/>
                    </w:rPr>
                    <w:t>9.5</w:t>
                  </w:r>
                  <w:r>
                    <w:rPr>
                      <w:szCs w:val="21"/>
                    </w:rPr>
                    <w:t>%，除尘设</w:t>
                  </w:r>
                </w:p>
                <w:p>
                  <w:pPr>
                    <w:adjustRightInd w:val="0"/>
                    <w:snapToGrid w:val="0"/>
                    <w:ind w:left="-346" w:leftChars="-165" w:firstLine="346" w:firstLineChars="165"/>
                    <w:jc w:val="center"/>
                    <w:rPr>
                      <w:color w:val="FF0000"/>
                      <w:szCs w:val="21"/>
                    </w:rPr>
                  </w:pPr>
                  <w:r>
                    <w:rPr>
                      <w:szCs w:val="21"/>
                    </w:rPr>
                    <w:t>施风量</w:t>
                  </w:r>
                  <w:r>
                    <w:rPr>
                      <w:rFonts w:hint="eastAsia"/>
                      <w:szCs w:val="21"/>
                      <w:lang w:val="en-US" w:eastAsia="zh-CN"/>
                    </w:rPr>
                    <w:t>30</w:t>
                  </w:r>
                  <w:r>
                    <w:rPr>
                      <w:rFonts w:hint="eastAsia"/>
                      <w:szCs w:val="21"/>
                    </w:rPr>
                    <w:t>00</w:t>
                  </w:r>
                  <w:r>
                    <w:rPr>
                      <w:szCs w:val="21"/>
                    </w:rPr>
                    <w:t>m</w:t>
                  </w:r>
                  <w:r>
                    <w:rPr>
                      <w:szCs w:val="21"/>
                      <w:vertAlign w:val="superscript"/>
                    </w:rPr>
                    <w:t>3</w:t>
                  </w:r>
                  <w:r>
                    <w:rPr>
                      <w:szCs w:val="21"/>
                    </w:rPr>
                    <w:t>/h、经15米</w:t>
                  </w:r>
                  <w:r>
                    <w:rPr>
                      <w:rFonts w:hint="eastAsia"/>
                      <w:szCs w:val="21"/>
                    </w:rPr>
                    <w:t>DA001</w:t>
                  </w:r>
                  <w:r>
                    <w:rPr>
                      <w:szCs w:val="21"/>
                    </w:rPr>
                    <w:t>排气筒</w:t>
                  </w:r>
                </w:p>
              </w:tc>
              <w:tc>
                <w:tcPr>
                  <w:tcW w:w="1533" w:type="dxa"/>
                  <w:vAlign w:val="center"/>
                </w:tcPr>
                <w:p>
                  <w:pPr>
                    <w:pStyle w:val="107"/>
                    <w:rPr>
                      <w:rFonts w:ascii="Times New Roman" w:hAnsi="Times New Roman"/>
                      <w:spacing w:val="-2"/>
                    </w:rPr>
                  </w:pPr>
                  <w:r>
                    <w:rPr>
                      <w:rFonts w:ascii="Times New Roman" w:hAnsi="Times New Roman"/>
                    </w:rPr>
                    <w:t>达标排放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Merge w:val="continue"/>
                  <w:vAlign w:val="center"/>
                </w:tcPr>
                <w:p>
                  <w:pPr>
                    <w:jc w:val="center"/>
                    <w:rPr>
                      <w:kern w:val="0"/>
                      <w:szCs w:val="21"/>
                    </w:rPr>
                  </w:pPr>
                </w:p>
              </w:tc>
              <w:tc>
                <w:tcPr>
                  <w:tcW w:w="1702" w:type="dxa"/>
                  <w:vAlign w:val="center"/>
                </w:tcPr>
                <w:p>
                  <w:pPr>
                    <w:adjustRightInd w:val="0"/>
                    <w:snapToGrid w:val="0"/>
                    <w:ind w:left="-346" w:leftChars="-165" w:firstLine="339" w:firstLineChars="165"/>
                    <w:jc w:val="center"/>
                    <w:rPr>
                      <w:spacing w:val="-2"/>
                      <w:szCs w:val="21"/>
                    </w:rPr>
                  </w:pPr>
                  <w:r>
                    <w:rPr>
                      <w:spacing w:val="-2"/>
                      <w:szCs w:val="21"/>
                    </w:rPr>
                    <w:t>喷雾干燥造粒工序</w:t>
                  </w:r>
                </w:p>
              </w:tc>
              <w:tc>
                <w:tcPr>
                  <w:tcW w:w="3968" w:type="dxa"/>
                  <w:vAlign w:val="center"/>
                </w:tcPr>
                <w:p>
                  <w:pPr>
                    <w:adjustRightInd w:val="0"/>
                    <w:snapToGrid w:val="0"/>
                    <w:ind w:left="-346" w:leftChars="-165" w:firstLine="346" w:firstLineChars="165"/>
                    <w:jc w:val="center"/>
                    <w:rPr>
                      <w:szCs w:val="21"/>
                    </w:rPr>
                  </w:pPr>
                  <w:r>
                    <w:rPr>
                      <w:rFonts w:hint="eastAsia"/>
                      <w:szCs w:val="21"/>
                    </w:rPr>
                    <w:t>收尘管道</w:t>
                  </w:r>
                  <w:r>
                    <w:rPr>
                      <w:szCs w:val="21"/>
                    </w:rPr>
                    <w:t>捕集率</w:t>
                  </w:r>
                  <w:r>
                    <w:rPr>
                      <w:rFonts w:hint="eastAsia"/>
                      <w:szCs w:val="21"/>
                    </w:rPr>
                    <w:t>100</w:t>
                  </w:r>
                  <w:r>
                    <w:rPr>
                      <w:szCs w:val="21"/>
                    </w:rPr>
                    <w:t>%、</w:t>
                  </w:r>
                </w:p>
                <w:p>
                  <w:pPr>
                    <w:adjustRightInd w:val="0"/>
                    <w:snapToGrid w:val="0"/>
                    <w:ind w:left="-346" w:leftChars="-165" w:firstLine="346" w:firstLineChars="165"/>
                    <w:jc w:val="center"/>
                    <w:rPr>
                      <w:szCs w:val="21"/>
                    </w:rPr>
                  </w:pPr>
                  <w:r>
                    <w:rPr>
                      <w:szCs w:val="21"/>
                    </w:rPr>
                    <w:t xml:space="preserve"> 除尘效率9</w:t>
                  </w:r>
                  <w:r>
                    <w:rPr>
                      <w:rFonts w:hint="eastAsia"/>
                      <w:szCs w:val="21"/>
                      <w:lang w:val="en-US" w:eastAsia="zh-CN"/>
                    </w:rPr>
                    <w:t>9.5</w:t>
                  </w:r>
                  <w:r>
                    <w:rPr>
                      <w:szCs w:val="21"/>
                    </w:rPr>
                    <w:t>%，除尘设</w:t>
                  </w:r>
                </w:p>
                <w:p>
                  <w:pPr>
                    <w:adjustRightInd w:val="0"/>
                    <w:snapToGrid w:val="0"/>
                    <w:jc w:val="center"/>
                    <w:rPr>
                      <w:szCs w:val="21"/>
                    </w:rPr>
                  </w:pPr>
                  <w:r>
                    <w:rPr>
                      <w:szCs w:val="21"/>
                    </w:rPr>
                    <w:t>施风量</w:t>
                  </w:r>
                  <w:r>
                    <w:rPr>
                      <w:rFonts w:hint="eastAsia"/>
                      <w:szCs w:val="21"/>
                      <w:lang w:val="en-US" w:eastAsia="zh-CN"/>
                    </w:rPr>
                    <w:t>50</w:t>
                  </w:r>
                  <w:r>
                    <w:rPr>
                      <w:rFonts w:hint="eastAsia"/>
                      <w:szCs w:val="21"/>
                    </w:rPr>
                    <w:t>00</w:t>
                  </w:r>
                  <w:r>
                    <w:rPr>
                      <w:szCs w:val="21"/>
                    </w:rPr>
                    <w:t>m</w:t>
                  </w:r>
                  <w:r>
                    <w:rPr>
                      <w:szCs w:val="21"/>
                      <w:vertAlign w:val="superscript"/>
                    </w:rPr>
                    <w:t>3</w:t>
                  </w:r>
                  <w:r>
                    <w:rPr>
                      <w:szCs w:val="21"/>
                    </w:rPr>
                    <w:t>/h、经15米</w:t>
                  </w:r>
                  <w:r>
                    <w:rPr>
                      <w:rFonts w:hint="eastAsia"/>
                      <w:szCs w:val="21"/>
                    </w:rPr>
                    <w:t>DA00</w:t>
                  </w:r>
                  <w:r>
                    <w:rPr>
                      <w:rFonts w:hint="eastAsia"/>
                      <w:szCs w:val="21"/>
                      <w:lang w:val="en-US" w:eastAsia="zh-CN"/>
                    </w:rPr>
                    <w:t>1</w:t>
                  </w:r>
                  <w:r>
                    <w:rPr>
                      <w:szCs w:val="21"/>
                    </w:rPr>
                    <w:t>排气筒</w:t>
                  </w:r>
                </w:p>
              </w:tc>
              <w:tc>
                <w:tcPr>
                  <w:tcW w:w="1533" w:type="dxa"/>
                  <w:vAlign w:val="center"/>
                </w:tcPr>
                <w:p>
                  <w:pPr>
                    <w:pStyle w:val="107"/>
                    <w:rPr>
                      <w:rFonts w:ascii="Times New Roman" w:hAnsi="Times New Roman"/>
                    </w:rPr>
                  </w:pPr>
                  <w:r>
                    <w:rPr>
                      <w:rFonts w:ascii="Times New Roman" w:hAnsi="Times New Roman"/>
                    </w:rPr>
                    <w:t>达标排放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Merge w:val="continue"/>
                  <w:vAlign w:val="center"/>
                </w:tcPr>
                <w:p>
                  <w:pPr>
                    <w:jc w:val="center"/>
                    <w:rPr>
                      <w:kern w:val="0"/>
                      <w:szCs w:val="21"/>
                    </w:rPr>
                  </w:pPr>
                </w:p>
              </w:tc>
              <w:tc>
                <w:tcPr>
                  <w:tcW w:w="1702" w:type="dxa"/>
                  <w:vAlign w:val="center"/>
                </w:tcPr>
                <w:p>
                  <w:pPr>
                    <w:adjustRightInd w:val="0"/>
                    <w:snapToGrid w:val="0"/>
                    <w:ind w:left="-346" w:leftChars="-165" w:firstLine="339" w:firstLineChars="165"/>
                    <w:jc w:val="center"/>
                    <w:rPr>
                      <w:spacing w:val="-2"/>
                      <w:szCs w:val="21"/>
                    </w:rPr>
                  </w:pPr>
                  <w:r>
                    <w:rPr>
                      <w:rFonts w:hint="eastAsia"/>
                      <w:spacing w:val="-2"/>
                      <w:szCs w:val="21"/>
                    </w:rPr>
                    <w:t>燃气热风装置</w:t>
                  </w:r>
                </w:p>
              </w:tc>
              <w:tc>
                <w:tcPr>
                  <w:tcW w:w="3968" w:type="dxa"/>
                  <w:vAlign w:val="center"/>
                </w:tcPr>
                <w:p>
                  <w:pPr>
                    <w:adjustRightInd w:val="0"/>
                    <w:snapToGrid w:val="0"/>
                    <w:jc w:val="center"/>
                    <w:rPr>
                      <w:szCs w:val="21"/>
                    </w:rPr>
                  </w:pPr>
                  <w:r>
                    <w:rPr>
                      <w:szCs w:val="21"/>
                      <w:lang w:val="en-US"/>
                    </w:rPr>
                    <w:t>机械通风装置</w:t>
                  </w:r>
                  <w:r>
                    <w:rPr>
                      <w:rFonts w:hint="eastAsia"/>
                      <w:szCs w:val="21"/>
                      <w:lang w:val="en-US" w:eastAsia="zh-CN"/>
                    </w:rPr>
                    <w:t>100</w:t>
                  </w:r>
                  <w:r>
                    <w:rPr>
                      <w:rFonts w:hint="eastAsia"/>
                      <w:szCs w:val="21"/>
                      <w:lang w:val="en-US"/>
                    </w:rPr>
                    <w:t>0</w:t>
                  </w:r>
                  <w:r>
                    <w:rPr>
                      <w:szCs w:val="21"/>
                      <w:lang w:val="en-US"/>
                    </w:rPr>
                    <w:t>m</w:t>
                  </w:r>
                  <w:r>
                    <w:rPr>
                      <w:szCs w:val="21"/>
                      <w:vertAlign w:val="superscript"/>
                      <w:lang w:val="en-US"/>
                    </w:rPr>
                    <w:t>3</w:t>
                  </w:r>
                  <w:r>
                    <w:rPr>
                      <w:szCs w:val="21"/>
                      <w:lang w:val="en-US"/>
                    </w:rPr>
                    <w:t>/h</w:t>
                  </w:r>
                  <w:r>
                    <w:rPr>
                      <w:rFonts w:hint="eastAsia"/>
                      <w:szCs w:val="21"/>
                      <w:lang w:val="en-US"/>
                    </w:rPr>
                    <w:t>、</w:t>
                  </w:r>
                  <w:r>
                    <w:rPr>
                      <w:szCs w:val="21"/>
                    </w:rPr>
                    <w:t>经15米</w:t>
                  </w:r>
                  <w:r>
                    <w:rPr>
                      <w:rFonts w:hint="eastAsia"/>
                      <w:szCs w:val="21"/>
                    </w:rPr>
                    <w:t>DA00</w:t>
                  </w:r>
                  <w:r>
                    <w:rPr>
                      <w:rFonts w:hint="eastAsia"/>
                      <w:szCs w:val="21"/>
                      <w:lang w:val="en-US" w:eastAsia="zh-CN"/>
                    </w:rPr>
                    <w:t>1</w:t>
                  </w:r>
                  <w:r>
                    <w:rPr>
                      <w:szCs w:val="21"/>
                    </w:rPr>
                    <w:t>排气筒</w:t>
                  </w:r>
                </w:p>
              </w:tc>
              <w:tc>
                <w:tcPr>
                  <w:tcW w:w="1533" w:type="dxa"/>
                  <w:vAlign w:val="center"/>
                </w:tcPr>
                <w:p>
                  <w:pPr>
                    <w:pStyle w:val="107"/>
                    <w:rPr>
                      <w:rFonts w:ascii="Times New Roman" w:hAnsi="Times New Roman"/>
                    </w:rPr>
                  </w:pPr>
                  <w:r>
                    <w:rPr>
                      <w:rFonts w:ascii="Times New Roman" w:hAnsi="Times New Roman"/>
                    </w:rPr>
                    <w:t>达标排放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Align w:val="center"/>
                </w:tcPr>
                <w:p>
                  <w:pPr>
                    <w:jc w:val="center"/>
                    <w:rPr>
                      <w:kern w:val="0"/>
                      <w:szCs w:val="21"/>
                    </w:rPr>
                  </w:pPr>
                  <w:r>
                    <w:rPr>
                      <w:kern w:val="0"/>
                      <w:szCs w:val="21"/>
                    </w:rPr>
                    <w:t>废水</w:t>
                  </w:r>
                </w:p>
              </w:tc>
              <w:tc>
                <w:tcPr>
                  <w:tcW w:w="1702" w:type="dxa"/>
                  <w:vAlign w:val="center"/>
                </w:tcPr>
                <w:p>
                  <w:pPr>
                    <w:jc w:val="center"/>
                    <w:rPr>
                      <w:kern w:val="0"/>
                      <w:szCs w:val="21"/>
                    </w:rPr>
                  </w:pPr>
                  <w:r>
                    <w:rPr>
                      <w:rFonts w:hint="eastAsia"/>
                      <w:kern w:val="0"/>
                      <w:szCs w:val="21"/>
                    </w:rPr>
                    <w:t>生活污水</w:t>
                  </w:r>
                </w:p>
              </w:tc>
              <w:tc>
                <w:tcPr>
                  <w:tcW w:w="3968" w:type="dxa"/>
                  <w:vAlign w:val="center"/>
                </w:tcPr>
                <w:p>
                  <w:pPr>
                    <w:jc w:val="center"/>
                    <w:rPr>
                      <w:kern w:val="0"/>
                      <w:szCs w:val="21"/>
                    </w:rPr>
                  </w:pPr>
                  <w:r>
                    <w:rPr>
                      <w:rFonts w:hint="eastAsia"/>
                      <w:kern w:val="0"/>
                      <w:szCs w:val="21"/>
                    </w:rPr>
                    <w:t>经厂内已有化粪池预处理后接入</w:t>
                  </w:r>
                  <w:r>
                    <w:rPr>
                      <w:rFonts w:hint="eastAsia"/>
                      <w:kern w:val="0"/>
                      <w:szCs w:val="21"/>
                      <w:lang w:val="en-US"/>
                    </w:rPr>
                    <w:t>宜兴市华骐污水处理有限公司</w:t>
                  </w:r>
                  <w:r>
                    <w:rPr>
                      <w:rFonts w:hint="eastAsia"/>
                      <w:kern w:val="0"/>
                      <w:szCs w:val="21"/>
                    </w:rPr>
                    <w:t>处理达标后外排</w:t>
                  </w:r>
                </w:p>
              </w:tc>
              <w:tc>
                <w:tcPr>
                  <w:tcW w:w="1533" w:type="dxa"/>
                  <w:vAlign w:val="center"/>
                </w:tcPr>
                <w:p>
                  <w:pPr>
                    <w:jc w:val="center"/>
                    <w:rPr>
                      <w:kern w:val="0"/>
                      <w:szCs w:val="21"/>
                    </w:rP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Merge w:val="restart"/>
                  <w:vAlign w:val="center"/>
                </w:tcPr>
                <w:p>
                  <w:pPr>
                    <w:jc w:val="center"/>
                    <w:rPr>
                      <w:kern w:val="0"/>
                      <w:szCs w:val="21"/>
                    </w:rPr>
                  </w:pPr>
                  <w:r>
                    <w:rPr>
                      <w:rFonts w:hint="eastAsia"/>
                      <w:kern w:val="0"/>
                      <w:szCs w:val="21"/>
                    </w:rPr>
                    <w:t>固废</w:t>
                  </w:r>
                </w:p>
              </w:tc>
              <w:tc>
                <w:tcPr>
                  <w:tcW w:w="1702" w:type="dxa"/>
                  <w:vAlign w:val="center"/>
                </w:tcPr>
                <w:p>
                  <w:pPr>
                    <w:jc w:val="center"/>
                    <w:rPr>
                      <w:kern w:val="0"/>
                      <w:szCs w:val="21"/>
                    </w:rPr>
                  </w:pPr>
                  <w:r>
                    <w:rPr>
                      <w:rFonts w:hint="eastAsia"/>
                      <w:kern w:val="0"/>
                      <w:szCs w:val="21"/>
                    </w:rPr>
                    <w:t>生活</w:t>
                  </w:r>
                  <w:r>
                    <w:rPr>
                      <w:kern w:val="0"/>
                      <w:szCs w:val="21"/>
                    </w:rPr>
                    <w:t>垃圾</w:t>
                  </w:r>
                </w:p>
              </w:tc>
              <w:tc>
                <w:tcPr>
                  <w:tcW w:w="3968" w:type="dxa"/>
                  <w:vAlign w:val="center"/>
                </w:tcPr>
                <w:p>
                  <w:pPr>
                    <w:pStyle w:val="127"/>
                    <w:spacing w:line="240" w:lineRule="auto"/>
                    <w:rPr>
                      <w:rFonts w:ascii="Times New Roman" w:hAnsi="Times New Roman" w:cs="Times New Roman"/>
                      <w:lang w:val="fi-FI"/>
                    </w:rPr>
                  </w:pPr>
                  <w:r>
                    <w:rPr>
                      <w:rFonts w:ascii="Times New Roman" w:hAnsi="Times New Roman" w:cs="Times New Roman"/>
                      <w:kern w:val="0"/>
                      <w:szCs w:val="21"/>
                    </w:rPr>
                    <w:t>/</w:t>
                  </w:r>
                </w:p>
              </w:tc>
              <w:tc>
                <w:tcPr>
                  <w:tcW w:w="1533" w:type="dxa"/>
                  <w:vAlign w:val="center"/>
                </w:tcPr>
                <w:p>
                  <w:pPr>
                    <w:jc w:val="center"/>
                    <w:rPr>
                      <w:kern w:val="0"/>
                      <w:szCs w:val="21"/>
                    </w:rPr>
                  </w:pPr>
                  <w:r>
                    <w:rPr>
                      <w:kern w:val="0"/>
                      <w:szCs w:val="21"/>
                    </w:rPr>
                    <w:t>全部合理处置，不外排</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Merge w:val="continue"/>
                  <w:vAlign w:val="center"/>
                </w:tcPr>
                <w:p>
                  <w:pPr>
                    <w:jc w:val="center"/>
                    <w:rPr>
                      <w:kern w:val="0"/>
                      <w:szCs w:val="21"/>
                    </w:rPr>
                  </w:pPr>
                </w:p>
              </w:tc>
              <w:tc>
                <w:tcPr>
                  <w:tcW w:w="1702" w:type="dxa"/>
                  <w:vAlign w:val="center"/>
                </w:tcPr>
                <w:p>
                  <w:pPr>
                    <w:spacing w:line="320" w:lineRule="exact"/>
                    <w:jc w:val="center"/>
                    <w:rPr>
                      <w:szCs w:val="21"/>
                    </w:rPr>
                  </w:pPr>
                  <w:r>
                    <w:rPr>
                      <w:szCs w:val="21"/>
                    </w:rPr>
                    <w:t>固废堆场</w:t>
                  </w:r>
                </w:p>
              </w:tc>
              <w:tc>
                <w:tcPr>
                  <w:tcW w:w="3968" w:type="dxa"/>
                  <w:vAlign w:val="center"/>
                </w:tcPr>
                <w:p>
                  <w:pPr>
                    <w:spacing w:line="320" w:lineRule="exact"/>
                    <w:jc w:val="center"/>
                    <w:rPr>
                      <w:szCs w:val="21"/>
                    </w:rPr>
                  </w:pPr>
                  <w:r>
                    <w:rPr>
                      <w:rFonts w:hint="eastAsia"/>
                      <w:szCs w:val="21"/>
                    </w:rPr>
                    <w:t>10</w:t>
                  </w:r>
                  <w:r>
                    <w:rPr>
                      <w:szCs w:val="21"/>
                    </w:rPr>
                    <w:t>m</w:t>
                  </w:r>
                  <w:r>
                    <w:rPr>
                      <w:szCs w:val="21"/>
                      <w:vertAlign w:val="superscript"/>
                    </w:rPr>
                    <w:t>2</w:t>
                  </w:r>
                </w:p>
              </w:tc>
              <w:tc>
                <w:tcPr>
                  <w:tcW w:w="1533" w:type="dxa"/>
                  <w:vAlign w:val="center"/>
                </w:tcPr>
                <w:p>
                  <w:pPr>
                    <w:spacing w:line="320" w:lineRule="exact"/>
                    <w:jc w:val="center"/>
                    <w:rPr>
                      <w:szCs w:val="21"/>
                    </w:rPr>
                  </w:pPr>
                  <w:r>
                    <w:rPr>
                      <w:szCs w:val="21"/>
                    </w:rPr>
                    <w:t>收集后统一出售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jc w:val="center"/>
                    <w:rPr>
                      <w:kern w:val="0"/>
                      <w:szCs w:val="21"/>
                    </w:rPr>
                  </w:pPr>
                </w:p>
              </w:tc>
              <w:tc>
                <w:tcPr>
                  <w:tcW w:w="723" w:type="dxa"/>
                  <w:vAlign w:val="center"/>
                </w:tcPr>
                <w:p>
                  <w:pPr>
                    <w:jc w:val="center"/>
                    <w:rPr>
                      <w:kern w:val="0"/>
                      <w:szCs w:val="21"/>
                    </w:rPr>
                  </w:pPr>
                  <w:r>
                    <w:rPr>
                      <w:kern w:val="0"/>
                      <w:szCs w:val="21"/>
                    </w:rPr>
                    <w:t>噪声</w:t>
                  </w:r>
                </w:p>
              </w:tc>
              <w:tc>
                <w:tcPr>
                  <w:tcW w:w="1702" w:type="dxa"/>
                  <w:vAlign w:val="center"/>
                </w:tcPr>
                <w:p>
                  <w:pPr>
                    <w:autoSpaceDE w:val="0"/>
                    <w:autoSpaceDN w:val="0"/>
                    <w:adjustRightInd w:val="0"/>
                    <w:jc w:val="center"/>
                    <w:rPr>
                      <w:kern w:val="0"/>
                      <w:szCs w:val="21"/>
                    </w:rPr>
                  </w:pPr>
                  <w:r>
                    <w:rPr>
                      <w:kern w:val="0"/>
                      <w:szCs w:val="21"/>
                    </w:rPr>
                    <w:t>选用低噪声设备、</w:t>
                  </w:r>
                  <w:r>
                    <w:rPr>
                      <w:kern w:val="0"/>
                      <w:szCs w:val="21"/>
                      <w:lang w:val="en-US"/>
                    </w:rPr>
                    <w:t>隔声门窗、吸声材料，</w:t>
                  </w:r>
                  <w:r>
                    <w:rPr>
                      <w:kern w:val="0"/>
                      <w:szCs w:val="21"/>
                    </w:rPr>
                    <w:t>合理布置车间</w:t>
                  </w:r>
                </w:p>
              </w:tc>
              <w:tc>
                <w:tcPr>
                  <w:tcW w:w="3968" w:type="dxa"/>
                  <w:vAlign w:val="center"/>
                </w:tcPr>
                <w:p>
                  <w:pPr>
                    <w:autoSpaceDE w:val="0"/>
                    <w:autoSpaceDN w:val="0"/>
                    <w:adjustRightInd w:val="0"/>
                    <w:jc w:val="center"/>
                    <w:rPr>
                      <w:kern w:val="0"/>
                      <w:szCs w:val="21"/>
                    </w:rPr>
                  </w:pPr>
                  <w:r>
                    <w:rPr>
                      <w:kern w:val="0"/>
                      <w:szCs w:val="21"/>
                    </w:rPr>
                    <w:t>/</w:t>
                  </w:r>
                </w:p>
              </w:tc>
              <w:tc>
                <w:tcPr>
                  <w:tcW w:w="1533" w:type="dxa"/>
                  <w:vAlign w:val="center"/>
                </w:tcPr>
                <w:p>
                  <w:pPr>
                    <w:jc w:val="center"/>
                    <w:rPr>
                      <w:kern w:val="0"/>
                      <w:szCs w:val="21"/>
                    </w:rPr>
                  </w:pPr>
                  <w:r>
                    <w:rPr>
                      <w:kern w:val="0"/>
                      <w:szCs w:val="21"/>
                      <w:lang w:val="en-US"/>
                    </w:rPr>
                    <w:t>/</w:t>
                  </w:r>
                </w:p>
              </w:tc>
            </w:tr>
          </w:tbl>
          <w:p>
            <w:pPr>
              <w:spacing w:beforeLines="50" w:line="360" w:lineRule="auto"/>
              <w:ind w:firstLine="602" w:firstLineChars="250"/>
              <w:outlineLvl w:val="2"/>
              <w:rPr>
                <w:rFonts w:hAnsi="宋体"/>
                <w:b/>
                <w:kern w:val="0"/>
                <w:sz w:val="24"/>
                <w:szCs w:val="24"/>
              </w:rPr>
            </w:pPr>
            <w:r>
              <w:rPr>
                <w:rFonts w:hint="eastAsia"/>
                <w:b/>
                <w:kern w:val="0"/>
                <w:sz w:val="24"/>
                <w:szCs w:val="24"/>
              </w:rPr>
              <w:t>3</w:t>
            </w:r>
            <w:r>
              <w:rPr>
                <w:rFonts w:hAnsi="宋体"/>
                <w:b/>
                <w:kern w:val="0"/>
                <w:sz w:val="24"/>
                <w:szCs w:val="24"/>
              </w:rPr>
              <w:t>、</w:t>
            </w:r>
            <w:r>
              <w:rPr>
                <w:rFonts w:hint="eastAsia" w:hAnsi="宋体"/>
                <w:b/>
                <w:kern w:val="0"/>
                <w:sz w:val="24"/>
                <w:szCs w:val="24"/>
              </w:rPr>
              <w:t>劳动定员及生产班制</w:t>
            </w:r>
          </w:p>
          <w:p>
            <w:pPr>
              <w:spacing w:line="360" w:lineRule="auto"/>
              <w:ind w:firstLine="480" w:firstLineChars="200"/>
              <w:outlineLvl w:val="2"/>
              <w:rPr>
                <w:rFonts w:hAnsi="宋体"/>
                <w:color w:val="000000" w:themeColor="text1"/>
                <w:kern w:val="0"/>
                <w:sz w:val="24"/>
                <w:szCs w:val="24"/>
              </w:rPr>
            </w:pPr>
            <w:r>
              <w:rPr>
                <w:rFonts w:hint="eastAsia" w:hAnsi="宋体"/>
                <w:color w:val="000000" w:themeColor="text1"/>
                <w:kern w:val="0"/>
                <w:sz w:val="24"/>
                <w:szCs w:val="24"/>
              </w:rPr>
              <w:t>生产班制：</w:t>
            </w:r>
            <w:r>
              <w:rPr>
                <w:rFonts w:hint="eastAsia"/>
                <w:color w:val="000000" w:themeColor="text1"/>
                <w:sz w:val="24"/>
                <w:szCs w:val="24"/>
              </w:rPr>
              <w:t>员工为</w:t>
            </w:r>
            <w:r>
              <w:rPr>
                <w:rFonts w:hint="eastAsia"/>
                <w:color w:val="000000" w:themeColor="text1"/>
                <w:sz w:val="24"/>
                <w:szCs w:val="24"/>
                <w:lang w:eastAsia="zh-CN"/>
              </w:rPr>
              <w:t>三</w:t>
            </w:r>
            <w:r>
              <w:rPr>
                <w:rFonts w:hint="eastAsia"/>
                <w:color w:val="000000" w:themeColor="text1"/>
                <w:sz w:val="24"/>
                <w:szCs w:val="24"/>
              </w:rPr>
              <w:t>班制生产，每班8小时生产</w:t>
            </w:r>
            <w:r>
              <w:rPr>
                <w:rFonts w:hint="eastAsia" w:eastAsiaTheme="minorEastAsia"/>
                <w:color w:val="000000" w:themeColor="text1"/>
                <w:sz w:val="24"/>
                <w:szCs w:val="24"/>
                <w:lang w:val="en-US"/>
              </w:rPr>
              <w:t>，</w:t>
            </w:r>
            <w:r>
              <w:rPr>
                <w:rFonts w:hint="eastAsia" w:eastAsiaTheme="minorEastAsia"/>
                <w:color w:val="000000" w:themeColor="text1"/>
                <w:sz w:val="24"/>
                <w:szCs w:val="24"/>
                <w:lang w:val="en-US" w:eastAsia="zh-CN"/>
              </w:rPr>
              <w:t>辊道窑</w:t>
            </w:r>
            <w:r>
              <w:rPr>
                <w:rFonts w:hint="eastAsia" w:eastAsiaTheme="minorEastAsia"/>
                <w:color w:val="000000" w:themeColor="text1"/>
                <w:sz w:val="24"/>
                <w:szCs w:val="24"/>
                <w:lang w:val="en-US"/>
              </w:rPr>
              <w:t>24小时运行，</w:t>
            </w:r>
            <w:r>
              <w:rPr>
                <w:rFonts w:hint="eastAsia" w:eastAsiaTheme="minorEastAsia"/>
                <w:color w:val="000000" w:themeColor="text1"/>
                <w:sz w:val="24"/>
                <w:szCs w:val="24"/>
              </w:rPr>
              <w:t>年实际运行天数</w:t>
            </w:r>
            <w:r>
              <w:rPr>
                <w:rFonts w:hint="eastAsia" w:eastAsiaTheme="minorEastAsia"/>
                <w:color w:val="000000" w:themeColor="text1"/>
                <w:sz w:val="24"/>
                <w:szCs w:val="24"/>
                <w:lang w:val="en-US" w:eastAsia="zh-CN"/>
              </w:rPr>
              <w:t>312</w:t>
            </w:r>
            <w:r>
              <w:rPr>
                <w:rFonts w:hint="eastAsia" w:eastAsiaTheme="minorEastAsia"/>
                <w:color w:val="000000" w:themeColor="text1"/>
                <w:sz w:val="24"/>
                <w:szCs w:val="24"/>
              </w:rPr>
              <w:t>天</w:t>
            </w:r>
            <w:r>
              <w:rPr>
                <w:rFonts w:hint="eastAsia"/>
                <w:color w:val="000000" w:themeColor="text1"/>
                <w:sz w:val="24"/>
                <w:szCs w:val="24"/>
              </w:rPr>
              <w:t>。</w:t>
            </w:r>
          </w:p>
          <w:p>
            <w:pPr>
              <w:spacing w:line="360" w:lineRule="auto"/>
              <w:ind w:firstLine="480" w:firstLineChars="200"/>
              <w:outlineLvl w:val="2"/>
              <w:rPr>
                <w:rFonts w:hAnsi="宋体"/>
                <w:kern w:val="0"/>
                <w:sz w:val="24"/>
                <w:szCs w:val="24"/>
              </w:rPr>
            </w:pPr>
            <w:r>
              <w:rPr>
                <w:rFonts w:hint="eastAsia" w:hAnsi="宋体"/>
                <w:kern w:val="0"/>
                <w:sz w:val="24"/>
                <w:szCs w:val="24"/>
              </w:rPr>
              <w:t>劳动定员：本项目</w:t>
            </w:r>
            <w:r>
              <w:rPr>
                <w:rFonts w:hint="eastAsia"/>
                <w:sz w:val="24"/>
                <w:szCs w:val="24"/>
                <w:lang w:val="en-US"/>
              </w:rPr>
              <w:t>新增</w:t>
            </w:r>
            <w:r>
              <w:rPr>
                <w:rFonts w:hint="eastAsia"/>
                <w:sz w:val="24"/>
                <w:szCs w:val="24"/>
                <w:lang w:val="en-US" w:eastAsia="zh-CN"/>
              </w:rPr>
              <w:t>员工8</w:t>
            </w:r>
            <w:r>
              <w:rPr>
                <w:rFonts w:hint="eastAsia"/>
                <w:sz w:val="24"/>
                <w:szCs w:val="24"/>
                <w:lang w:val="en-US"/>
              </w:rPr>
              <w:t>人</w:t>
            </w:r>
            <w:r>
              <w:rPr>
                <w:color w:val="000000"/>
                <w:sz w:val="24"/>
                <w:szCs w:val="24"/>
              </w:rPr>
              <w:t>，</w:t>
            </w:r>
            <w:r>
              <w:rPr>
                <w:rFonts w:hint="eastAsia" w:hAnsi="宋体"/>
                <w:kern w:val="0"/>
                <w:sz w:val="24"/>
                <w:szCs w:val="24"/>
              </w:rPr>
              <w:t>厂区不设宿舍和食堂。</w:t>
            </w:r>
          </w:p>
          <w:p>
            <w:pPr>
              <w:spacing w:line="360" w:lineRule="auto"/>
              <w:ind w:firstLine="482" w:firstLineChars="200"/>
              <w:rPr>
                <w:rFonts w:hAnsi="宋体"/>
                <w:b/>
                <w:kern w:val="0"/>
                <w:sz w:val="24"/>
                <w:szCs w:val="24"/>
              </w:rPr>
            </w:pPr>
            <w:r>
              <w:rPr>
                <w:rFonts w:hint="eastAsia" w:hAnsi="宋体"/>
                <w:b/>
                <w:kern w:val="0"/>
                <w:sz w:val="24"/>
                <w:szCs w:val="24"/>
              </w:rPr>
              <w:t>4、建设进度</w:t>
            </w:r>
          </w:p>
          <w:p>
            <w:pPr>
              <w:spacing w:line="360" w:lineRule="auto"/>
              <w:ind w:firstLine="480" w:firstLineChars="200"/>
              <w:rPr>
                <w:rFonts w:hAnsi="宋体"/>
                <w:bCs/>
                <w:kern w:val="0"/>
                <w:sz w:val="24"/>
                <w:szCs w:val="24"/>
                <w:lang w:val="en-US"/>
              </w:rPr>
            </w:pPr>
            <w:r>
              <w:rPr>
                <w:rFonts w:hint="eastAsia" w:hAnsi="宋体"/>
                <w:kern w:val="0"/>
                <w:sz w:val="24"/>
                <w:szCs w:val="24"/>
              </w:rPr>
              <w:t>本项目计划于</w:t>
            </w:r>
            <w:r>
              <w:rPr>
                <w:rFonts w:hAnsi="宋体"/>
                <w:kern w:val="0"/>
                <w:sz w:val="24"/>
                <w:szCs w:val="24"/>
              </w:rPr>
              <w:t>20</w:t>
            </w:r>
            <w:r>
              <w:rPr>
                <w:rFonts w:hint="eastAsia" w:hAnsi="宋体"/>
                <w:kern w:val="0"/>
                <w:sz w:val="24"/>
                <w:szCs w:val="24"/>
              </w:rPr>
              <w:t>20年</w:t>
            </w:r>
            <w:r>
              <w:rPr>
                <w:rFonts w:hint="eastAsia" w:hAnsi="宋体"/>
                <w:kern w:val="0"/>
                <w:sz w:val="24"/>
                <w:szCs w:val="24"/>
                <w:lang w:val="en-US" w:eastAsia="zh-CN"/>
              </w:rPr>
              <w:t>9</w:t>
            </w:r>
            <w:r>
              <w:rPr>
                <w:rFonts w:hint="eastAsia" w:hAnsi="宋体"/>
                <w:kern w:val="0"/>
                <w:sz w:val="24"/>
                <w:szCs w:val="24"/>
              </w:rPr>
              <w:t>月开始各项审批手续的报批，</w:t>
            </w:r>
            <w:r>
              <w:rPr>
                <w:rFonts w:hint="eastAsia" w:hAnsi="宋体"/>
                <w:bCs/>
                <w:kern w:val="0"/>
                <w:sz w:val="24"/>
                <w:szCs w:val="24"/>
                <w:lang w:val="en-US"/>
              </w:rPr>
              <w:t>于</w:t>
            </w:r>
            <w:r>
              <w:rPr>
                <w:rFonts w:hAnsi="宋体"/>
                <w:bCs/>
                <w:kern w:val="0"/>
                <w:sz w:val="24"/>
                <w:szCs w:val="24"/>
              </w:rPr>
              <w:t>20</w:t>
            </w:r>
            <w:r>
              <w:rPr>
                <w:rFonts w:hint="eastAsia" w:hAnsi="宋体"/>
                <w:bCs/>
                <w:kern w:val="0"/>
                <w:sz w:val="24"/>
                <w:szCs w:val="24"/>
              </w:rPr>
              <w:t>20年</w:t>
            </w:r>
            <w:r>
              <w:rPr>
                <w:rFonts w:hint="eastAsia" w:hAnsi="宋体"/>
                <w:bCs/>
                <w:kern w:val="0"/>
                <w:sz w:val="24"/>
                <w:szCs w:val="24"/>
                <w:lang w:val="en-US" w:eastAsia="zh-CN"/>
              </w:rPr>
              <w:t>12</w:t>
            </w:r>
            <w:r>
              <w:rPr>
                <w:rFonts w:hint="eastAsia" w:hAnsi="宋体"/>
                <w:bCs/>
                <w:kern w:val="0"/>
                <w:sz w:val="24"/>
                <w:szCs w:val="24"/>
              </w:rPr>
              <w:t>月</w:t>
            </w:r>
            <w:r>
              <w:rPr>
                <w:rFonts w:hint="eastAsia" w:hAnsi="宋体"/>
                <w:bCs/>
                <w:kern w:val="0"/>
                <w:sz w:val="24"/>
                <w:szCs w:val="24"/>
                <w:lang w:val="en-US"/>
              </w:rPr>
              <w:t>设备安装调试，拟于2020年</w:t>
            </w:r>
            <w:r>
              <w:rPr>
                <w:rFonts w:hint="eastAsia" w:hAnsi="宋体"/>
                <w:bCs/>
                <w:kern w:val="0"/>
                <w:sz w:val="24"/>
                <w:szCs w:val="24"/>
                <w:lang w:val="en-US" w:eastAsia="zh-CN"/>
              </w:rPr>
              <w:t>2</w:t>
            </w:r>
            <w:r>
              <w:rPr>
                <w:rFonts w:hint="eastAsia" w:hAnsi="宋体"/>
                <w:bCs/>
                <w:kern w:val="0"/>
                <w:sz w:val="24"/>
                <w:szCs w:val="24"/>
                <w:lang w:val="en-US"/>
              </w:rPr>
              <w:t>月份进行试生产。</w:t>
            </w:r>
          </w:p>
          <w:bookmarkEnd w:id="8"/>
          <w:bookmarkEnd w:id="9"/>
          <w:p>
            <w:pPr>
              <w:spacing w:line="360" w:lineRule="auto"/>
              <w:ind w:firstLine="482" w:firstLineChars="200"/>
              <w:outlineLvl w:val="2"/>
              <w:rPr>
                <w:rFonts w:hAnsi="宋体"/>
                <w:b/>
                <w:kern w:val="0"/>
                <w:sz w:val="24"/>
                <w:szCs w:val="24"/>
              </w:rPr>
            </w:pPr>
            <w:r>
              <w:rPr>
                <w:rFonts w:hint="eastAsia"/>
                <w:b/>
                <w:kern w:val="0"/>
                <w:sz w:val="24"/>
                <w:szCs w:val="24"/>
              </w:rPr>
              <w:t>5</w:t>
            </w:r>
            <w:r>
              <w:rPr>
                <w:rFonts w:hint="eastAsia" w:hAnsi="宋体"/>
                <w:b/>
                <w:kern w:val="0"/>
                <w:sz w:val="24"/>
                <w:szCs w:val="24"/>
              </w:rPr>
              <w:t>、产</w:t>
            </w:r>
            <w:r>
              <w:rPr>
                <w:rFonts w:hAnsi="宋体"/>
                <w:b/>
                <w:kern w:val="0"/>
                <w:sz w:val="24"/>
                <w:szCs w:val="24"/>
              </w:rPr>
              <w:t>业政策相符性</w:t>
            </w:r>
          </w:p>
          <w:p>
            <w:pPr>
              <w:spacing w:line="360" w:lineRule="auto"/>
              <w:ind w:firstLine="480" w:firstLineChars="200"/>
              <w:rPr>
                <w:sz w:val="24"/>
                <w:szCs w:val="24"/>
              </w:rPr>
            </w:pPr>
            <w:r>
              <w:rPr>
                <w:rFonts w:hint="eastAsia"/>
                <w:sz w:val="24"/>
                <w:szCs w:val="24"/>
              </w:rPr>
              <w:t>本项目为</w:t>
            </w:r>
            <w:r>
              <w:rPr>
                <w:rFonts w:hint="eastAsia"/>
                <w:sz w:val="24"/>
                <w:szCs w:val="24"/>
                <w:lang w:eastAsia="zh-CN"/>
              </w:rPr>
              <w:t>改建</w:t>
            </w:r>
            <w:r>
              <w:rPr>
                <w:rFonts w:hint="eastAsia"/>
                <w:sz w:val="24"/>
                <w:szCs w:val="24"/>
              </w:rPr>
              <w:t>项目，行业类别为C3072特种陶瓷制品制造</w:t>
            </w:r>
            <w:r>
              <w:rPr>
                <w:rFonts w:hint="eastAsia"/>
                <w:sz w:val="24"/>
                <w:szCs w:val="24"/>
                <w:lang w:val="en-US"/>
              </w:rPr>
              <w:t>。</w:t>
            </w:r>
            <w:r>
              <w:rPr>
                <w:rFonts w:hint="eastAsia"/>
                <w:sz w:val="24"/>
                <w:szCs w:val="24"/>
              </w:rPr>
              <w:t>经查实，本项目不属于</w:t>
            </w:r>
            <w:r>
              <w:rPr>
                <w:sz w:val="24"/>
                <w:szCs w:val="24"/>
              </w:rPr>
              <w:t>《产业结构调整指导目录（</w:t>
            </w:r>
            <w:r>
              <w:rPr>
                <w:rFonts w:hint="eastAsia"/>
                <w:sz w:val="24"/>
                <w:szCs w:val="24"/>
              </w:rPr>
              <w:t>2019年本）》</w:t>
            </w:r>
            <w:r>
              <w:rPr>
                <w:sz w:val="24"/>
                <w:szCs w:val="24"/>
              </w:rPr>
              <w:t>中规定的限制和淘汰类</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pPr>
              <w:spacing w:line="360" w:lineRule="auto"/>
              <w:ind w:firstLine="482" w:firstLineChars="200"/>
              <w:rPr>
                <w:b/>
                <w:sz w:val="24"/>
              </w:rPr>
            </w:pPr>
            <w:r>
              <w:rPr>
                <w:rFonts w:hint="eastAsia"/>
                <w:b/>
                <w:sz w:val="24"/>
              </w:rPr>
              <w:t>6、规划</w:t>
            </w:r>
            <w:r>
              <w:rPr>
                <w:b/>
                <w:sz w:val="24"/>
              </w:rPr>
              <w:t>相符性</w:t>
            </w:r>
          </w:p>
          <w:p>
            <w:pPr>
              <w:spacing w:line="360" w:lineRule="auto"/>
              <w:ind w:firstLine="480" w:firstLineChars="200"/>
              <w:rPr>
                <w:sz w:val="24"/>
                <w:szCs w:val="24"/>
              </w:rPr>
            </w:pPr>
            <w:r>
              <w:rPr>
                <w:rFonts w:hint="eastAsia"/>
                <w:sz w:val="24"/>
                <w:szCs w:val="24"/>
              </w:rPr>
              <w:t>根据</w:t>
            </w:r>
            <w:r>
              <w:rPr>
                <w:rFonts w:hint="eastAsia"/>
                <w:color w:val="000000"/>
                <w:sz w:val="24"/>
                <w:szCs w:val="24"/>
              </w:rPr>
              <w:t>《</w:t>
            </w:r>
            <w:r>
              <w:rPr>
                <w:rFonts w:hint="eastAsia"/>
                <w:sz w:val="24"/>
              </w:rPr>
              <w:t>江苏宜兴陶瓷产业园区规划环境影响跟踪评价报告书</w:t>
            </w:r>
            <w:r>
              <w:rPr>
                <w:rFonts w:hint="eastAsia"/>
                <w:color w:val="000000"/>
                <w:sz w:val="24"/>
                <w:szCs w:val="24"/>
              </w:rPr>
              <w:t>》</w:t>
            </w:r>
            <w:r>
              <w:rPr>
                <w:rFonts w:hint="eastAsia"/>
                <w:sz w:val="24"/>
              </w:rPr>
              <w:t>2018年环评批复（苏环审【2018】32号）：园区总面积10.3634 km</w:t>
            </w:r>
            <w:r>
              <w:rPr>
                <w:rFonts w:hint="eastAsia"/>
                <w:sz w:val="24"/>
                <w:vertAlign w:val="superscript"/>
              </w:rPr>
              <w:t>2</w:t>
            </w:r>
            <w:r>
              <w:rPr>
                <w:rFonts w:hint="eastAsia"/>
                <w:sz w:val="24"/>
              </w:rPr>
              <w:t>，东到蠡河，南至通蜀路，西至104国道，北至湖光路-龙背山路。江苏宜兴陶瓷产业园定位坚持专业性陶瓷研发和生产基地，以陶瓷行业为主，优先发展特种工业陶瓷、高档日用陶瓷，高档建筑陶瓷和高新技术陶瓷等产业，适当建设与陶瓷行业配套的研发类项目。本项目主要进行</w:t>
            </w:r>
            <w:r>
              <w:rPr>
                <w:rFonts w:hint="eastAsia"/>
                <w:bCs/>
                <w:sz w:val="24"/>
                <w:lang w:val="en-US"/>
              </w:rPr>
              <w:t>特种陶瓷制品制造</w:t>
            </w:r>
            <w:r>
              <w:rPr>
                <w:rFonts w:hint="eastAsia"/>
                <w:sz w:val="24"/>
              </w:rPr>
              <w:t>，项目行业类别为</w:t>
            </w:r>
            <w:r>
              <w:rPr>
                <w:rFonts w:hint="eastAsia"/>
                <w:kern w:val="0"/>
                <w:sz w:val="24"/>
                <w:szCs w:val="24"/>
              </w:rPr>
              <w:t>C3072特种陶瓷制品制造</w:t>
            </w:r>
            <w:r>
              <w:rPr>
                <w:rFonts w:hint="eastAsia"/>
                <w:sz w:val="24"/>
              </w:rPr>
              <w:t>，</w:t>
            </w:r>
            <w:r>
              <w:rPr>
                <w:sz w:val="24"/>
              </w:rPr>
              <w:t>与园区规划相符。</w:t>
            </w:r>
          </w:p>
          <w:p>
            <w:pPr>
              <w:spacing w:line="360" w:lineRule="auto"/>
              <w:ind w:firstLine="482" w:firstLineChars="200"/>
              <w:rPr>
                <w:b/>
                <w:sz w:val="24"/>
              </w:rPr>
            </w:pPr>
            <w:r>
              <w:rPr>
                <w:rFonts w:hint="eastAsia"/>
                <w:b/>
                <w:sz w:val="24"/>
              </w:rPr>
              <w:t>7、《江苏省太湖水污染防治条例》相符性</w:t>
            </w:r>
          </w:p>
          <w:p>
            <w:pPr>
              <w:spacing w:line="360" w:lineRule="auto"/>
              <w:ind w:firstLine="480" w:firstLineChars="200"/>
              <w:rPr>
                <w:sz w:val="24"/>
              </w:rPr>
            </w:pPr>
            <w:r>
              <w:rPr>
                <w:rFonts w:hint="eastAsia"/>
                <w:sz w:val="24"/>
              </w:rPr>
              <w:t>本项目位于</w:t>
            </w:r>
            <w:r>
              <w:rPr>
                <w:rFonts w:hint="eastAsia"/>
                <w:sz w:val="24"/>
                <w:lang w:val="en-US" w:eastAsia="zh-CN"/>
              </w:rPr>
              <w:t>宜兴市丁蜀镇查林村</w:t>
            </w:r>
            <w:r>
              <w:rPr>
                <w:rFonts w:hint="eastAsia"/>
                <w:sz w:val="24"/>
              </w:rPr>
              <w:t>，根据《江苏省太湖流域三级保护区范围》（苏政办发〔</w:t>
            </w:r>
            <w:r>
              <w:rPr>
                <w:sz w:val="24"/>
              </w:rPr>
              <w:t>2012</w:t>
            </w:r>
            <w:r>
              <w:rPr>
                <w:rFonts w:hint="eastAsia"/>
                <w:sz w:val="24"/>
              </w:rPr>
              <w:t>〕</w:t>
            </w:r>
            <w:r>
              <w:rPr>
                <w:sz w:val="24"/>
              </w:rPr>
              <w:t>221</w:t>
            </w:r>
            <w:r>
              <w:rPr>
                <w:rFonts w:hint="eastAsia"/>
                <w:sz w:val="24"/>
              </w:rPr>
              <w:t>号），本项目位于太湖流域二级保护区。</w:t>
            </w:r>
          </w:p>
          <w:p>
            <w:pPr>
              <w:spacing w:line="360" w:lineRule="auto"/>
              <w:ind w:firstLine="480" w:firstLineChars="200"/>
              <w:rPr>
                <w:sz w:val="24"/>
              </w:rPr>
            </w:pPr>
            <w:r>
              <w:rPr>
                <w:rFonts w:hint="eastAsia"/>
                <w:sz w:val="24"/>
              </w:rPr>
              <w:t>根据《江苏省太湖水污染防治条例》（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日实施）相关规定。</w:t>
            </w:r>
          </w:p>
          <w:p>
            <w:pPr>
              <w:spacing w:line="360" w:lineRule="auto"/>
              <w:ind w:firstLine="480" w:firstLineChars="200"/>
              <w:rPr>
                <w:sz w:val="24"/>
              </w:rPr>
            </w:pPr>
            <w:r>
              <w:rPr>
                <w:rFonts w:hint="eastAsia"/>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w:t>
            </w:r>
            <w:r>
              <w:rPr>
                <w:sz w:val="24"/>
              </w:rPr>
              <w:t>1</w:t>
            </w:r>
            <w:r>
              <w:rPr>
                <w:rFonts w:hint="eastAsia"/>
                <w:sz w:val="24"/>
              </w:rPr>
              <w:t>万米上溯至</w:t>
            </w:r>
            <w:r>
              <w:rPr>
                <w:sz w:val="24"/>
              </w:rPr>
              <w:t>5</w:t>
            </w:r>
            <w:r>
              <w:rPr>
                <w:rFonts w:hint="eastAsia"/>
                <w:sz w:val="24"/>
              </w:rPr>
              <w:t>万米河道岸线内及其岸线两侧各</w:t>
            </w:r>
            <w:r>
              <w:rPr>
                <w:sz w:val="24"/>
              </w:rPr>
              <w:t>1000</w:t>
            </w:r>
            <w:r>
              <w:rPr>
                <w:rFonts w:hint="eastAsia"/>
                <w:sz w:val="24"/>
              </w:rPr>
              <w:t>米范围内，禁止下列行为：（一）新建、扩建化工、医药生产项目；（二）新建、扩建污水集中处理设施排污口以外的排污口；（三）扩大水产养殖规模。第三十条规定：太湖岸线内和岸线周边</w:t>
            </w:r>
            <w:r>
              <w:rPr>
                <w:sz w:val="24"/>
              </w:rPr>
              <w:t>5000</w:t>
            </w:r>
            <w:r>
              <w:rPr>
                <w:rFonts w:hint="eastAsia"/>
                <w:sz w:val="24"/>
              </w:rPr>
              <w:t>米范围内，淀山湖岸线内和岸线周边</w:t>
            </w:r>
            <w:r>
              <w:rPr>
                <w:sz w:val="24"/>
              </w:rPr>
              <w:t>2000</w:t>
            </w:r>
            <w:r>
              <w:rPr>
                <w:rFonts w:hint="eastAsia"/>
                <w:sz w:val="24"/>
              </w:rPr>
              <w:t>米范围内，太浦河、新孟河、望虞河岸线内和岸线两侧各</w:t>
            </w:r>
            <w:r>
              <w:rPr>
                <w:sz w:val="24"/>
              </w:rPr>
              <w:t>1000</w:t>
            </w:r>
            <w:r>
              <w:rPr>
                <w:rFonts w:hint="eastAsia"/>
                <w:sz w:val="24"/>
              </w:rPr>
              <w:t>米范围内，其他主要入太湖河道自河口上溯至</w:t>
            </w:r>
            <w:r>
              <w:rPr>
                <w:sz w:val="24"/>
              </w:rPr>
              <w:t>1</w:t>
            </w:r>
            <w:r>
              <w:rPr>
                <w:rFonts w:hint="eastAsia"/>
                <w:sz w:val="24"/>
              </w:rPr>
              <w:t>万米河道岸线内及其岸线两侧各</w:t>
            </w:r>
            <w:r>
              <w:rPr>
                <w:sz w:val="24"/>
              </w:rPr>
              <w:t>1000</w:t>
            </w:r>
            <w:r>
              <w:rPr>
                <w:rFonts w:hint="eastAsia"/>
                <w:sz w:val="24"/>
              </w:rPr>
              <w:t>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sz w:val="24"/>
              </w:rPr>
            </w:pPr>
            <w:r>
              <w:rPr>
                <w:rFonts w:hint="eastAsia"/>
                <w:sz w:val="24"/>
              </w:rPr>
              <w:t>本项目属于非金属矿物制品业，不属于造纸、制革、酒精、淀粉、冶金、酿造、印染、电镀等生产项目；不在自河口上溯至</w:t>
            </w:r>
            <w:r>
              <w:rPr>
                <w:sz w:val="24"/>
              </w:rPr>
              <w:t>5</w:t>
            </w:r>
            <w:r>
              <w:rPr>
                <w:rFonts w:hint="eastAsia"/>
                <w:sz w:val="24"/>
              </w:rPr>
              <w:t>万米河道岸线内及其岸线两侧各</w:t>
            </w:r>
            <w:r>
              <w:rPr>
                <w:sz w:val="24"/>
              </w:rPr>
              <w:t>1000</w:t>
            </w:r>
            <w:r>
              <w:rPr>
                <w:rFonts w:hint="eastAsia"/>
                <w:sz w:val="24"/>
              </w:rPr>
              <w:t>米范围内；本项目无含磷、含氮污染物的生产废水产生及排放，满足《太湖流域管理条例》第二十九条及第三十条的规定。因此项目的建设与《太湖流域管理条例》的相关规定是相符的。</w:t>
            </w:r>
          </w:p>
          <w:p>
            <w:pPr>
              <w:spacing w:line="360" w:lineRule="auto"/>
              <w:ind w:firstLine="482" w:firstLineChars="200"/>
              <w:rPr>
                <w:b/>
                <w:sz w:val="24"/>
              </w:rPr>
            </w:pPr>
            <w:r>
              <w:rPr>
                <w:rFonts w:hint="eastAsia"/>
                <w:b/>
                <w:sz w:val="24"/>
              </w:rPr>
              <w:t>8、《无锡市水环境保护条例》相符性</w:t>
            </w:r>
          </w:p>
          <w:p>
            <w:pPr>
              <w:spacing w:line="360" w:lineRule="auto"/>
              <w:ind w:firstLine="480" w:firstLineChars="200"/>
              <w:rPr>
                <w:sz w:val="24"/>
              </w:rPr>
            </w:pPr>
            <w:r>
              <w:rPr>
                <w:rFonts w:hint="eastAsia"/>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目前建设项目所在区域污水主干管已铺设到位，产生的生活污水可以接管至污水管网，因此，本项目符合《无锡市水环境保护条例》中要求。</w:t>
            </w:r>
          </w:p>
          <w:p>
            <w:pPr>
              <w:spacing w:line="360" w:lineRule="auto"/>
              <w:ind w:firstLine="602" w:firstLineChars="250"/>
              <w:rPr>
                <w:b/>
                <w:sz w:val="24"/>
                <w:szCs w:val="24"/>
                <w:lang w:val="en-US"/>
              </w:rPr>
            </w:pPr>
            <w:r>
              <w:rPr>
                <w:b/>
                <w:sz w:val="24"/>
                <w:szCs w:val="24"/>
                <w:lang w:val="en-US"/>
              </w:rPr>
              <w:t>9</w:t>
            </w:r>
            <w:r>
              <w:rPr>
                <w:rFonts w:hint="eastAsia"/>
                <w:b/>
                <w:sz w:val="24"/>
                <w:szCs w:val="24"/>
                <w:lang w:val="en-US"/>
              </w:rPr>
              <w:t>、“三线一单”相符性分析</w:t>
            </w:r>
          </w:p>
          <w:p>
            <w:pPr>
              <w:spacing w:line="360" w:lineRule="auto"/>
              <w:ind w:firstLine="480" w:firstLineChars="200"/>
              <w:rPr>
                <w:sz w:val="24"/>
                <w:szCs w:val="24"/>
              </w:rPr>
            </w:pPr>
            <w:r>
              <w:rPr>
                <w:rFonts w:hint="eastAsia"/>
                <w:sz w:val="24"/>
                <w:szCs w:val="24"/>
              </w:rPr>
              <w:t>（</w:t>
            </w:r>
            <w:r>
              <w:rPr>
                <w:rFonts w:hint="eastAsia"/>
                <w:sz w:val="24"/>
                <w:szCs w:val="24"/>
                <w:lang w:val="en-US"/>
              </w:rPr>
              <w:t>1</w:t>
            </w:r>
            <w:r>
              <w:rPr>
                <w:sz w:val="24"/>
                <w:szCs w:val="24"/>
              </w:rPr>
              <w:t>）</w:t>
            </w:r>
            <w:r>
              <w:rPr>
                <w:rFonts w:hint="eastAsia"/>
                <w:sz w:val="24"/>
                <w:szCs w:val="24"/>
                <w:lang w:val="en-US"/>
              </w:rPr>
              <w:t>与</w:t>
            </w:r>
            <w:r>
              <w:rPr>
                <w:sz w:val="24"/>
                <w:szCs w:val="24"/>
              </w:rPr>
              <w:t>《江苏省生态空间管控区域规划》</w:t>
            </w:r>
            <w:r>
              <w:rPr>
                <w:rFonts w:hint="eastAsia"/>
                <w:sz w:val="24"/>
                <w:szCs w:val="24"/>
              </w:rPr>
              <w:t>、《宜兴市生态红线区域保护规划》符合性分析</w:t>
            </w:r>
          </w:p>
          <w:p>
            <w:pPr>
              <w:spacing w:line="360" w:lineRule="auto"/>
              <w:ind w:firstLine="480" w:firstLineChars="200"/>
              <w:rPr>
                <w:sz w:val="24"/>
                <w:szCs w:val="24"/>
              </w:rPr>
            </w:pPr>
            <w:r>
              <w:rPr>
                <w:rFonts w:hint="eastAsia"/>
                <w:sz w:val="24"/>
                <w:szCs w:val="24"/>
              </w:rPr>
              <w:t>《江苏省生态空间管控区域规划》</w:t>
            </w:r>
            <w:r>
              <w:rPr>
                <w:rFonts w:hint="eastAsia"/>
                <w:sz w:val="24"/>
                <w:szCs w:val="24"/>
                <w:lang w:eastAsia="zh-CN"/>
              </w:rPr>
              <w:t>和</w:t>
            </w:r>
            <w:r>
              <w:rPr>
                <w:rFonts w:hint="eastAsia"/>
                <w:sz w:val="24"/>
                <w:szCs w:val="24"/>
              </w:rPr>
              <w:t>《宜兴市生态红线区域保护规划》中的宜兴市红线区域范围一、二级管控区包括</w:t>
            </w:r>
            <w:r>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sz w:val="24"/>
                <w:szCs w:val="24"/>
              </w:rPr>
              <w:t>。本项目位于</w:t>
            </w:r>
            <w:r>
              <w:rPr>
                <w:rFonts w:hint="eastAsia"/>
                <w:sz w:val="24"/>
                <w:szCs w:val="24"/>
                <w:lang w:val="en-US" w:eastAsia="zh-CN"/>
              </w:rPr>
              <w:t>宜兴市丁蜀镇查林村</w:t>
            </w:r>
            <w:r>
              <w:rPr>
                <w:rFonts w:hint="eastAsia"/>
                <w:sz w:val="24"/>
                <w:szCs w:val="24"/>
              </w:rPr>
              <w:t>，土地性质为工业用地，不在苏政发〔2020〕1号《江苏省生态空间管控区域规划》、宜政办发〔2015〕39号《宜兴市生态红线区域保护规划》中的一、二级管控区内，距离东面最近的生态功能区太湖（宜兴市）重要保护区</w:t>
            </w:r>
            <w:r>
              <w:rPr>
                <w:rFonts w:hint="eastAsia" w:hAnsi="宋体"/>
                <w:kern w:val="10"/>
                <w:sz w:val="24"/>
              </w:rPr>
              <w:t>二级管控区</w:t>
            </w:r>
            <w:r>
              <w:rPr>
                <w:rFonts w:hint="eastAsia"/>
                <w:sz w:val="24"/>
                <w:szCs w:val="24"/>
                <w:lang w:val="en-US" w:eastAsia="zh-CN"/>
              </w:rPr>
              <w:t>4.2</w:t>
            </w:r>
            <w:r>
              <w:rPr>
                <w:rFonts w:hint="eastAsia"/>
                <w:sz w:val="24"/>
                <w:szCs w:val="24"/>
                <w:lang w:val="en-US"/>
              </w:rPr>
              <w:t>公里</w:t>
            </w:r>
            <w:r>
              <w:rPr>
                <w:rFonts w:hint="eastAsia"/>
                <w:sz w:val="24"/>
                <w:szCs w:val="24"/>
              </w:rPr>
              <w:t>，本项目选址符合生态保护红线规划要求</w:t>
            </w:r>
            <w:r>
              <w:rPr>
                <w:sz w:val="24"/>
                <w:szCs w:val="24"/>
              </w:rPr>
              <w:t>。</w:t>
            </w:r>
          </w:p>
          <w:p>
            <w:pPr>
              <w:spacing w:line="360" w:lineRule="auto"/>
              <w:ind w:firstLine="480" w:firstLineChars="200"/>
              <w:rPr>
                <w:sz w:val="24"/>
                <w:szCs w:val="24"/>
              </w:rPr>
            </w:pPr>
            <w:r>
              <w:rPr>
                <w:rFonts w:hint="eastAsia"/>
                <w:sz w:val="24"/>
                <w:szCs w:val="24"/>
              </w:rPr>
              <w:t>（</w:t>
            </w:r>
            <w:r>
              <w:rPr>
                <w:rFonts w:hint="eastAsia"/>
                <w:sz w:val="24"/>
                <w:szCs w:val="24"/>
                <w:lang w:val="en-US"/>
              </w:rPr>
              <w:t>2）</w:t>
            </w:r>
            <w:r>
              <w:rPr>
                <w:rFonts w:hint="eastAsia"/>
                <w:sz w:val="24"/>
                <w:szCs w:val="24"/>
              </w:rPr>
              <w:t>环境质量底线相符性</w:t>
            </w:r>
          </w:p>
          <w:p>
            <w:pPr>
              <w:adjustRightInd w:val="0"/>
              <w:snapToGrid w:val="0"/>
              <w:spacing w:line="360" w:lineRule="auto"/>
              <w:ind w:firstLine="480" w:firstLineChars="200"/>
              <w:rPr>
                <w:sz w:val="24"/>
                <w:szCs w:val="24"/>
              </w:rPr>
            </w:pPr>
            <w:r>
              <w:rPr>
                <w:rFonts w:hint="eastAsia"/>
                <w:sz w:val="24"/>
                <w:szCs w:val="24"/>
              </w:rPr>
              <w:t>根据《2019年度宜兴市环境状况公报》，本项目所处地区PM</w:t>
            </w:r>
            <w:r>
              <w:rPr>
                <w:sz w:val="24"/>
                <w:szCs w:val="24"/>
                <w:vertAlign w:val="subscript"/>
              </w:rPr>
              <w:t>2.5</w:t>
            </w:r>
            <w:r>
              <w:rPr>
                <w:rFonts w:hint="eastAsia"/>
                <w:sz w:val="24"/>
                <w:szCs w:val="24"/>
              </w:rPr>
              <w:t xml:space="preserve"> 浓度年均值超过标准值（标准值 35 微克/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GB3096-2008）中3类标准要求；建设项目周边环境较好。本项目无生产废水产生，生活污水经化粪池预处理后接入华骐污水处理厂处理；本项目废气主要为</w:t>
            </w:r>
            <w:r>
              <w:rPr>
                <w:rFonts w:hint="eastAsia"/>
                <w:sz w:val="24"/>
                <w:szCs w:val="24"/>
                <w:lang w:val="en-US"/>
              </w:rPr>
              <w:t>颗粒物和天然气燃烧废气，均达标排放</w:t>
            </w:r>
            <w:r>
              <w:rPr>
                <w:rFonts w:hint="eastAsia"/>
                <w:sz w:val="24"/>
                <w:szCs w:val="24"/>
              </w:rPr>
              <w:t>；本项目昼间厂界噪声达标排放；本项目一般固废与生活垃圾综合处理，不外排。因此，本项目的建设符合环境质量底线的要求。</w:t>
            </w:r>
          </w:p>
          <w:p>
            <w:pPr>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3</w:t>
            </w:r>
            <w:r>
              <w:rPr>
                <w:rFonts w:hint="eastAsia"/>
                <w:sz w:val="24"/>
                <w:szCs w:val="24"/>
              </w:rPr>
              <w:t>）资源利用上线相符性</w:t>
            </w:r>
          </w:p>
          <w:p>
            <w:pPr>
              <w:adjustRightInd w:val="0"/>
              <w:snapToGrid w:val="0"/>
              <w:spacing w:line="360" w:lineRule="auto"/>
              <w:ind w:firstLine="480" w:firstLineChars="200"/>
              <w:rPr>
                <w:sz w:val="24"/>
                <w:szCs w:val="24"/>
              </w:rPr>
            </w:pPr>
            <w:r>
              <w:rPr>
                <w:rFonts w:hint="eastAsia"/>
                <w:sz w:val="24"/>
                <w:szCs w:val="24"/>
              </w:rPr>
              <w:t>项目使用的能源主要为水、电，物耗及能耗水平均较低。并且本项目所选设备选用了高效、先进的设备，节省了能源。本项目的建设符合资源利用上线的要求。</w:t>
            </w:r>
          </w:p>
          <w:p>
            <w:pPr>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4</w:t>
            </w:r>
            <w:r>
              <w:rPr>
                <w:rFonts w:hint="eastAsia"/>
                <w:sz w:val="24"/>
                <w:szCs w:val="24"/>
              </w:rPr>
              <w:t>）</w:t>
            </w:r>
            <w:r>
              <w:rPr>
                <w:sz w:val="24"/>
                <w:szCs w:val="24"/>
              </w:rPr>
              <w:t>环境准入负面清单</w:t>
            </w:r>
          </w:p>
          <w:p>
            <w:pPr>
              <w:adjustRightInd w:val="0"/>
              <w:snapToGrid w:val="0"/>
              <w:spacing w:line="360" w:lineRule="auto"/>
              <w:ind w:firstLine="480" w:firstLineChars="200"/>
              <w:rPr>
                <w:b/>
                <w:bCs/>
                <w:spacing w:val="-4"/>
                <w:sz w:val="24"/>
                <w:szCs w:val="24"/>
              </w:rPr>
            </w:pPr>
            <w:r>
              <w:rPr>
                <w:sz w:val="24"/>
                <w:szCs w:val="24"/>
              </w:rPr>
              <w:t>本项目为</w:t>
            </w:r>
            <w:r>
              <w:rPr>
                <w:rFonts w:hint="eastAsia"/>
                <w:sz w:val="24"/>
                <w:szCs w:val="24"/>
              </w:rPr>
              <w:t>C3072特种陶瓷制品制造</w:t>
            </w:r>
            <w:r>
              <w:rPr>
                <w:sz w:val="24"/>
                <w:szCs w:val="24"/>
              </w:rPr>
              <w:t>，根据</w:t>
            </w:r>
            <w:r>
              <w:rPr>
                <w:rFonts w:hint="eastAsia"/>
                <w:sz w:val="24"/>
                <w:szCs w:val="24"/>
              </w:rPr>
              <w:t>《江苏宜兴陶瓷产业园区环境准入负面清单》，具体情况见下表</w:t>
            </w:r>
            <w:r>
              <w:rPr>
                <w:bCs/>
                <w:sz w:val="24"/>
                <w:szCs w:val="24"/>
              </w:rPr>
              <w:t>1-</w:t>
            </w:r>
            <w:r>
              <w:rPr>
                <w:rFonts w:hint="eastAsia"/>
                <w:bCs/>
                <w:sz w:val="24"/>
                <w:szCs w:val="24"/>
                <w:lang w:val="en-US" w:eastAsia="zh-CN"/>
              </w:rPr>
              <w:t>7</w:t>
            </w:r>
            <w:r>
              <w:rPr>
                <w:rFonts w:hint="eastAsia"/>
                <w:sz w:val="24"/>
                <w:szCs w:val="24"/>
              </w:rPr>
              <w:t>。</w:t>
            </w:r>
          </w:p>
          <w:p>
            <w:pPr>
              <w:pStyle w:val="74"/>
              <w:keepNext w:val="0"/>
              <w:keepLines w:val="0"/>
              <w:pageBreakBefore w:val="0"/>
              <w:widowControl w:val="0"/>
              <w:kinsoku/>
              <w:wordWrap/>
              <w:overflowPunct/>
              <w:topLinePunct w:val="0"/>
              <w:autoSpaceDE/>
              <w:autoSpaceDN/>
              <w:bidi w:val="0"/>
              <w:adjustRightInd w:val="0"/>
              <w:snapToGrid w:val="0"/>
              <w:spacing w:line="240" w:lineRule="auto"/>
              <w:ind w:firstLine="200" w:firstLineChars="83"/>
              <w:jc w:val="center"/>
              <w:textAlignment w:val="auto"/>
              <w:rPr>
                <w:rFonts w:hint="eastAsia" w:eastAsiaTheme="minorEastAsia"/>
                <w:b/>
                <w:bCs/>
                <w:sz w:val="24"/>
                <w:szCs w:val="24"/>
                <w:lang w:val="en-US" w:eastAsia="zh-CN"/>
              </w:rPr>
            </w:pPr>
            <w:r>
              <w:rPr>
                <w:rFonts w:hint="eastAsia" w:eastAsiaTheme="minorEastAsia"/>
                <w:b/>
                <w:bCs/>
                <w:sz w:val="24"/>
                <w:szCs w:val="24"/>
                <w:lang w:val="fi-FI" w:eastAsia="zh-CN"/>
              </w:rPr>
              <w:t>表1-</w:t>
            </w:r>
            <w:r>
              <w:rPr>
                <w:rFonts w:hint="eastAsia" w:eastAsiaTheme="minorEastAsia"/>
                <w:b/>
                <w:bCs/>
                <w:sz w:val="24"/>
                <w:szCs w:val="24"/>
                <w:lang w:val="en-US" w:eastAsia="zh-CN"/>
              </w:rPr>
              <w:t xml:space="preserve">7  </w:t>
            </w:r>
            <w:r>
              <w:rPr>
                <w:rFonts w:hint="eastAsia" w:eastAsiaTheme="minorEastAsia"/>
                <w:b/>
                <w:bCs/>
                <w:sz w:val="24"/>
                <w:szCs w:val="24"/>
                <w:lang w:val="fi-FI" w:eastAsia="zh-CN"/>
              </w:rPr>
              <w:t xml:space="preserve"> 江苏宜兴陶瓷产业园区环境准入负面清单</w:t>
            </w:r>
          </w:p>
          <w:tbl>
            <w:tblPr>
              <w:tblStyle w:val="75"/>
              <w:tblW w:w="8364" w:type="dxa"/>
              <w:jc w:val="center"/>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14"/>
              <w:gridCol w:w="4080"/>
              <w:gridCol w:w="3670"/>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PrEx>
              <w:trPr>
                <w:trHeight w:val="284" w:hRule="atLeast"/>
                <w:jc w:val="center"/>
              </w:trPr>
              <w:tc>
                <w:tcPr>
                  <w:tcW w:w="614" w:type="dxa"/>
                  <w:vAlign w:val="center"/>
                </w:tcPr>
                <w:p>
                  <w:pPr>
                    <w:adjustRightInd w:val="0"/>
                    <w:snapToGrid w:val="0"/>
                    <w:jc w:val="center"/>
                    <w:rPr>
                      <w:b/>
                      <w:bCs/>
                      <w:szCs w:val="21"/>
                    </w:rPr>
                  </w:pPr>
                  <w:r>
                    <w:rPr>
                      <w:b/>
                      <w:bCs/>
                      <w:szCs w:val="21"/>
                    </w:rPr>
                    <w:t>项目</w:t>
                  </w:r>
                </w:p>
              </w:tc>
              <w:tc>
                <w:tcPr>
                  <w:tcW w:w="7750" w:type="dxa"/>
                  <w:gridSpan w:val="2"/>
                  <w:vAlign w:val="center"/>
                </w:tcPr>
                <w:p>
                  <w:pPr>
                    <w:adjustRightInd w:val="0"/>
                    <w:snapToGrid w:val="0"/>
                    <w:jc w:val="center"/>
                    <w:rPr>
                      <w:b/>
                      <w:bCs/>
                      <w:szCs w:val="21"/>
                    </w:rPr>
                  </w:pPr>
                  <w:r>
                    <w:rPr>
                      <w:b/>
                      <w:bCs/>
                      <w:szCs w:val="21"/>
                    </w:rPr>
                    <w:t>内容</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614" w:type="dxa"/>
                  <w:vMerge w:val="restart"/>
                  <w:vAlign w:val="center"/>
                </w:tcPr>
                <w:p>
                  <w:pPr>
                    <w:adjustRightInd w:val="0"/>
                    <w:snapToGrid w:val="0"/>
                    <w:jc w:val="left"/>
                    <w:rPr>
                      <w:szCs w:val="21"/>
                    </w:rPr>
                  </w:pPr>
                  <w:r>
                    <w:rPr>
                      <w:szCs w:val="21"/>
                    </w:rPr>
                    <w:t>禁止进入项目</w:t>
                  </w:r>
                </w:p>
              </w:tc>
              <w:tc>
                <w:tcPr>
                  <w:tcW w:w="4080" w:type="dxa"/>
                  <w:vAlign w:val="center"/>
                </w:tcPr>
                <w:p>
                  <w:pPr>
                    <w:adjustRightInd w:val="0"/>
                    <w:snapToGrid w:val="0"/>
                    <w:jc w:val="left"/>
                    <w:rPr>
                      <w:szCs w:val="21"/>
                    </w:rPr>
                  </w:pPr>
                  <w:r>
                    <w:rPr>
                      <w:rFonts w:hint="eastAsia"/>
                      <w:szCs w:val="21"/>
                    </w:rPr>
                    <w:t>不符合</w:t>
                  </w:r>
                  <w:r>
                    <w:rPr>
                      <w:szCs w:val="21"/>
                    </w:rPr>
                    <w:t>园区产业定位的建设项目且无法与园区现有项目形成产业链的项目</w:t>
                  </w:r>
                  <w:r>
                    <w:rPr>
                      <w:rFonts w:hint="eastAsia"/>
                      <w:szCs w:val="21"/>
                    </w:rPr>
                    <w:t>；</w:t>
                  </w:r>
                  <w:r>
                    <w:rPr>
                      <w:szCs w:val="21"/>
                    </w:rPr>
                    <w:t>排放磷</w:t>
                  </w:r>
                  <w:r>
                    <w:rPr>
                      <w:rFonts w:hint="eastAsia"/>
                      <w:szCs w:val="21"/>
                    </w:rPr>
                    <w:t>、</w:t>
                  </w:r>
                  <w:r>
                    <w:rPr>
                      <w:szCs w:val="21"/>
                    </w:rPr>
                    <w:t>氮等污染物的企业和项目</w:t>
                  </w:r>
                  <w:r>
                    <w:rPr>
                      <w:rFonts w:hint="eastAsia"/>
                      <w:szCs w:val="21"/>
                    </w:rPr>
                    <w:t>（城镇污水集中处理等环境基础设施项目以及战略性新兴产业项目除外）；涉及《环境保护综合名录》（2017年版）的高污染、高环境风险产品的项目；列入《江苏省工业和新兴产业结构调整现在、淘汰目录和能耗限额》（苏政发【2015】118号）清单或能耗限额无法满足要求的项目；没有能力进行设备和产品升级，清洁生产水平不能达到国内先进水平的项目；</w:t>
                  </w:r>
                </w:p>
              </w:tc>
              <w:tc>
                <w:tcPr>
                  <w:tcW w:w="3670" w:type="dxa"/>
                  <w:vAlign w:val="center"/>
                </w:tcPr>
                <w:p>
                  <w:pPr>
                    <w:adjustRightInd w:val="0"/>
                    <w:snapToGrid w:val="0"/>
                    <w:jc w:val="left"/>
                    <w:rPr>
                      <w:szCs w:val="21"/>
                    </w:rPr>
                  </w:pPr>
                  <w:r>
                    <w:rPr>
                      <w:szCs w:val="21"/>
                    </w:rPr>
                    <w:t>本项目</w:t>
                  </w:r>
                  <w:r>
                    <w:rPr>
                      <w:rFonts w:hint="eastAsia"/>
                      <w:szCs w:val="21"/>
                    </w:rPr>
                    <w:t>主要</w:t>
                  </w:r>
                  <w:r>
                    <w:rPr>
                      <w:szCs w:val="21"/>
                    </w:rPr>
                    <w:t>进行</w:t>
                  </w:r>
                  <w:r>
                    <w:rPr>
                      <w:rFonts w:hint="eastAsia"/>
                      <w:szCs w:val="21"/>
                      <w:lang w:val="en-US" w:eastAsia="zh-CN"/>
                    </w:rPr>
                    <w:t>陶瓷制品的制造</w:t>
                  </w:r>
                  <w:r>
                    <w:rPr>
                      <w:rFonts w:hint="eastAsia"/>
                      <w:szCs w:val="21"/>
                    </w:rPr>
                    <w:t>，</w:t>
                  </w:r>
                  <w:r>
                    <w:rPr>
                      <w:szCs w:val="21"/>
                    </w:rPr>
                    <w:t>符合园区产业定位</w:t>
                  </w:r>
                  <w:r>
                    <w:rPr>
                      <w:rFonts w:hint="eastAsia"/>
                      <w:szCs w:val="21"/>
                    </w:rPr>
                    <w:t>；</w:t>
                  </w:r>
                  <w:r>
                    <w:rPr>
                      <w:szCs w:val="21"/>
                    </w:rPr>
                    <w:t>本项目无生产废水排放</w:t>
                  </w:r>
                  <w:r>
                    <w:rPr>
                      <w:rFonts w:hint="eastAsia"/>
                      <w:szCs w:val="21"/>
                    </w:rPr>
                    <w:t>；</w:t>
                  </w:r>
                  <w:r>
                    <w:rPr>
                      <w:szCs w:val="21"/>
                    </w:rPr>
                    <w:t>本项目不属于涉及</w:t>
                  </w:r>
                  <w:r>
                    <w:rPr>
                      <w:rFonts w:hint="eastAsia"/>
                      <w:szCs w:val="21"/>
                    </w:rPr>
                    <w:t>《环境保护综合名录》（2017年版）的高污染、高环境风险产品的项目；本项目不属于列入《江苏省工业和新兴产业结构调整现在、淘汰目录和能耗限额》（苏政发【2015】118号）清单或能耗限额无法满足要求的项目；本项目清洁生产水平可以达到国内先进水平；</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614" w:type="dxa"/>
                  <w:vMerge w:val="continue"/>
                  <w:vAlign w:val="center"/>
                </w:tcPr>
                <w:p>
                  <w:pPr>
                    <w:adjustRightInd w:val="0"/>
                    <w:snapToGrid w:val="0"/>
                    <w:jc w:val="left"/>
                    <w:rPr>
                      <w:szCs w:val="21"/>
                    </w:rPr>
                  </w:pPr>
                </w:p>
              </w:tc>
              <w:tc>
                <w:tcPr>
                  <w:tcW w:w="4080" w:type="dxa"/>
                  <w:vAlign w:val="center"/>
                </w:tcPr>
                <w:p>
                  <w:pPr>
                    <w:adjustRightInd w:val="0"/>
                    <w:snapToGrid w:val="0"/>
                    <w:jc w:val="left"/>
                    <w:rPr>
                      <w:szCs w:val="21"/>
                    </w:rPr>
                  </w:pPr>
                  <w:r>
                    <w:rPr>
                      <w:rFonts w:hint="eastAsia"/>
                      <w:szCs w:val="21"/>
                    </w:rPr>
                    <w:t>水质</w:t>
                  </w:r>
                  <w:r>
                    <w:rPr>
                      <w:szCs w:val="21"/>
                    </w:rPr>
                    <w:t>经预处理不能满足园区污水处理厂接管要求的项目</w:t>
                  </w:r>
                  <w:r>
                    <w:rPr>
                      <w:rFonts w:hint="eastAsia"/>
                      <w:szCs w:val="21"/>
                    </w:rPr>
                    <w:t>；</w:t>
                  </w:r>
                  <w:r>
                    <w:rPr>
                      <w:szCs w:val="21"/>
                    </w:rPr>
                    <w:t>工艺废气中难处理的</w:t>
                  </w:r>
                  <w:r>
                    <w:rPr>
                      <w:rFonts w:hint="eastAsia"/>
                      <w:szCs w:val="21"/>
                    </w:rPr>
                    <w:t>、</w:t>
                  </w:r>
                  <w:r>
                    <w:rPr>
                      <w:szCs w:val="21"/>
                    </w:rPr>
                    <w:t>恶臭</w:t>
                  </w:r>
                  <w:r>
                    <w:rPr>
                      <w:rFonts w:hint="eastAsia"/>
                      <w:szCs w:val="21"/>
                    </w:rPr>
                    <w:t>、</w:t>
                  </w:r>
                  <w:r>
                    <w:rPr>
                      <w:szCs w:val="21"/>
                    </w:rPr>
                    <w:t>有毒有害物质无法达标排放的项目</w:t>
                  </w:r>
                  <w:r>
                    <w:rPr>
                      <w:rFonts w:hint="eastAsia"/>
                      <w:szCs w:val="21"/>
                    </w:rPr>
                    <w:t>；</w:t>
                  </w:r>
                  <w:r>
                    <w:rPr>
                      <w:szCs w:val="21"/>
                    </w:rPr>
                    <w:t>采用落后装卸工艺和装卸设备</w:t>
                  </w:r>
                  <w:r>
                    <w:rPr>
                      <w:rFonts w:hint="eastAsia"/>
                      <w:szCs w:val="21"/>
                    </w:rPr>
                    <w:t>、</w:t>
                  </w:r>
                  <w:r>
                    <w:rPr>
                      <w:szCs w:val="21"/>
                    </w:rPr>
                    <w:t>无可靠的物料泄露主动监控装置的仓储项目</w:t>
                  </w:r>
                  <w:r>
                    <w:rPr>
                      <w:rFonts w:hint="eastAsia"/>
                      <w:szCs w:val="21"/>
                    </w:rPr>
                    <w:t>；</w:t>
                  </w:r>
                  <w:r>
                    <w:rPr>
                      <w:szCs w:val="21"/>
                    </w:rPr>
                    <w:t>使用高毒物质为主要生产原料</w:t>
                  </w:r>
                  <w:r>
                    <w:rPr>
                      <w:rFonts w:hint="eastAsia"/>
                      <w:szCs w:val="21"/>
                    </w:rPr>
                    <w:t>，</w:t>
                  </w:r>
                  <w:r>
                    <w:rPr>
                      <w:szCs w:val="21"/>
                    </w:rPr>
                    <w:t>且无可靠有效的污染控制措施的项目</w:t>
                  </w:r>
                  <w:r>
                    <w:rPr>
                      <w:rFonts w:hint="eastAsia"/>
                      <w:szCs w:val="21"/>
                    </w:rPr>
                    <w:t>；</w:t>
                  </w:r>
                </w:p>
              </w:tc>
              <w:tc>
                <w:tcPr>
                  <w:tcW w:w="3670" w:type="dxa"/>
                  <w:vAlign w:val="center"/>
                </w:tcPr>
                <w:p>
                  <w:pPr>
                    <w:adjustRightInd w:val="0"/>
                    <w:snapToGrid w:val="0"/>
                    <w:jc w:val="left"/>
                    <w:rPr>
                      <w:szCs w:val="21"/>
                    </w:rPr>
                  </w:pPr>
                  <w:r>
                    <w:rPr>
                      <w:szCs w:val="21"/>
                    </w:rPr>
                    <w:t>本项目无生产废水排放</w:t>
                  </w:r>
                  <w:r>
                    <w:rPr>
                      <w:rFonts w:hint="eastAsia"/>
                      <w:szCs w:val="21"/>
                    </w:rPr>
                    <w:t>，</w:t>
                  </w:r>
                  <w:r>
                    <w:rPr>
                      <w:szCs w:val="21"/>
                    </w:rPr>
                    <w:t>生活污水经化粪池预处理后能达到华骐污水处理厂的接管要求</w:t>
                  </w:r>
                  <w:r>
                    <w:rPr>
                      <w:rFonts w:hint="eastAsia"/>
                      <w:szCs w:val="21"/>
                    </w:rPr>
                    <w:t>；</w:t>
                  </w:r>
                  <w:r>
                    <w:rPr>
                      <w:szCs w:val="21"/>
                    </w:rPr>
                    <w:t>本项目生产废气均达标排放</w:t>
                  </w:r>
                  <w:r>
                    <w:rPr>
                      <w:rFonts w:hint="eastAsia"/>
                      <w:szCs w:val="21"/>
                    </w:rPr>
                    <w:t>；</w:t>
                  </w:r>
                  <w:r>
                    <w:rPr>
                      <w:szCs w:val="21"/>
                    </w:rPr>
                    <w:t>本项目主要进</w:t>
                  </w:r>
                  <w:r>
                    <w:rPr>
                      <w:rFonts w:hint="eastAsia"/>
                      <w:szCs w:val="21"/>
                      <w:lang w:val="en-US" w:eastAsia="zh-CN"/>
                    </w:rPr>
                    <w:t>陶瓷制品的制造</w:t>
                  </w:r>
                  <w:r>
                    <w:rPr>
                      <w:rFonts w:hint="eastAsia"/>
                      <w:szCs w:val="21"/>
                    </w:rPr>
                    <w:t>，</w:t>
                  </w:r>
                  <w:r>
                    <w:rPr>
                      <w:szCs w:val="21"/>
                    </w:rPr>
                    <w:t>不属于仓储项目</w:t>
                  </w:r>
                  <w:r>
                    <w:rPr>
                      <w:rFonts w:hint="eastAsia"/>
                      <w:szCs w:val="21"/>
                    </w:rPr>
                    <w:t>；本项目不使用高毒物质作为主要生产原料；</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614" w:type="dxa"/>
                  <w:vMerge w:val="continue"/>
                  <w:vAlign w:val="center"/>
                </w:tcPr>
                <w:p>
                  <w:pPr>
                    <w:adjustRightInd w:val="0"/>
                    <w:snapToGrid w:val="0"/>
                    <w:jc w:val="left"/>
                    <w:rPr>
                      <w:szCs w:val="21"/>
                    </w:rPr>
                  </w:pPr>
                </w:p>
              </w:tc>
              <w:tc>
                <w:tcPr>
                  <w:tcW w:w="4080" w:type="dxa"/>
                  <w:vAlign w:val="center"/>
                </w:tcPr>
                <w:p>
                  <w:pPr>
                    <w:adjustRightInd w:val="0"/>
                    <w:snapToGrid w:val="0"/>
                    <w:jc w:val="left"/>
                    <w:rPr>
                      <w:szCs w:val="21"/>
                    </w:rPr>
                  </w:pPr>
                  <w:r>
                    <w:rPr>
                      <w:szCs w:val="21"/>
                    </w:rPr>
                    <w:t>蒸汽用量大且不能实行集中供热</w:t>
                  </w:r>
                  <w:r>
                    <w:rPr>
                      <w:rFonts w:hint="eastAsia"/>
                      <w:szCs w:val="21"/>
                    </w:rPr>
                    <w:t>，</w:t>
                  </w:r>
                  <w:r>
                    <w:rPr>
                      <w:szCs w:val="21"/>
                    </w:rPr>
                    <w:t>需自建燃煤锅炉的项目</w:t>
                  </w:r>
                  <w:r>
                    <w:rPr>
                      <w:rFonts w:hint="eastAsia"/>
                      <w:szCs w:val="21"/>
                    </w:rPr>
                    <w:t>；</w:t>
                  </w:r>
                </w:p>
              </w:tc>
              <w:tc>
                <w:tcPr>
                  <w:tcW w:w="3670" w:type="dxa"/>
                  <w:vAlign w:val="center"/>
                </w:tcPr>
                <w:p>
                  <w:pPr>
                    <w:adjustRightInd w:val="0"/>
                    <w:snapToGrid w:val="0"/>
                    <w:jc w:val="left"/>
                    <w:rPr>
                      <w:szCs w:val="21"/>
                    </w:rPr>
                  </w:pPr>
                  <w:r>
                    <w:rPr>
                      <w:szCs w:val="21"/>
                    </w:rPr>
                    <w:t>本项目不使用蒸汽</w:t>
                  </w:r>
                  <w:r>
                    <w:rPr>
                      <w:rFonts w:hint="eastAsia"/>
                      <w:szCs w:val="21"/>
                    </w:rPr>
                    <w:t>；</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614" w:type="dxa"/>
                  <w:vMerge w:val="continue"/>
                  <w:vAlign w:val="center"/>
                </w:tcPr>
                <w:p>
                  <w:pPr>
                    <w:adjustRightInd w:val="0"/>
                    <w:snapToGrid w:val="0"/>
                    <w:jc w:val="left"/>
                    <w:rPr>
                      <w:szCs w:val="21"/>
                    </w:rPr>
                  </w:pPr>
                </w:p>
              </w:tc>
              <w:tc>
                <w:tcPr>
                  <w:tcW w:w="4080" w:type="dxa"/>
                  <w:vAlign w:val="center"/>
                </w:tcPr>
                <w:p>
                  <w:pPr>
                    <w:adjustRightInd w:val="0"/>
                    <w:snapToGrid w:val="0"/>
                    <w:jc w:val="left"/>
                    <w:rPr>
                      <w:szCs w:val="21"/>
                    </w:rPr>
                  </w:pPr>
                  <w:r>
                    <w:rPr>
                      <w:szCs w:val="21"/>
                    </w:rPr>
                    <w:t>新增重点污染物排放量且无总量来源指标等不符合总量控制要求的项目</w:t>
                  </w:r>
                  <w:r>
                    <w:rPr>
                      <w:rFonts w:hint="eastAsia"/>
                      <w:szCs w:val="21"/>
                    </w:rPr>
                    <w:t>。</w:t>
                  </w:r>
                </w:p>
              </w:tc>
              <w:tc>
                <w:tcPr>
                  <w:tcW w:w="3670" w:type="dxa"/>
                  <w:vAlign w:val="center"/>
                </w:tcPr>
                <w:p>
                  <w:pPr>
                    <w:adjustRightInd w:val="0"/>
                    <w:snapToGrid w:val="0"/>
                    <w:jc w:val="left"/>
                    <w:rPr>
                      <w:szCs w:val="21"/>
                    </w:rPr>
                  </w:pPr>
                  <w:r>
                    <w:rPr>
                      <w:szCs w:val="21"/>
                    </w:rPr>
                    <w:t>本项目水污染物总量在宜兴市华骐污水处理有限公司内平衡</w:t>
                  </w:r>
                  <w:r>
                    <w:rPr>
                      <w:rFonts w:hint="eastAsia"/>
                      <w:szCs w:val="21"/>
                    </w:rPr>
                    <w:t>。</w:t>
                  </w:r>
                </w:p>
              </w:tc>
            </w:tr>
          </w:tbl>
          <w:p>
            <w:pPr>
              <w:spacing w:line="360" w:lineRule="auto"/>
              <w:rPr>
                <w:sz w:val="24"/>
                <w:szCs w:val="24"/>
              </w:rPr>
            </w:pPr>
            <w:r>
              <w:rPr>
                <w:rFonts w:hint="eastAsia"/>
                <w:sz w:val="24"/>
                <w:szCs w:val="24"/>
              </w:rPr>
              <w:t xml:space="preserve">    由上表可知，</w:t>
            </w:r>
            <w:r>
              <w:rPr>
                <w:rFonts w:hint="eastAsia"/>
                <w:sz w:val="24"/>
                <w:szCs w:val="24"/>
                <w:lang w:val="en-US"/>
              </w:rPr>
              <w:t>本项目不属于江苏宜兴陶瓷产业园区环境准入负面清单内禁止引入的项目</w:t>
            </w:r>
            <w:r>
              <w:rPr>
                <w:sz w:val="24"/>
                <w:szCs w:val="24"/>
              </w:rPr>
              <w:t>。因此，本项目符合环境准入条件。</w:t>
            </w:r>
          </w:p>
          <w:p>
            <w:pPr>
              <w:spacing w:line="360" w:lineRule="auto"/>
              <w:ind w:firstLine="600" w:firstLineChars="250"/>
              <w:rPr>
                <w:sz w:val="24"/>
              </w:rPr>
            </w:pPr>
            <w:r>
              <w:rPr>
                <w:sz w:val="24"/>
              </w:rPr>
              <w:t>综上所述，建设项目符合国家、地方产业政策，项目选址符合区域总体规划，并能够满足生态保护红线、环境质量底线以及资源利用上限和环境准入负面清单的要求。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80" w:type="dxa"/>
            <w:gridSpan w:val="13"/>
          </w:tcPr>
          <w:p>
            <w:pPr>
              <w:spacing w:line="360" w:lineRule="auto"/>
              <w:rPr>
                <w:rFonts w:hAnsi="宋体"/>
                <w:b/>
                <w:kern w:val="0"/>
                <w:sz w:val="24"/>
                <w:szCs w:val="24"/>
              </w:rPr>
            </w:pPr>
            <w:r>
              <w:rPr>
                <w:rFonts w:hint="eastAsia" w:hAnsi="宋体"/>
                <w:b/>
                <w:kern w:val="0"/>
                <w:sz w:val="24"/>
                <w:szCs w:val="24"/>
              </w:rPr>
              <w:t>一、与本项目有关的原有污染情况及主要环境问题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eastAsia="宋体"/>
                <w:sz w:val="24"/>
                <w:lang w:val="en-US" w:eastAsia="zh-CN"/>
              </w:rPr>
            </w:pPr>
            <w:r>
              <w:rPr>
                <w:rFonts w:hint="eastAsia"/>
                <w:sz w:val="24"/>
                <w:lang w:val="en-US" w:eastAsia="zh-CN"/>
              </w:rPr>
              <w:t>1、原有项目概况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rPr>
            </w:pPr>
            <w:r>
              <w:rPr>
                <w:sz w:val="24"/>
                <w:lang w:val="en-US"/>
              </w:rPr>
              <w:t>本项目</w:t>
            </w:r>
            <w:r>
              <w:rPr>
                <w:rFonts w:hint="eastAsia"/>
                <w:sz w:val="24"/>
                <w:lang w:val="en-US" w:eastAsia="zh-CN"/>
              </w:rPr>
              <w:t>为</w:t>
            </w:r>
            <w:r>
              <w:rPr>
                <w:rFonts w:hint="eastAsia" w:hAnsi="宋体"/>
                <w:kern w:val="0"/>
                <w:sz w:val="24"/>
                <w:szCs w:val="24"/>
                <w:lang w:val="en-US" w:eastAsia="zh-CN"/>
              </w:rPr>
              <w:t>陶瓷制品的制造的改建项目，新旧厂区均</w:t>
            </w:r>
            <w:r>
              <w:rPr>
                <w:sz w:val="24"/>
                <w:lang w:val="en-US"/>
              </w:rPr>
              <w:t>位于</w:t>
            </w:r>
            <w:r>
              <w:rPr>
                <w:rFonts w:hint="eastAsia"/>
                <w:sz w:val="24"/>
                <w:lang w:val="en-US" w:eastAsia="zh-CN"/>
              </w:rPr>
              <w:t>宜兴市丁蜀镇查林村，</w:t>
            </w:r>
            <w:r>
              <w:rPr>
                <w:rFonts w:hint="eastAsia" w:hAnsi="宋体"/>
                <w:kern w:val="0"/>
                <w:sz w:val="24"/>
                <w:szCs w:val="24"/>
                <w:lang w:val="en-US" w:eastAsia="zh-CN"/>
              </w:rPr>
              <w:t>旧厂区位于宜兴科瑞特种陶瓷有限公司厂区内，现企业</w:t>
            </w:r>
            <w:r>
              <w:rPr>
                <w:rFonts w:hint="eastAsia"/>
                <w:sz w:val="24"/>
                <w:lang w:eastAsia="zh-CN"/>
              </w:rPr>
              <w:t>拟</w:t>
            </w:r>
            <w:r>
              <w:rPr>
                <w:rFonts w:hint="eastAsia"/>
                <w:sz w:val="24"/>
              </w:rPr>
              <w:t>租用</w:t>
            </w:r>
            <w:r>
              <w:rPr>
                <w:rFonts w:hint="eastAsia" w:hAnsi="宋体"/>
                <w:kern w:val="0"/>
                <w:sz w:val="24"/>
                <w:szCs w:val="24"/>
                <w:lang w:val="en-US" w:eastAsia="zh-CN"/>
              </w:rPr>
              <w:t>宜兴市志远仪表元件有限公司陶瓷产业园</w:t>
            </w:r>
            <w:r>
              <w:rPr>
                <w:rFonts w:hint="eastAsia"/>
                <w:sz w:val="24"/>
              </w:rPr>
              <w:t>闲置厂房</w:t>
            </w:r>
            <w:r>
              <w:rPr>
                <w:rFonts w:hint="eastAsia"/>
                <w:sz w:val="24"/>
                <w:lang w:eastAsia="zh-CN"/>
              </w:rPr>
              <w:t>作为新厂区</w:t>
            </w:r>
            <w:r>
              <w:rPr>
                <w:rFonts w:hint="eastAsia"/>
                <w:sz w:val="24"/>
              </w:rPr>
              <w:t>进行生产</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FF"/>
                <w:kern w:val="0"/>
                <w:sz w:val="24"/>
                <w:szCs w:val="24"/>
                <w:lang w:val="en-US"/>
              </w:rPr>
            </w:pPr>
            <w:r>
              <w:rPr>
                <w:rFonts w:hint="eastAsia" w:hAnsi="宋体"/>
                <w:kern w:val="0"/>
                <w:sz w:val="24"/>
                <w:szCs w:val="24"/>
                <w:lang w:val="en-US" w:eastAsia="zh-CN"/>
              </w:rPr>
              <w:t>宜兴市志远仪表元件有限公司成立于2006年6月2日，经营范围包括仪表标牌基板、压膜电阻片的制造。于2016年11月编制有《宜兴市志远仪表元件有限公司建设项目环境保护自查评估报告》并经宜兴市环保违法违规建设项目清理领导小组办公室同意，登记录入“一企一档”环境管理数据库，纳入正常环境管理。宜兴市志远仪表元件有限公司主要产品为铝标牌、塑料标牌，后因经营不善倒闭，生产设备全部拆除到位，于2018年闲置至今。该厂房现为闲置厂房，故不存在原有环境污染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hAnsi="宋体"/>
                <w:kern w:val="0"/>
                <w:sz w:val="24"/>
                <w:szCs w:val="24"/>
                <w:lang w:val="en-US" w:eastAsia="zh-CN"/>
              </w:rPr>
            </w:pPr>
            <w:r>
              <w:rPr>
                <w:rFonts w:hint="eastAsia" w:hAnsi="宋体"/>
                <w:color w:val="auto"/>
                <w:kern w:val="0"/>
                <w:sz w:val="24"/>
                <w:szCs w:val="24"/>
                <w:lang w:eastAsia="zh-CN"/>
              </w:rPr>
              <w:t>宜兴市宜桥陶瓷有限公司</w:t>
            </w:r>
            <w:r>
              <w:rPr>
                <w:rFonts w:hint="eastAsia" w:hAnsi="宋体"/>
                <w:color w:val="auto"/>
                <w:kern w:val="0"/>
                <w:sz w:val="24"/>
                <w:szCs w:val="24"/>
                <w:lang w:val="en-US" w:eastAsia="zh-CN"/>
              </w:rPr>
              <w:t>于</w:t>
            </w:r>
            <w:r>
              <w:rPr>
                <w:rFonts w:hint="eastAsia" w:hAnsi="宋体"/>
                <w:kern w:val="0"/>
                <w:sz w:val="24"/>
                <w:szCs w:val="24"/>
                <w:lang w:val="en-US" w:eastAsia="zh-CN"/>
              </w:rPr>
              <w:t>2016年11月编制有《</w:t>
            </w:r>
            <w:r>
              <w:rPr>
                <w:rFonts w:hint="eastAsia" w:hAnsi="宋体"/>
                <w:kern w:val="0"/>
                <w:sz w:val="24"/>
                <w:szCs w:val="24"/>
                <w:lang w:eastAsia="zh-CN"/>
              </w:rPr>
              <w:t>宜兴市宜桥陶瓷有限公司</w:t>
            </w:r>
            <w:r>
              <w:rPr>
                <w:rFonts w:hint="eastAsia" w:hAnsi="宋体"/>
                <w:kern w:val="0"/>
                <w:sz w:val="24"/>
                <w:szCs w:val="24"/>
                <w:lang w:val="en-US" w:eastAsia="zh-CN"/>
              </w:rPr>
              <w:t>建设项目环境保护自查评估报告》，并于2016年11月26日通过宜兴市环保违法违规建设项目清理领导小组办公室审核同意纳入日常环境管理。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bCs/>
                <w:color w:val="000000"/>
                <w:sz w:val="24"/>
                <w:lang w:val="en-US" w:eastAsia="zh-CN"/>
              </w:rPr>
            </w:pPr>
            <w:r>
              <w:rPr>
                <w:rFonts w:hint="eastAsia"/>
                <w:bCs/>
                <w:color w:val="000000"/>
                <w:sz w:val="24"/>
                <w:lang w:val="en-US" w:eastAsia="zh-CN"/>
              </w:rPr>
              <w:t>2、</w:t>
            </w:r>
            <w:r>
              <w:rPr>
                <w:rFonts w:hint="eastAsia"/>
                <w:bCs/>
                <w:color w:val="000000"/>
                <w:sz w:val="24"/>
                <w:lang w:val="en-US"/>
              </w:rPr>
              <w:t>原有产品</w:t>
            </w:r>
            <w:r>
              <w:rPr>
                <w:rFonts w:hint="eastAsia"/>
                <w:bCs/>
                <w:color w:val="000000"/>
                <w:sz w:val="24"/>
                <w:lang w:val="en-US" w:eastAsia="zh-CN"/>
              </w:rPr>
              <w:t>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2"/>
              <w:rPr>
                <w:rFonts w:hint="eastAsia" w:hAnsi="宋体"/>
                <w:color w:val="auto"/>
                <w:kern w:val="0"/>
                <w:sz w:val="24"/>
                <w:szCs w:val="24"/>
                <w:lang w:val="en-US" w:eastAsia="zh-CN"/>
              </w:rPr>
            </w:pPr>
            <w:r>
              <w:rPr>
                <w:sz w:val="21"/>
              </w:rPr>
              <w:pict>
                <v:rect id="_x0000_s7670" o:spid="_x0000_s7670" o:spt="1" style="position:absolute;left:0pt;margin-left:294.35pt;margin-top:14pt;height:22.45pt;width:42.25pt;z-index:511082496;mso-width-relative:page;mso-height-relative:page;" filled="f" stroked="f" coordsize="21600,21600">
                  <v:path/>
                  <v:fill on="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委外</w:t>
                        </w:r>
                      </w:p>
                    </w:txbxContent>
                  </v:textbox>
                </v:rect>
              </w:pict>
            </w:r>
            <w:r>
              <w:rPr>
                <w:rFonts w:hint="eastAsia" w:hAnsi="宋体"/>
                <w:color w:val="auto"/>
                <w:kern w:val="0"/>
                <w:sz w:val="24"/>
                <w:szCs w:val="24"/>
                <w:lang w:val="en-US" w:eastAsia="zh-CN"/>
              </w:rPr>
              <w:t>根据企业</w:t>
            </w:r>
            <w:r>
              <w:rPr>
                <w:rFonts w:hint="eastAsia" w:hAnsi="宋体"/>
                <w:kern w:val="0"/>
                <w:sz w:val="24"/>
                <w:szCs w:val="24"/>
                <w:lang w:val="en-US" w:eastAsia="zh-CN"/>
              </w:rPr>
              <w:t>自查评估报告</w:t>
            </w:r>
            <w:r>
              <w:rPr>
                <w:rFonts w:hint="eastAsia" w:hAnsi="宋体"/>
                <w:color w:val="auto"/>
                <w:kern w:val="0"/>
                <w:sz w:val="24"/>
                <w:szCs w:val="24"/>
                <w:lang w:val="en-US" w:eastAsia="zh-CN"/>
              </w:rPr>
              <w:t>，原有热压瓷件生产工艺流程图如下：</w:t>
            </w:r>
          </w:p>
          <w:p>
            <w:pPr>
              <w:pStyle w:val="2"/>
              <w:rPr>
                <w:rFonts w:hint="eastAsia" w:hAnsi="宋体"/>
                <w:color w:val="auto"/>
                <w:kern w:val="0"/>
                <w:sz w:val="24"/>
                <w:szCs w:val="24"/>
                <w:lang w:val="en-US" w:eastAsia="zh-CN"/>
              </w:rPr>
            </w:pPr>
            <w:r>
              <w:rPr>
                <w:rFonts w:hint="eastAsia" w:hAnsi="宋体"/>
                <w:color w:val="auto"/>
                <w:kern w:val="0"/>
                <w:sz w:val="24"/>
                <w:szCs w:val="24"/>
                <w:lang w:eastAsia="zh-CN"/>
              </w:rPr>
              <w:pict>
                <v:line id="_x0000_s7632" o:spid="_x0000_s7632" o:spt="20" style="position:absolute;left:0pt;flip:x y;margin-left:311.75pt;margin-top:9.7pt;height:18.45pt;width:0.1pt;z-index:-2087904256;mso-width-relative:page;mso-height-relative:page;" filled="f" stroked="t" coordsize="21600,21600">
                  <v:path arrowok="t"/>
                  <v:fill on="f" focussize="0,0"/>
                  <v:stroke weight="0.25pt" color="#000000" dashstyle="dash" endarrow="block"/>
                  <v:imagedata o:title=""/>
                  <o:lock v:ext="edit" aspectratio="f"/>
                </v:line>
              </w:pict>
            </w:r>
          </w:p>
          <w:p>
            <w:pPr>
              <w:pStyle w:val="2"/>
              <w:rPr>
                <w:lang w:val="en-US"/>
              </w:rPr>
            </w:pPr>
            <w:r>
              <w:rPr>
                <w:sz w:val="21"/>
              </w:rPr>
              <w:pict>
                <v:rect id="_x0000_s7671" o:spid="_x0000_s7671" o:spt="1" style="position:absolute;left:0pt;margin-left:362.85pt;margin-top:8.75pt;height:21.65pt;width:39.35pt;z-index:-1058729984;mso-width-relative:page;mso-height-relative:page;" fillcolor="#FFFFFF" filled="t" stroked="t" coordsize="21600,21600">
                  <v:path/>
                  <v:fill on="t" color2="#FFFFFF" focussize="0,0"/>
                  <v:stroke weight="0.25pt"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烧成</w:t>
                        </w:r>
                      </w:p>
                    </w:txbxContent>
                  </v:textbox>
                </v:rect>
              </w:pict>
            </w:r>
            <w:r>
              <w:rPr>
                <w:sz w:val="21"/>
              </w:rPr>
              <w:pict>
                <v:rect id="_x0000_s7668" o:spid="_x0000_s7668" o:spt="1" style="position:absolute;left:0pt;margin-left:294.75pt;margin-top:7.9pt;height:21.65pt;width:40.1pt;z-index:-993693696;mso-width-relative:page;mso-height-relative:page;" fillcolor="#FFFFFF" filled="t" stroked="t" coordsize="21600,21600">
                  <v:path/>
                  <v:fill on="t" color2="#FFFFFF" focussize="0,0"/>
                  <v:stroke weight="0.25pt" color="#000000" joinstyle="miter" dashstyle="dash"/>
                  <v:imagedata o:title=""/>
                  <o:lock v:ext="edit" aspectratio="f"/>
                  <v:textbox>
                    <w:txbxContent>
                      <w:p>
                        <w:pPr>
                          <w:rPr>
                            <w:rFonts w:hint="eastAsia" w:eastAsia="宋体"/>
                            <w:sz w:val="24"/>
                            <w:szCs w:val="24"/>
                            <w:lang w:eastAsia="zh-CN"/>
                          </w:rPr>
                        </w:pPr>
                        <w:r>
                          <w:rPr>
                            <w:rFonts w:hint="eastAsia"/>
                            <w:sz w:val="24"/>
                            <w:szCs w:val="24"/>
                            <w:lang w:eastAsia="zh-CN"/>
                          </w:rPr>
                          <w:t>排蜡</w:t>
                        </w:r>
                      </w:p>
                    </w:txbxContent>
                  </v:textbox>
                </v:rect>
              </w:pict>
            </w:r>
            <w:r>
              <w:rPr>
                <w:sz w:val="21"/>
              </w:rPr>
              <w:pict>
                <v:rect id="_x0000_s7666" o:spid="_x0000_s7666" o:spt="1" style="position:absolute;left:0pt;margin-left:224.95pt;margin-top:7.9pt;height:21.65pt;width:40.1pt;z-index:1482874880;mso-width-relative:page;mso-height-relative:page;" fillcolor="#FFFFFF" filled="t" stroked="t" coordsize="21600,21600">
                  <v:path/>
                  <v:fill on="t" color2="#FFFFFF" focussize="0,0"/>
                  <v:stroke weight="0.25pt"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成型</w:t>
                        </w:r>
                      </w:p>
                    </w:txbxContent>
                  </v:textbox>
                </v:rect>
              </w:pict>
            </w:r>
            <w:r>
              <w:rPr>
                <w:sz w:val="21"/>
              </w:rPr>
              <w:pict>
                <v:rect id="_x0000_s7664" o:spid="_x0000_s7664" o:spt="1" style="position:absolute;left:0pt;margin-left:157.25pt;margin-top:7.05pt;height:21.65pt;width:40.1pt;z-index:2070055936;mso-width-relative:page;mso-height-relative:page;" fillcolor="#FFFFFF" filled="t" stroked="t" coordsize="21600,21600">
                  <v:path/>
                  <v:fill on="t" color2="#FFFFFF" focussize="0,0"/>
                  <v:stroke weight="0.25pt"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球磨</w:t>
                        </w:r>
                      </w:p>
                    </w:txbxContent>
                  </v:textbox>
                </v:rect>
              </w:pict>
            </w:r>
            <w:r>
              <w:rPr>
                <w:sz w:val="21"/>
              </w:rPr>
              <w:pict>
                <v:rect id="_x0000_s7611" o:spid="_x0000_s7611" o:spt="1" style="position:absolute;left:0pt;margin-left:91.8pt;margin-top:6.95pt;height:21.65pt;width:40.1pt;z-index:174715904;mso-width-relative:page;mso-height-relative:page;" fillcolor="#FFFFFF" filled="t" stroked="t" coordsize="21600,21600">
                  <v:path/>
                  <v:fill on="t" color2="#FFFFFF" focussize="0,0"/>
                  <v:stroke weight="0.25pt"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搅拌</w:t>
                        </w:r>
                      </w:p>
                    </w:txbxContent>
                  </v:textbox>
                </v:rect>
              </w:pict>
            </w:r>
            <w:r>
              <w:rPr>
                <w:sz w:val="21"/>
              </w:rPr>
              <w:pict>
                <v:rect id="_x0000_s7595" o:spid="_x0000_s7595" o:spt="1" style="position:absolute;left:0pt;margin-left:26.1pt;margin-top:6.3pt;height:22.25pt;width:47.35pt;z-index:1655681024;mso-width-relative:page;mso-height-relative:page;" filled="f" stroked="f" coordsize="21600,21600">
                  <v:path/>
                  <v:fill on="f" focussize="0,0"/>
                  <v:stroke on="f" weight="0.25pt"/>
                  <v:imagedata o:title=""/>
                  <o:lock v:ext="edit" aspectratio="f"/>
                  <v:textbox>
                    <w:txbxContent>
                      <w:p>
                        <w:pPr>
                          <w:rPr>
                            <w:rFonts w:hint="eastAsia" w:eastAsia="宋体"/>
                            <w:sz w:val="24"/>
                            <w:szCs w:val="24"/>
                            <w:lang w:val="en-US" w:eastAsia="zh-CN"/>
                          </w:rPr>
                        </w:pPr>
                        <w:r>
                          <w:rPr>
                            <w:rFonts w:hint="eastAsia"/>
                            <w:sz w:val="24"/>
                            <w:szCs w:val="24"/>
                            <w:lang w:val="en-US" w:eastAsia="zh-CN"/>
                          </w:rPr>
                          <w:t>浆饼</w:t>
                        </w:r>
                      </w:p>
                    </w:txbxContent>
                  </v:textbox>
                </v:rect>
              </w:pict>
            </w:r>
          </w:p>
          <w:p>
            <w:pPr>
              <w:pStyle w:val="2"/>
              <w:rPr>
                <w:lang w:val="en-US"/>
              </w:rPr>
            </w:pPr>
            <w:r>
              <w:rPr>
                <w:sz w:val="21"/>
              </w:rPr>
              <w:pict>
                <v:line id="_x0000_s7673" o:spid="_x0000_s7673" o:spt="20" style="position:absolute;left:0pt;flip:y;margin-left:403.25pt;margin-top:0.45pt;height:0.7pt;width:14.75pt;z-index:-1321449472;mso-width-relative:page;mso-height-relative:page;" filled="f" stroked="t" coordsize="21600,21600">
                  <v:path arrowok="t"/>
                  <v:fill on="f" focussize="0,0"/>
                  <v:stroke weight="0.25pt" color="#000000" endarrow="block"/>
                  <v:imagedata o:title=""/>
                  <o:lock v:ext="edit" aspectratio="f"/>
                </v:line>
              </w:pict>
            </w:r>
            <w:r>
              <w:rPr>
                <w:sz w:val="21"/>
              </w:rPr>
              <w:pict>
                <v:line id="_x0000_s7677" o:spid="_x0000_s7677" o:spt="20" style="position:absolute;left:0pt;margin-left:383.4pt;margin-top:12.95pt;height:22.35pt;width:0.05pt;z-index:2037824512;mso-width-relative:page;mso-height-relative:page;" filled="f" stroked="t" coordsize="21600,21600">
                  <v:path arrowok="t"/>
                  <v:fill on="f" focussize="0,0"/>
                  <v:stroke weight="0.25pt" color="#000000" dashstyle="dash" endarrow="block"/>
                  <v:imagedata o:title=""/>
                  <o:lock v:ext="edit" aspectratio="f"/>
                </v:line>
              </w:pict>
            </w:r>
            <w:r>
              <w:rPr>
                <w:sz w:val="21"/>
              </w:rPr>
              <w:pict>
                <v:line id="_x0000_s7669" o:spid="_x0000_s7669" o:spt="20" style="position:absolute;left:0pt;flip:y;margin-left:337.05pt;margin-top:2.05pt;height:0.7pt;width:24.4pt;z-index:895693824;mso-width-relative:page;mso-height-relative:page;" filled="f" stroked="t" coordsize="21600,21600">
                  <v:path arrowok="t"/>
                  <v:fill on="f" focussize="0,0"/>
                  <v:stroke weight="0.25pt" color="#000000" endarrow="block"/>
                  <v:imagedata o:title=""/>
                  <o:lock v:ext="edit" aspectratio="f"/>
                </v:line>
              </w:pict>
            </w:r>
            <w:r>
              <w:rPr>
                <w:sz w:val="21"/>
              </w:rPr>
              <w:pict>
                <v:line id="_x0000_s7667" o:spid="_x0000_s7667" o:spt="20" style="position:absolute;left:0pt;flip:y;margin-left:267.25pt;margin-top:2.05pt;height:0.7pt;width:24.4pt;z-index:-922704896;mso-width-relative:page;mso-height-relative:page;" filled="f" stroked="t" coordsize="21600,21600">
                  <v:path arrowok="t"/>
                  <v:fill on="f" focussize="0,0"/>
                  <v:stroke weight="0.25pt" color="#000000" endarrow="block"/>
                  <v:imagedata o:title=""/>
                  <o:lock v:ext="edit" aspectratio="f"/>
                </v:line>
              </w:pict>
            </w:r>
            <w:r>
              <w:rPr>
                <w:sz w:val="21"/>
              </w:rPr>
              <w:pict>
                <v:line id="_x0000_s7665" o:spid="_x0000_s7665" o:spt="20" style="position:absolute;left:0pt;flip:y;margin-left:199.55pt;margin-top:1.2pt;height:0.7pt;width:24.4pt;z-index:-335523840;mso-width-relative:page;mso-height-relative:page;" filled="f" stroked="t" coordsize="21600,21600">
                  <v:path arrowok="t"/>
                  <v:fill on="f" focussize="0,0"/>
                  <v:stroke weight="0.25pt" color="#000000" endarrow="block"/>
                  <v:imagedata o:title=""/>
                  <o:lock v:ext="edit" aspectratio="f"/>
                </v:line>
              </w:pict>
            </w:r>
            <w:r>
              <w:rPr>
                <w:sz w:val="21"/>
              </w:rPr>
              <w:pict>
                <v:line id="_x0000_s7663" o:spid="_x0000_s7663" o:spt="20" style="position:absolute;left:0pt;flip:y;margin-left:132.6pt;margin-top:0.3pt;height:0.7pt;width:24.4pt;z-index:2064103424;mso-width-relative:page;mso-height-relative:page;" filled="f" stroked="t" coordsize="21600,21600">
                  <v:path arrowok="t"/>
                  <v:fill on="f" focussize="0,0"/>
                  <v:stroke weight="0.25pt" color="#000000" endarrow="block"/>
                  <v:imagedata o:title=""/>
                  <o:lock v:ext="edit" aspectratio="f"/>
                </v:line>
              </w:pict>
            </w:r>
            <w:r>
              <w:rPr>
                <w:sz w:val="21"/>
              </w:rPr>
              <w:pict>
                <v:line id="_x0000_s7598" o:spid="_x0000_s7598" o:spt="20" style="position:absolute;left:0pt;flip:y;margin-left:64.15pt;margin-top:0.2pt;height:0.7pt;width:24.4pt;z-index:168763392;mso-width-relative:page;mso-height-relative:page;" filled="f" stroked="t" coordsize="21600,21600">
                  <v:path arrowok="t"/>
                  <v:fill on="f" focussize="0,0"/>
                  <v:stroke weight="0.25pt" color="#000000" endarrow="block"/>
                  <v:imagedata o:title=""/>
                  <o:lock v:ext="edit" aspectratio="f"/>
                </v:line>
              </w:pict>
            </w:r>
          </w:p>
          <w:p>
            <w:pPr>
              <w:pStyle w:val="2"/>
              <w:rPr>
                <w:lang w:val="en-US"/>
              </w:rPr>
            </w:pPr>
            <w:r>
              <w:rPr>
                <w:sz w:val="21"/>
              </w:rPr>
              <w:pict>
                <v:rect id="_x0000_s7633" o:spid="_x0000_s7633" o:spt="1" style="position:absolute;left:0pt;margin-left:327.9pt;margin-top:17.4pt;height:28.25pt;width:101.55pt;z-index:-274919424;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天然气燃烧废气</w:t>
                        </w:r>
                      </w:p>
                    </w:txbxContent>
                  </v:textbox>
                </v:rect>
              </w:pict>
            </w:r>
            <w:r>
              <w:rPr>
                <w:sz w:val="21"/>
              </w:rPr>
              <w:pict>
                <v:rect id="_x0000_s7618" o:spid="_x0000_s7618" o:spt="1" style="position:absolute;left:0pt;margin-left:127.9pt;margin-top:17.05pt;height:24.65pt;width:51.85pt;z-index:1756433408;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成品</w:t>
                        </w:r>
                      </w:p>
                    </w:txbxContent>
                  </v:textbox>
                </v:rect>
              </w:pict>
            </w:r>
            <w:r>
              <w:rPr>
                <w:sz w:val="21"/>
              </w:rPr>
              <w:pict>
                <v:rect id="_x0000_s7672" o:spid="_x0000_s7672" o:spt="1" style="position:absolute;left:0pt;margin-left:62.35pt;margin-top:15.65pt;height:21.65pt;width:40.1pt;z-index:-1965486080;mso-width-relative:page;mso-height-relative:page;" fillcolor="#FFFFFF" filled="t" stroked="t" coordsize="21600,21600">
                  <v:path/>
                  <v:fill on="t" color2="#FFFFFF" focussize="0,0"/>
                  <v:stroke weight="0.25pt"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检验</w:t>
                        </w:r>
                      </w:p>
                    </w:txbxContent>
                  </v:textbox>
                </v:rect>
              </w:pict>
            </w:r>
          </w:p>
          <w:p>
            <w:pPr>
              <w:spacing w:line="360" w:lineRule="auto"/>
              <w:ind w:firstLine="420" w:firstLineChars="200"/>
              <w:rPr>
                <w:rFonts w:hint="eastAsia"/>
                <w:color w:val="auto"/>
                <w:kern w:val="0"/>
                <w:sz w:val="24"/>
                <w:szCs w:val="24"/>
                <w:lang w:val="en-US" w:eastAsia="zh-CN"/>
              </w:rPr>
            </w:pPr>
            <w:r>
              <w:rPr>
                <w:sz w:val="21"/>
              </w:rPr>
              <w:pict>
                <v:line id="_x0000_s7600" o:spid="_x0000_s7600" o:spt="20" style="position:absolute;left:0pt;margin-left:103.6pt;margin-top:9.65pt;height:0.05pt;width:25.25pt;z-index:85869568;mso-width-relative:page;mso-height-relative:page;" fillcolor="#FFFFFF" filled="t" stroked="t" coordsize="21600,21600">
                  <v:path arrowok="t"/>
                  <v:fill on="t" color2="#FFFFFF" focussize="0,0"/>
                  <v:stroke weight="0.25pt" color="#000000" endarrow="block"/>
                  <v:imagedata o:title=""/>
                  <o:lock v:ext="edit" aspectratio="f"/>
                </v:line>
              </w:pict>
            </w:r>
            <w:r>
              <w:rPr>
                <w:sz w:val="21"/>
              </w:rPr>
              <w:pict>
                <v:line id="_x0000_s7674" o:spid="_x0000_s7674" o:spt="20" style="position:absolute;left:0pt;flip:y;margin-left:34.9pt;margin-top:7.6pt;height:0.7pt;width:25.9pt;z-index:-677412864;mso-width-relative:page;mso-height-relative:page;" filled="f" stroked="t" coordsize="21600,21600">
                  <v:path arrowok="t"/>
                  <v:fill on="f" focussize="0,0"/>
                  <v:stroke weight="0.25pt" color="#000000" endarrow="block"/>
                  <v:imagedata o:title=""/>
                  <o:lock v:ext="edit" aspectratio="f"/>
                </v:line>
              </w:pict>
            </w:r>
          </w:p>
          <w:p>
            <w:pPr>
              <w:spacing w:line="360" w:lineRule="auto"/>
              <w:ind w:firstLine="420" w:firstLineChars="200"/>
              <w:rPr>
                <w:rFonts w:hint="eastAsia"/>
                <w:color w:val="auto"/>
                <w:kern w:val="0"/>
                <w:sz w:val="24"/>
                <w:szCs w:val="24"/>
                <w:lang w:val="en-US" w:eastAsia="zh-CN"/>
              </w:rPr>
            </w:pPr>
            <w:r>
              <w:rPr>
                <w:sz w:val="21"/>
              </w:rPr>
              <w:pict>
                <v:line id="_x0000_s7678" o:spid="_x0000_s7678" o:spt="20" style="position:absolute;left:0pt;margin-left:81.15pt;margin-top:0.65pt;height:22.35pt;width:0.05pt;z-index:2037824512;mso-width-relative:page;mso-height-relative:page;" filled="f" stroked="t" coordsize="21600,21600">
                  <v:path arrowok="t"/>
                  <v:fill on="f" focussize="0,0"/>
                  <v:stroke weight="0.25pt" color="#000000" dashstyle="dash" endarrow="block"/>
                  <v:imagedata o:title=""/>
                  <o:lock v:ext="edit" aspectratio="f"/>
                </v:line>
              </w:pict>
            </w:r>
          </w:p>
          <w:p>
            <w:pPr>
              <w:spacing w:line="360" w:lineRule="auto"/>
              <w:ind w:firstLine="420" w:firstLineChars="200"/>
              <w:rPr>
                <w:rFonts w:hint="eastAsia"/>
                <w:color w:val="auto"/>
                <w:kern w:val="0"/>
                <w:sz w:val="24"/>
                <w:szCs w:val="24"/>
                <w:lang w:val="en-US" w:eastAsia="zh-CN"/>
              </w:rPr>
            </w:pPr>
            <w:r>
              <w:rPr>
                <w:sz w:val="21"/>
              </w:rPr>
              <w:pict>
                <v:rect id="_x0000_s7635" o:spid="_x0000_s7635" o:spt="1" style="position:absolute;left:0pt;margin-left:53.85pt;margin-top:5.35pt;height:24.65pt;width:51.85pt;z-index:1538065408;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废次品</w:t>
                        </w:r>
                      </w:p>
                    </w:txbxContent>
                  </v:textbox>
                </v:rect>
              </w:pict>
            </w:r>
          </w:p>
          <w:p>
            <w:pPr>
              <w:pStyle w:val="3"/>
              <w:ind w:left="0" w:leftChars="0" w:firstLine="0" w:firstLineChars="0"/>
              <w:jc w:val="center"/>
              <w:rPr>
                <w:rFonts w:hint="eastAsia"/>
                <w:b/>
                <w:bCs/>
                <w:color w:val="auto"/>
                <w:kern w:val="0"/>
                <w:sz w:val="24"/>
                <w:szCs w:val="24"/>
                <w:lang w:val="en-US" w:eastAsia="zh-CN"/>
              </w:rPr>
            </w:pPr>
            <w:r>
              <w:rPr>
                <w:rFonts w:hint="eastAsia"/>
                <w:b/>
                <w:bCs/>
                <w:color w:val="auto"/>
                <w:kern w:val="0"/>
                <w:sz w:val="24"/>
                <w:szCs w:val="24"/>
                <w:lang w:val="en-US" w:eastAsia="zh-CN"/>
              </w:rPr>
              <w:t>图1-1  热压瓷件工艺流程图</w:t>
            </w:r>
          </w:p>
          <w:p>
            <w:pPr>
              <w:pStyle w:val="3"/>
              <w:ind w:left="0" w:leftChars="0" w:firstLine="482" w:firstLineChars="200"/>
              <w:jc w:val="both"/>
              <w:rPr>
                <w:rFonts w:hint="eastAsia"/>
                <w:sz w:val="24"/>
                <w:szCs w:val="24"/>
                <w:lang w:val="en-US" w:eastAsia="zh-CN"/>
              </w:rPr>
            </w:pPr>
            <w:r>
              <w:rPr>
                <w:rFonts w:hint="eastAsia"/>
                <w:b/>
                <w:bCs/>
                <w:color w:val="auto"/>
                <w:kern w:val="0"/>
                <w:sz w:val="24"/>
                <w:szCs w:val="24"/>
                <w:lang w:val="en-US" w:eastAsia="zh-CN"/>
              </w:rPr>
              <w:t>工艺流程简述：</w:t>
            </w:r>
            <w:r>
              <w:rPr>
                <w:rFonts w:hint="eastAsia"/>
                <w:b w:val="0"/>
                <w:bCs w:val="0"/>
                <w:color w:val="auto"/>
                <w:kern w:val="0"/>
                <w:sz w:val="24"/>
                <w:szCs w:val="24"/>
                <w:lang w:val="en-US" w:eastAsia="zh-CN"/>
              </w:rPr>
              <w:t>将原料</w:t>
            </w:r>
            <w:r>
              <w:rPr>
                <w:rFonts w:hint="eastAsia"/>
                <w:sz w:val="24"/>
                <w:szCs w:val="24"/>
                <w:lang w:eastAsia="zh-CN"/>
              </w:rPr>
              <w:t>滑石粉、碳酸钡等投料进行球磨后压制成型，通过辊道窑</w:t>
            </w:r>
            <w:r>
              <w:rPr>
                <w:rFonts w:hint="eastAsia"/>
                <w:sz w:val="24"/>
                <w:szCs w:val="24"/>
                <w:lang w:val="en-US" w:eastAsia="zh-CN"/>
              </w:rPr>
              <w:t>1500℃煅烧，再进行球磨粉碎成细小颗粒，同时将熔化后的石蜡加入进行和蜡（熔化温度约100℃），经热压机通过各种铁模热压成型，然后进行排蜡，排蜡工序委外，最后经推板窑烧制成瓷件，经人工检验后合格即为成品。</w:t>
            </w:r>
          </w:p>
          <w:p>
            <w:pPr>
              <w:pStyle w:val="3"/>
              <w:ind w:left="0" w:leftChars="0" w:firstLine="0" w:firstLineChars="0"/>
              <w:rPr>
                <w:sz w:val="21"/>
              </w:rPr>
            </w:pPr>
          </w:p>
          <w:p>
            <w:pPr>
              <w:pStyle w:val="3"/>
              <w:ind w:left="0" w:leftChars="0" w:firstLine="0" w:firstLineChars="0"/>
              <w:rPr>
                <w:rFonts w:hint="eastAsia"/>
                <w:sz w:val="21"/>
                <w:lang w:val="en-US" w:eastAsia="zh-CN"/>
              </w:rPr>
            </w:pPr>
            <w:r>
              <w:rPr>
                <w:rFonts w:hint="eastAsia" w:hAnsi="宋体"/>
                <w:color w:val="auto"/>
                <w:kern w:val="0"/>
                <w:sz w:val="24"/>
                <w:szCs w:val="24"/>
                <w:lang w:val="en-US" w:eastAsia="zh-CN"/>
              </w:rPr>
              <w:t>原有干压瓷件生产工艺流程图如下：</w:t>
            </w:r>
          </w:p>
          <w:p>
            <w:pPr>
              <w:pStyle w:val="3"/>
              <w:rPr>
                <w:rFonts w:hint="eastAsia"/>
                <w:color w:val="auto"/>
                <w:kern w:val="0"/>
                <w:sz w:val="24"/>
                <w:szCs w:val="24"/>
                <w:lang w:val="en-US" w:eastAsia="zh-CN"/>
              </w:rPr>
            </w:pPr>
            <w:r>
              <w:rPr>
                <w:sz w:val="21"/>
              </w:rPr>
              <w:pict>
                <v:rect id="_x0000_s7655" o:spid="_x0000_s7655" o:spt="1" style="position:absolute;left:0pt;margin-left:356.1pt;margin-top:24.25pt;height:22.3pt;width:45.15pt;z-index:-728481792;mso-width-relative:page;mso-height-relative:page;" filled="f" stroked="f" coordsize="21600,21600">
                  <v:path/>
                  <v:fill on="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成品</w:t>
                        </w:r>
                      </w:p>
                    </w:txbxContent>
                  </v:textbox>
                </v:rect>
              </w:pict>
            </w:r>
          </w:p>
          <w:p>
            <w:pPr>
              <w:pStyle w:val="3"/>
              <w:rPr>
                <w:rFonts w:hint="eastAsia"/>
                <w:color w:val="auto"/>
                <w:kern w:val="0"/>
                <w:sz w:val="24"/>
                <w:szCs w:val="24"/>
                <w:lang w:val="en-US" w:eastAsia="zh-CN"/>
              </w:rPr>
            </w:pPr>
            <w:r>
              <w:rPr>
                <w:sz w:val="21"/>
              </w:rPr>
              <w:pict>
                <v:line id="_x0000_s7685" o:spid="_x0000_s7685" o:spt="20" style="position:absolute;left:0pt;margin-left:214.45pt;margin-top:23.7pt;height:23.05pt;width:0.1pt;z-index:504773632;mso-width-relative:page;mso-height-relative:page;" filled="f" stroked="t" coordsize="21600,21600">
                  <v:path arrowok="t"/>
                  <v:fill on="f" focussize="0,0"/>
                  <v:stroke weight="0.25pt" color="#000000" dashstyle="dash" endarrow="block"/>
                  <v:imagedata o:title=""/>
                  <o:lock v:ext="edit" aspectratio="f"/>
                </v:line>
              </w:pict>
            </w:r>
            <w:r>
              <w:rPr>
                <w:sz w:val="21"/>
              </w:rPr>
              <w:pict>
                <v:line id="_x0000_s7660" o:spid="_x0000_s7660" o:spt="20" style="position:absolute;left:0pt;margin-left:295.25pt;margin-top:22.85pt;height:23.15pt;width:0.05pt;z-index:1074994176;mso-width-relative:page;mso-height-relative:page;" filled="f" stroked="t" coordsize="21600,21600">
                  <v:path arrowok="t"/>
                  <v:fill on="f" focussize="0,0"/>
                  <v:stroke weight="0.25pt" color="#000000" dashstyle="dash" endarrow="block"/>
                  <v:imagedata o:title=""/>
                  <o:lock v:ext="edit" aspectratio="f"/>
                </v:line>
              </w:pict>
            </w:r>
            <w:r>
              <w:rPr>
                <w:sz w:val="21"/>
              </w:rPr>
              <w:pict>
                <v:rect id="_x0000_s7653" o:spid="_x0000_s7653" o:spt="1" style="position:absolute;left:0pt;margin-left:272.05pt;margin-top:1.1pt;height:20.8pt;width:46.8pt;z-index:-1985821696;mso-width-relative:page;mso-height-relative:page;" fillcolor="#FFFFFF" filled="t" stroked="t" coordsize="21600,21600">
                  <v:path/>
                  <v:fill on="t" color2="#FFFFFF" focussize="0,0"/>
                  <v:stroke weight="0.25pt" color="#000000" joinstyle="miter"/>
                  <v:imagedata o:title=""/>
                  <o:lock v:ext="edit" aspectratio="f"/>
                  <v:textbox>
                    <w:txbxContent>
                      <w:p>
                        <w:pPr>
                          <w:jc w:val="center"/>
                          <w:rPr>
                            <w:rFonts w:hint="eastAsia" w:eastAsia="宋体"/>
                            <w:sz w:val="24"/>
                            <w:szCs w:val="24"/>
                            <w:lang w:eastAsia="zh-CN"/>
                          </w:rPr>
                        </w:pPr>
                        <w:r>
                          <w:rPr>
                            <w:rFonts w:hint="eastAsia"/>
                            <w:sz w:val="24"/>
                            <w:szCs w:val="24"/>
                            <w:lang w:eastAsia="zh-CN"/>
                          </w:rPr>
                          <w:t>检验</w:t>
                        </w:r>
                      </w:p>
                    </w:txbxContent>
                  </v:textbox>
                </v:rect>
              </w:pict>
            </w:r>
            <w:r>
              <w:rPr>
                <w:sz w:val="21"/>
              </w:rPr>
              <w:pict>
                <v:line id="_x0000_s7683" o:spid="_x0000_s7683" o:spt="20" style="position:absolute;left:0pt;margin-left:323pt;margin-top:11.75pt;height:0.05pt;width:25.25pt;z-index:-888783872;mso-width-relative:page;mso-height-relative:page;" fillcolor="#FFFFFF" filled="t" stroked="t" coordsize="21600,21600">
                  <v:path arrowok="t"/>
                  <v:fill on="t" color2="#FFFFFF" focussize="0,0"/>
                  <v:stroke weight="0.25pt" color="#000000" endarrow="block"/>
                  <v:imagedata o:title=""/>
                  <o:lock v:ext="edit" aspectratio="f"/>
                </v:line>
              </w:pict>
            </w:r>
            <w:r>
              <w:rPr>
                <w:sz w:val="21"/>
              </w:rPr>
              <w:pict>
                <v:line id="_x0000_s7682" o:spid="_x0000_s7682" o:spt="20" style="position:absolute;left:0pt;margin-left:242.05pt;margin-top:13.25pt;height:0.05pt;width:25.25pt;z-index:-888783872;mso-width-relative:page;mso-height-relative:page;" fillcolor="#FFFFFF" filled="t" stroked="t" coordsize="21600,21600">
                  <v:path arrowok="t"/>
                  <v:fill on="t" color2="#FFFFFF" focussize="0,0"/>
                  <v:stroke weight="0.25pt" color="#000000" endarrow="block"/>
                  <v:imagedata o:title=""/>
                  <o:lock v:ext="edit" aspectratio="f"/>
                </v:line>
              </w:pict>
            </w:r>
            <w:r>
              <w:rPr>
                <w:sz w:val="21"/>
              </w:rPr>
              <w:pict>
                <v:line id="_x0000_s7681" o:spid="_x0000_s7681" o:spt="20" style="position:absolute;left:0pt;margin-left:162.5pt;margin-top:13.85pt;height:0.05pt;width:25.25pt;z-index:-318563328;mso-width-relative:page;mso-height-relative:page;" fillcolor="#FFFFFF" filled="t" stroked="t" coordsize="21600,21600">
                  <v:path arrowok="t"/>
                  <v:fill on="t" color2="#FFFFFF" focussize="0,0"/>
                  <v:stroke weight="0.25pt" color="#000000" endarrow="block"/>
                  <v:imagedata o:title=""/>
                  <o:lock v:ext="edit" aspectratio="f"/>
                </v:line>
              </w:pict>
            </w:r>
            <w:r>
              <w:rPr>
                <w:sz w:val="21"/>
              </w:rPr>
              <w:pict>
                <v:rect id="_x0000_s7651" o:spid="_x0000_s7651" o:spt="1" style="position:absolute;left:0pt;margin-left:191.75pt;margin-top:1.75pt;height:20.8pt;width:46.8pt;z-index:-904930304;mso-width-relative:page;mso-height-relative:page;" fillcolor="#FFFFFF" filled="t" stroked="t" coordsize="21600,21600">
                  <v:path/>
                  <v:fill on="t" color2="#FFFFFF" focussize="0,0"/>
                  <v:stroke weight="0.25pt" color="#000000" joinstyle="miter"/>
                  <v:imagedata o:title=""/>
                  <o:lock v:ext="edit" aspectratio="f"/>
                  <v:textbox>
                    <w:txbxContent>
                      <w:p>
                        <w:pPr>
                          <w:jc w:val="center"/>
                          <w:rPr>
                            <w:rFonts w:hint="eastAsia" w:eastAsia="宋体"/>
                            <w:sz w:val="24"/>
                            <w:szCs w:val="24"/>
                            <w:lang w:eastAsia="zh-CN"/>
                          </w:rPr>
                        </w:pPr>
                        <w:r>
                          <w:rPr>
                            <w:rFonts w:hint="eastAsia"/>
                            <w:sz w:val="24"/>
                            <w:szCs w:val="24"/>
                            <w:lang w:eastAsia="zh-CN"/>
                          </w:rPr>
                          <w:t>烧成</w:t>
                        </w:r>
                      </w:p>
                    </w:txbxContent>
                  </v:textbox>
                </v:rect>
              </w:pict>
            </w:r>
            <w:r>
              <w:rPr>
                <w:sz w:val="21"/>
              </w:rPr>
              <w:pict>
                <v:rect id="_x0000_s7649" o:spid="_x0000_s7649" o:spt="1" style="position:absolute;left:0pt;margin-left:110.75pt;margin-top:1.65pt;height:22.35pt;width:49.65pt;z-index:1820847104;mso-width-relative:page;mso-height-relative:page;" fillcolor="#FFFFFF" filled="t" stroked="t" coordsize="21600,21600">
                  <v:path/>
                  <v:fill on="t" color2="#FFFFFF" focussize="0,0"/>
                  <v:stroke weight="0.25pt" color="#000000" joinstyle="miter"/>
                  <v:imagedata o:title=""/>
                  <o:lock v:ext="edit" aspectratio="f"/>
                  <v:textbox>
                    <w:txbxContent>
                      <w:p>
                        <w:pPr>
                          <w:jc w:val="center"/>
                          <w:rPr>
                            <w:rFonts w:hint="eastAsia" w:eastAsia="宋体"/>
                            <w:sz w:val="24"/>
                            <w:szCs w:val="24"/>
                            <w:lang w:eastAsia="zh-CN"/>
                          </w:rPr>
                        </w:pPr>
                        <w:r>
                          <w:rPr>
                            <w:rFonts w:hint="eastAsia"/>
                            <w:sz w:val="24"/>
                            <w:szCs w:val="24"/>
                            <w:lang w:eastAsia="zh-CN"/>
                          </w:rPr>
                          <w:t>成型</w:t>
                        </w:r>
                      </w:p>
                    </w:txbxContent>
                  </v:textbox>
                </v:rect>
              </w:pict>
            </w:r>
            <w:r>
              <w:rPr>
                <w:sz w:val="21"/>
              </w:rPr>
              <w:pict>
                <v:line id="_x0000_s7656" o:spid="_x0000_s7656" o:spt="20" style="position:absolute;left:0pt;margin-left:82.2pt;margin-top:13pt;height:0.05pt;width:25.25pt;z-index:610506752;mso-width-relative:page;mso-height-relative:page;" fillcolor="#FFFFFF" filled="t" stroked="t" coordsize="21600,21600">
                  <v:path arrowok="t"/>
                  <v:fill on="t" color2="#FFFFFF" focussize="0,0"/>
                  <v:stroke weight="0.25pt" color="#000000" endarrow="block"/>
                  <v:imagedata o:title=""/>
                  <o:lock v:ext="edit" aspectratio="f"/>
                </v:line>
              </w:pict>
            </w:r>
            <w:r>
              <w:rPr>
                <w:sz w:val="21"/>
              </w:rPr>
              <w:pict>
                <v:rect id="_x0000_s7680" o:spid="_x0000_s7680" o:spt="1" style="position:absolute;left:0pt;margin-left:35.45pt;margin-top:2.35pt;height:24.65pt;width:51.85pt;z-index:-1603978240;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造粒粉</w:t>
                        </w:r>
                      </w:p>
                    </w:txbxContent>
                  </v:textbox>
                </v:rect>
              </w:pict>
            </w:r>
          </w:p>
          <w:p>
            <w:pPr>
              <w:pStyle w:val="3"/>
              <w:rPr>
                <w:rFonts w:hint="eastAsia"/>
                <w:color w:val="auto"/>
                <w:kern w:val="0"/>
                <w:sz w:val="24"/>
                <w:szCs w:val="24"/>
                <w:lang w:val="en-US" w:eastAsia="zh-CN"/>
              </w:rPr>
            </w:pPr>
            <w:r>
              <w:rPr>
                <w:sz w:val="21"/>
              </w:rPr>
              <w:pict>
                <v:rect id="_x0000_s7659" o:spid="_x0000_s7659" o:spt="1" style="position:absolute;left:0pt;margin-left:172.95pt;margin-top:22.75pt;height:21.75pt;width:104.6pt;z-index:-1179195392;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天然气燃烧废气</w:t>
                        </w:r>
                      </w:p>
                    </w:txbxContent>
                  </v:textbox>
                </v:rect>
              </w:pict>
            </w:r>
            <w:r>
              <w:rPr>
                <w:sz w:val="21"/>
              </w:rPr>
              <w:pict>
                <v:rect id="_x0000_s7661" o:spid="_x0000_s7661" o:spt="1" style="position:absolute;left:0pt;margin-left:275.5pt;margin-top:22.1pt;height:21.05pt;width:54.9pt;z-index:-1073557504;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sz w:val="24"/>
                            <w:szCs w:val="24"/>
                            <w:lang w:eastAsia="zh-CN"/>
                          </w:rPr>
                        </w:pPr>
                        <w:r>
                          <w:rPr>
                            <w:rFonts w:hint="eastAsia"/>
                            <w:sz w:val="24"/>
                            <w:szCs w:val="24"/>
                            <w:lang w:eastAsia="zh-CN"/>
                          </w:rPr>
                          <w:t>废次品</w:t>
                        </w:r>
                      </w:p>
                    </w:txbxContent>
                  </v:textbox>
                </v:rect>
              </w:pict>
            </w:r>
          </w:p>
          <w:p>
            <w:pPr>
              <w:pStyle w:val="3"/>
              <w:rPr>
                <w:rFonts w:hint="eastAsia"/>
                <w:color w:val="auto"/>
                <w:kern w:val="0"/>
                <w:sz w:val="24"/>
                <w:szCs w:val="24"/>
                <w:lang w:val="en-US" w:eastAsia="zh-CN"/>
              </w:rPr>
            </w:pPr>
          </w:p>
          <w:p>
            <w:pPr>
              <w:pStyle w:val="3"/>
              <w:ind w:left="0" w:leftChars="0" w:firstLine="0" w:firstLineChars="0"/>
              <w:jc w:val="center"/>
              <w:rPr>
                <w:rFonts w:hint="eastAsia"/>
                <w:b/>
                <w:bCs/>
                <w:color w:val="auto"/>
                <w:kern w:val="0"/>
                <w:sz w:val="24"/>
                <w:szCs w:val="24"/>
                <w:lang w:val="en-US" w:eastAsia="zh-CN"/>
              </w:rPr>
            </w:pPr>
            <w:r>
              <w:rPr>
                <w:rFonts w:hint="eastAsia"/>
                <w:b/>
                <w:bCs/>
                <w:color w:val="auto"/>
                <w:kern w:val="0"/>
                <w:sz w:val="24"/>
                <w:szCs w:val="24"/>
                <w:lang w:val="en-US" w:eastAsia="zh-CN"/>
              </w:rPr>
              <w:t>图1-2  干压瓷件工艺流程图</w:t>
            </w:r>
          </w:p>
          <w:p>
            <w:pPr>
              <w:pStyle w:val="3"/>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482" w:firstLineChars="200"/>
              <w:jc w:val="both"/>
              <w:textAlignment w:val="auto"/>
              <w:rPr>
                <w:rFonts w:hint="eastAsia"/>
                <w:b w:val="0"/>
                <w:bCs w:val="0"/>
                <w:color w:val="auto"/>
                <w:kern w:val="0"/>
                <w:sz w:val="24"/>
                <w:szCs w:val="24"/>
                <w:lang w:val="en-US" w:eastAsia="zh-CN"/>
              </w:rPr>
            </w:pPr>
            <w:r>
              <w:rPr>
                <w:rFonts w:hint="eastAsia"/>
                <w:b/>
                <w:bCs/>
                <w:color w:val="auto"/>
                <w:kern w:val="0"/>
                <w:sz w:val="24"/>
                <w:szCs w:val="24"/>
                <w:lang w:val="en-US" w:eastAsia="zh-CN"/>
              </w:rPr>
              <w:t>工艺流程简述</w:t>
            </w:r>
            <w:r>
              <w:rPr>
                <w:rFonts w:hint="eastAsia"/>
                <w:b w:val="0"/>
                <w:bCs w:val="0"/>
                <w:color w:val="auto"/>
                <w:kern w:val="0"/>
                <w:sz w:val="24"/>
                <w:szCs w:val="24"/>
                <w:lang w:val="en-US" w:eastAsia="zh-CN"/>
              </w:rPr>
              <w:t>：将外购的造粒粉干压成型，进入天然气推板窑1500℃烧成，经人工检验后合格即为成品。</w:t>
            </w:r>
          </w:p>
          <w:p>
            <w:pPr>
              <w:pStyle w:val="74"/>
              <w:spacing w:line="360" w:lineRule="auto"/>
              <w:ind w:firstLine="480"/>
              <w:rPr>
                <w:lang w:val="en-US"/>
              </w:rPr>
            </w:pPr>
            <w:r>
              <w:rPr>
                <w:rFonts w:hint="eastAsia"/>
                <w:lang w:val="en-US" w:eastAsia="zh-CN"/>
              </w:rPr>
              <w:t>3</w:t>
            </w:r>
            <w:r>
              <w:rPr>
                <w:rFonts w:hint="eastAsia"/>
                <w:lang w:val="en-US"/>
              </w:rPr>
              <w:t>、企业原有污染情况</w:t>
            </w:r>
          </w:p>
          <w:p>
            <w:pPr>
              <w:spacing w:line="360" w:lineRule="auto"/>
              <w:ind w:firstLine="480" w:firstLineChars="200"/>
              <w:rPr>
                <w:color w:val="000000" w:themeColor="text1"/>
                <w:sz w:val="24"/>
                <w:szCs w:val="22"/>
                <w:lang w:val="en-US"/>
              </w:rPr>
            </w:pPr>
            <w:r>
              <w:rPr>
                <w:rFonts w:hint="eastAsia"/>
                <w:color w:val="auto"/>
                <w:kern w:val="0"/>
                <w:sz w:val="24"/>
                <w:szCs w:val="24"/>
                <w:lang w:val="en-US" w:eastAsia="zh-CN"/>
              </w:rPr>
              <w:t>（1）废气：原有项目使用天然气，产生天然气</w:t>
            </w:r>
            <w:r>
              <w:rPr>
                <w:rFonts w:hint="eastAsia"/>
                <w:color w:val="auto"/>
                <w:kern w:val="0"/>
                <w:sz w:val="24"/>
                <w:szCs w:val="24"/>
                <w:lang w:val="en-US"/>
              </w:rPr>
              <w:t>燃烧废气</w:t>
            </w:r>
            <w:r>
              <w:rPr>
                <w:rFonts w:hint="eastAsia"/>
                <w:color w:val="auto"/>
                <w:kern w:val="0"/>
                <w:sz w:val="24"/>
                <w:szCs w:val="24"/>
                <w:lang w:val="en-US" w:eastAsia="zh-CN"/>
              </w:rPr>
              <w:t>，</w:t>
            </w:r>
            <w:r>
              <w:rPr>
                <w:rFonts w:hint="eastAsia"/>
                <w:color w:val="auto"/>
                <w:kern w:val="0"/>
                <w:sz w:val="24"/>
                <w:szCs w:val="24"/>
                <w:lang w:val="en-US"/>
              </w:rPr>
              <w:t>通过</w:t>
            </w:r>
            <w:r>
              <w:rPr>
                <w:rFonts w:hint="eastAsia"/>
                <w:color w:val="auto"/>
                <w:kern w:val="0"/>
                <w:sz w:val="24"/>
                <w:szCs w:val="24"/>
                <w:lang w:val="en-US" w:eastAsia="zh-CN"/>
              </w:rPr>
              <w:t>10</w:t>
            </w:r>
            <w:r>
              <w:rPr>
                <w:rFonts w:hint="eastAsia"/>
                <w:color w:val="auto"/>
                <w:kern w:val="0"/>
                <w:sz w:val="24"/>
                <w:szCs w:val="24"/>
                <w:lang w:val="en-US"/>
              </w:rPr>
              <w:t>m排气筒排放</w:t>
            </w:r>
            <w:r>
              <w:rPr>
                <w:rFonts w:hint="eastAsia"/>
                <w:color w:val="auto"/>
                <w:kern w:val="0"/>
                <w:sz w:val="24"/>
                <w:szCs w:val="24"/>
                <w:lang w:val="en-US" w:eastAsia="zh-CN"/>
              </w:rPr>
              <w:t>，</w:t>
            </w:r>
            <w:r>
              <w:rPr>
                <w:color w:val="auto"/>
                <w:kern w:val="0"/>
                <w:sz w:val="24"/>
                <w:szCs w:val="24"/>
                <w:lang w:val="en-US"/>
              </w:rPr>
              <w:t>天然气燃烧废气NO</w:t>
            </w:r>
            <w:r>
              <w:rPr>
                <w:color w:val="auto"/>
                <w:kern w:val="0"/>
                <w:sz w:val="24"/>
                <w:szCs w:val="24"/>
                <w:vertAlign w:val="subscript"/>
                <w:lang w:val="en-US"/>
              </w:rPr>
              <w:t>X</w:t>
            </w:r>
            <w:r>
              <w:rPr>
                <w:rFonts w:hint="eastAsia"/>
                <w:color w:val="auto"/>
                <w:kern w:val="0"/>
                <w:sz w:val="24"/>
                <w:szCs w:val="24"/>
                <w:lang w:val="en-US"/>
              </w:rPr>
              <w:t>排放量</w:t>
            </w:r>
            <w:r>
              <w:rPr>
                <w:rFonts w:hint="eastAsia"/>
                <w:color w:val="auto"/>
                <w:kern w:val="0"/>
                <w:sz w:val="24"/>
                <w:szCs w:val="24"/>
                <w:lang w:val="en-US" w:eastAsia="zh-CN"/>
              </w:rPr>
              <w:t>0.528</w:t>
            </w:r>
            <w:r>
              <w:rPr>
                <w:color w:val="auto"/>
                <w:kern w:val="0"/>
                <w:sz w:val="24"/>
                <w:szCs w:val="24"/>
                <w:lang w:val="en-US"/>
              </w:rPr>
              <w:t>t/a 、SO</w:t>
            </w:r>
            <w:r>
              <w:rPr>
                <w:color w:val="auto"/>
                <w:kern w:val="0"/>
                <w:sz w:val="24"/>
                <w:szCs w:val="24"/>
                <w:vertAlign w:val="subscript"/>
                <w:lang w:val="en-US"/>
              </w:rPr>
              <w:t>2</w:t>
            </w:r>
            <w:r>
              <w:rPr>
                <w:rFonts w:hint="eastAsia"/>
                <w:color w:val="auto"/>
                <w:kern w:val="0"/>
                <w:sz w:val="24"/>
                <w:szCs w:val="24"/>
                <w:lang w:val="en-US"/>
              </w:rPr>
              <w:t>排放量</w:t>
            </w:r>
            <w:r>
              <w:rPr>
                <w:rFonts w:hint="eastAsia"/>
                <w:color w:val="auto"/>
                <w:kern w:val="0"/>
                <w:sz w:val="24"/>
                <w:szCs w:val="24"/>
                <w:lang w:val="en-US" w:eastAsia="zh-CN"/>
              </w:rPr>
              <w:t>0.012</w:t>
            </w:r>
            <w:r>
              <w:rPr>
                <w:color w:val="auto"/>
                <w:kern w:val="0"/>
                <w:sz w:val="24"/>
                <w:szCs w:val="24"/>
                <w:lang w:val="en-US"/>
              </w:rPr>
              <w:t xml:space="preserve"> t/a</w:t>
            </w:r>
            <w:r>
              <w:rPr>
                <w:rFonts w:hint="eastAsia"/>
                <w:color w:val="auto"/>
                <w:kern w:val="0"/>
                <w:sz w:val="24"/>
                <w:szCs w:val="24"/>
                <w:lang w:val="en-US"/>
              </w:rPr>
              <w:t>、颗粒物排放量</w:t>
            </w:r>
            <w:r>
              <w:rPr>
                <w:rFonts w:hint="eastAsia"/>
                <w:color w:val="auto"/>
                <w:kern w:val="0"/>
                <w:sz w:val="24"/>
                <w:szCs w:val="24"/>
                <w:lang w:val="en-US" w:eastAsia="zh-CN"/>
              </w:rPr>
              <w:t>0.042</w:t>
            </w:r>
            <w:r>
              <w:rPr>
                <w:color w:val="auto"/>
                <w:kern w:val="0"/>
                <w:sz w:val="24"/>
                <w:szCs w:val="24"/>
                <w:lang w:val="en-US"/>
              </w:rPr>
              <w:t>t/a</w:t>
            </w:r>
            <w:r>
              <w:rPr>
                <w:rFonts w:hint="eastAsia"/>
                <w:color w:val="auto"/>
                <w:kern w:val="0"/>
                <w:sz w:val="24"/>
                <w:szCs w:val="24"/>
                <w:lang w:val="en-US"/>
              </w:rPr>
              <w:t>。</w:t>
            </w:r>
          </w:p>
          <w:p>
            <w:pPr>
              <w:adjustRightInd w:val="0"/>
              <w:snapToGrid w:val="0"/>
              <w:spacing w:line="360" w:lineRule="auto"/>
              <w:ind w:firstLine="480" w:firstLineChars="200"/>
              <w:jc w:val="left"/>
              <w:rPr>
                <w:rFonts w:hint="eastAsia"/>
                <w:sz w:val="24"/>
                <w:szCs w:val="22"/>
              </w:rPr>
            </w:pPr>
            <w:r>
              <w:rPr>
                <w:rFonts w:hint="eastAsia"/>
                <w:color w:val="auto"/>
                <w:kern w:val="0"/>
                <w:sz w:val="24"/>
                <w:szCs w:val="24"/>
                <w:lang w:val="en-US" w:eastAsia="zh-CN"/>
              </w:rPr>
              <w:t>（2）</w:t>
            </w:r>
            <w:r>
              <w:rPr>
                <w:color w:val="auto"/>
                <w:kern w:val="0"/>
                <w:sz w:val="24"/>
                <w:szCs w:val="24"/>
                <w:lang w:val="en-US"/>
              </w:rPr>
              <w:t>废水：员工生活污水</w:t>
            </w:r>
            <w:r>
              <w:rPr>
                <w:rFonts w:hint="eastAsia"/>
                <w:color w:val="auto"/>
                <w:kern w:val="0"/>
                <w:sz w:val="24"/>
                <w:szCs w:val="24"/>
                <w:lang w:val="en-US" w:eastAsia="zh-CN"/>
              </w:rPr>
              <w:t>约144t/a，</w:t>
            </w:r>
            <w:r>
              <w:rPr>
                <w:rFonts w:hint="eastAsia"/>
                <w:color w:val="auto"/>
                <w:kern w:val="0"/>
                <w:sz w:val="24"/>
                <w:szCs w:val="24"/>
                <w:lang w:val="en-US"/>
              </w:rPr>
              <w:t>经化粪池预处理后接入</w:t>
            </w:r>
            <w:r>
              <w:rPr>
                <w:rFonts w:hint="eastAsia"/>
                <w:color w:val="auto"/>
                <w:kern w:val="0"/>
                <w:sz w:val="24"/>
                <w:szCs w:val="24"/>
              </w:rPr>
              <w:t>宜兴市华骐污水处理有限公司</w:t>
            </w:r>
            <w:r>
              <w:rPr>
                <w:color w:val="auto"/>
                <w:kern w:val="0"/>
                <w:sz w:val="24"/>
                <w:szCs w:val="24"/>
                <w:lang w:val="en-US"/>
              </w:rPr>
              <w:t>。</w:t>
            </w:r>
            <w:r>
              <w:rPr>
                <w:rFonts w:hint="eastAsia"/>
                <w:sz w:val="24"/>
                <w:szCs w:val="22"/>
              </w:rPr>
              <w:t>生活污水接管浓度满足《污水综合排放标准》(GB8978-1996)表4三级标准及《污水排入城镇下水道水质标准》(GB/T31962-2015)表1的A级标准。</w:t>
            </w:r>
          </w:p>
          <w:p>
            <w:pPr>
              <w:spacing w:line="360" w:lineRule="auto"/>
              <w:ind w:firstLine="480" w:firstLineChars="200"/>
              <w:rPr>
                <w:color w:val="auto"/>
                <w:kern w:val="0"/>
                <w:sz w:val="24"/>
                <w:szCs w:val="24"/>
                <w:lang w:val="en-US"/>
              </w:rPr>
            </w:pPr>
            <w:r>
              <w:rPr>
                <w:rFonts w:hint="eastAsia"/>
                <w:color w:val="auto"/>
                <w:kern w:val="0"/>
                <w:sz w:val="24"/>
                <w:szCs w:val="24"/>
                <w:lang w:val="en-US" w:eastAsia="zh-CN"/>
              </w:rPr>
              <w:t>（3）</w:t>
            </w:r>
            <w:r>
              <w:rPr>
                <w:color w:val="auto"/>
                <w:kern w:val="0"/>
                <w:sz w:val="24"/>
                <w:szCs w:val="24"/>
                <w:lang w:val="en-US"/>
              </w:rPr>
              <w:t>固废：</w:t>
            </w:r>
            <w:r>
              <w:rPr>
                <w:rFonts w:hint="eastAsia"/>
                <w:color w:val="auto"/>
                <w:kern w:val="0"/>
                <w:sz w:val="24"/>
                <w:szCs w:val="24"/>
                <w:lang w:val="en-US" w:eastAsia="zh-CN"/>
              </w:rPr>
              <w:t>原有</w:t>
            </w:r>
            <w:r>
              <w:rPr>
                <w:color w:val="auto"/>
                <w:kern w:val="0"/>
                <w:sz w:val="24"/>
                <w:szCs w:val="24"/>
                <w:lang w:val="en-US"/>
              </w:rPr>
              <w:t>项目产生的</w:t>
            </w:r>
            <w:r>
              <w:rPr>
                <w:rFonts w:hint="eastAsia"/>
                <w:color w:val="auto"/>
                <w:kern w:val="0"/>
                <w:sz w:val="24"/>
                <w:szCs w:val="24"/>
                <w:lang w:val="en-US"/>
              </w:rPr>
              <w:t>次品</w:t>
            </w:r>
            <w:r>
              <w:rPr>
                <w:rFonts w:hint="eastAsia"/>
                <w:color w:val="auto"/>
                <w:kern w:val="0"/>
                <w:sz w:val="24"/>
                <w:szCs w:val="24"/>
                <w:lang w:val="en-US" w:eastAsia="zh-CN"/>
              </w:rPr>
              <w:t>0.5</w:t>
            </w:r>
            <w:r>
              <w:rPr>
                <w:rFonts w:hint="eastAsia"/>
                <w:color w:val="auto"/>
                <w:kern w:val="0"/>
                <w:sz w:val="24"/>
                <w:szCs w:val="24"/>
                <w:lang w:val="en-US"/>
              </w:rPr>
              <w:t>t/a</w:t>
            </w:r>
            <w:r>
              <w:rPr>
                <w:rFonts w:hint="eastAsia"/>
                <w:color w:val="auto"/>
                <w:kern w:val="0"/>
                <w:sz w:val="24"/>
                <w:szCs w:val="24"/>
                <w:lang w:val="en-US" w:eastAsia="zh-CN"/>
              </w:rPr>
              <w:t>，</w:t>
            </w:r>
            <w:r>
              <w:rPr>
                <w:rFonts w:hint="eastAsia"/>
                <w:kern w:val="0"/>
                <w:sz w:val="24"/>
                <w:szCs w:val="24"/>
                <w:lang w:val="en-US"/>
              </w:rPr>
              <w:t>出售相关单位</w:t>
            </w:r>
            <w:r>
              <w:rPr>
                <w:rFonts w:hint="eastAsia"/>
                <w:color w:val="auto"/>
                <w:kern w:val="0"/>
                <w:sz w:val="24"/>
                <w:szCs w:val="24"/>
                <w:lang w:val="en-US" w:eastAsia="zh-CN"/>
              </w:rPr>
              <w:t>；</w:t>
            </w:r>
            <w:r>
              <w:rPr>
                <w:color w:val="auto"/>
                <w:kern w:val="0"/>
                <w:sz w:val="24"/>
                <w:szCs w:val="24"/>
                <w:lang w:val="en-US"/>
              </w:rPr>
              <w:t>职工生活垃圾由环卫部门统一</w:t>
            </w:r>
            <w:r>
              <w:rPr>
                <w:rFonts w:hint="eastAsia"/>
                <w:color w:val="auto"/>
                <w:kern w:val="0"/>
                <w:sz w:val="24"/>
                <w:szCs w:val="24"/>
                <w:lang w:val="en-US" w:eastAsia="zh-CN"/>
              </w:rPr>
              <w:t>清运</w:t>
            </w:r>
            <w:r>
              <w:rPr>
                <w:color w:val="auto"/>
                <w:kern w:val="0"/>
                <w:sz w:val="24"/>
                <w:szCs w:val="24"/>
                <w:lang w:val="en-US"/>
              </w:rPr>
              <w:t>。</w:t>
            </w:r>
          </w:p>
          <w:p>
            <w:pPr>
              <w:spacing w:line="360" w:lineRule="auto"/>
              <w:ind w:firstLine="480" w:firstLineChars="200"/>
              <w:rPr>
                <w:color w:val="auto"/>
                <w:kern w:val="0"/>
                <w:sz w:val="24"/>
                <w:szCs w:val="24"/>
                <w:lang w:val="en-US"/>
              </w:rPr>
            </w:pPr>
            <w:r>
              <w:rPr>
                <w:rFonts w:hint="eastAsia"/>
                <w:color w:val="auto"/>
                <w:kern w:val="0"/>
                <w:sz w:val="24"/>
                <w:szCs w:val="24"/>
                <w:lang w:val="en-US" w:eastAsia="zh-CN"/>
              </w:rPr>
              <w:t>（4）</w:t>
            </w:r>
            <w:r>
              <w:rPr>
                <w:color w:val="auto"/>
                <w:kern w:val="0"/>
                <w:sz w:val="24"/>
                <w:szCs w:val="24"/>
                <w:lang w:val="en-US"/>
              </w:rPr>
              <w:t>噪声：</w:t>
            </w:r>
            <w:r>
              <w:rPr>
                <w:rFonts w:hint="eastAsia"/>
                <w:color w:val="auto"/>
                <w:kern w:val="0"/>
                <w:sz w:val="24"/>
                <w:szCs w:val="24"/>
                <w:lang w:val="en-US"/>
              </w:rPr>
              <w:t>原</w:t>
            </w:r>
            <w:r>
              <w:rPr>
                <w:color w:val="auto"/>
                <w:kern w:val="0"/>
                <w:sz w:val="24"/>
                <w:szCs w:val="24"/>
                <w:lang w:val="en-US"/>
              </w:rPr>
              <w:t>项目生产过程中设备会产生一定的噪声，主要为生产设备运行噪声，设备噪声经车间、厂房围墙隔声后，厂界噪声达到《工业企业厂界噪声排放标准》(GB12348-2008)表1中</w:t>
            </w:r>
            <w:r>
              <w:rPr>
                <w:rFonts w:hint="eastAsia"/>
                <w:color w:val="auto"/>
                <w:kern w:val="0"/>
                <w:sz w:val="24"/>
                <w:szCs w:val="24"/>
                <w:lang w:val="en-US"/>
              </w:rPr>
              <w:t>3</w:t>
            </w:r>
            <w:r>
              <w:rPr>
                <w:color w:val="auto"/>
                <w:kern w:val="0"/>
                <w:sz w:val="24"/>
                <w:szCs w:val="24"/>
                <w:lang w:val="en-US"/>
              </w:rPr>
              <w:t>类标准。</w:t>
            </w:r>
          </w:p>
          <w:p>
            <w:pPr>
              <w:spacing w:line="360" w:lineRule="auto"/>
              <w:rPr>
                <w:b/>
                <w:kern w:val="0"/>
                <w:szCs w:val="21"/>
                <w:lang w:val="en-US"/>
              </w:rPr>
            </w:pPr>
            <w:r>
              <w:rPr>
                <w:rFonts w:hint="eastAsia"/>
                <w:b/>
                <w:kern w:val="0"/>
                <w:szCs w:val="21"/>
                <w:lang w:val="en-US" w:eastAsia="zh-CN"/>
              </w:rPr>
              <w:t>*</w:t>
            </w:r>
            <w:r>
              <w:rPr>
                <w:rFonts w:hint="eastAsia"/>
                <w:b/>
                <w:kern w:val="0"/>
                <w:szCs w:val="21"/>
                <w:lang w:val="en-US"/>
              </w:rPr>
              <w:t>数据来源：</w:t>
            </w:r>
            <w:r>
              <w:rPr>
                <w:rFonts w:hint="eastAsia"/>
                <w:b/>
                <w:kern w:val="0"/>
                <w:szCs w:val="21"/>
                <w:lang w:val="en-US" w:eastAsia="zh-CN"/>
              </w:rPr>
              <w:t>宜兴市宜桥陶瓷有限公司</w:t>
            </w:r>
            <w:r>
              <w:rPr>
                <w:rFonts w:hint="eastAsia"/>
                <w:b/>
                <w:kern w:val="0"/>
                <w:szCs w:val="21"/>
                <w:lang w:val="en-US"/>
              </w:rPr>
              <w:t>“三个一批”（完善备案一批、整顿规范一批、淘汰关闭一批）违法违规项目清理工作登记。</w:t>
            </w:r>
          </w:p>
          <w:p>
            <w:pPr>
              <w:spacing w:line="360" w:lineRule="auto"/>
              <w:rPr>
                <w:b/>
                <w:color w:val="000000" w:themeColor="text1"/>
                <w:sz w:val="24"/>
              </w:rPr>
            </w:pPr>
            <w:r>
              <w:rPr>
                <w:rFonts w:hint="eastAsia"/>
                <w:b/>
                <w:color w:val="000000" w:themeColor="text1"/>
                <w:sz w:val="24"/>
              </w:rPr>
              <w:t>二</w:t>
            </w:r>
            <w:r>
              <w:rPr>
                <w:b/>
                <w:color w:val="000000" w:themeColor="text1"/>
                <w:sz w:val="24"/>
              </w:rPr>
              <w:t>、存在的主要问题</w:t>
            </w:r>
          </w:p>
          <w:p>
            <w:pPr>
              <w:spacing w:line="360" w:lineRule="auto"/>
              <w:ind w:firstLine="480" w:firstLineChars="200"/>
              <w:rPr>
                <w:rFonts w:hint="default"/>
                <w:color w:val="auto"/>
                <w:kern w:val="0"/>
                <w:sz w:val="24"/>
                <w:szCs w:val="24"/>
                <w:lang w:val="en-US" w:eastAsia="zh-CN"/>
              </w:rPr>
            </w:pPr>
            <w:r>
              <w:rPr>
                <w:rFonts w:hint="eastAsia"/>
                <w:color w:val="auto"/>
                <w:kern w:val="0"/>
                <w:sz w:val="24"/>
                <w:szCs w:val="24"/>
                <w:lang w:val="en-US" w:eastAsia="zh-CN"/>
              </w:rPr>
              <w:t>1、原有项目天然气燃烧废气通过10m排气筒排放，本项目“以新带老”将排气筒增加到15m，废气通过15m排气筒有组织排放。</w:t>
            </w:r>
          </w:p>
          <w:p>
            <w:pPr>
              <w:spacing w:line="360" w:lineRule="auto"/>
              <w:rPr>
                <w:sz w:val="24"/>
                <w:lang w:val="en-US"/>
              </w:rPr>
            </w:pPr>
          </w:p>
          <w:p>
            <w:pPr>
              <w:spacing w:line="360" w:lineRule="auto"/>
              <w:rPr>
                <w:sz w:val="24"/>
                <w:lang w:val="en-US"/>
              </w:rPr>
            </w:pPr>
          </w:p>
          <w:p>
            <w:pPr>
              <w:spacing w:line="360" w:lineRule="auto"/>
              <w:rPr>
                <w:sz w:val="24"/>
                <w:lang w:val="en-US"/>
              </w:rPr>
            </w:pPr>
          </w:p>
          <w:p>
            <w:pPr>
              <w:spacing w:line="360" w:lineRule="auto"/>
              <w:rPr>
                <w:sz w:val="24"/>
                <w:lang w:val="en-US"/>
              </w:rPr>
            </w:pPr>
          </w:p>
          <w:p>
            <w:pPr>
              <w:spacing w:line="360" w:lineRule="auto"/>
              <w:rPr>
                <w:sz w:val="24"/>
                <w:lang w:val="en-US"/>
              </w:rPr>
            </w:pPr>
          </w:p>
        </w:tc>
      </w:tr>
    </w:tbl>
    <w:p>
      <w:p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279473127"/>
      <w:bookmarkStart w:id="11" w:name="_Toc279911129"/>
      <w:bookmarkStart w:id="12" w:name="_Toc289449139"/>
      <w:bookmarkStart w:id="13" w:name="_Toc279277646"/>
    </w:p>
    <w:p>
      <w:pPr>
        <w:pStyle w:val="4"/>
        <w:tabs>
          <w:tab w:val="left" w:pos="4140"/>
        </w:tabs>
        <w:spacing w:line="240" w:lineRule="auto"/>
        <w:jc w:val="both"/>
        <w:rPr>
          <w:bCs w:val="0"/>
          <w:spacing w:val="0"/>
          <w:kern w:val="0"/>
          <w:sz w:val="32"/>
          <w:szCs w:val="32"/>
        </w:rPr>
      </w:pPr>
      <w:bookmarkStart w:id="14" w:name="_Toc367970825"/>
      <w:bookmarkStart w:id="15" w:name="_Toc367970386"/>
      <w:bookmarkStart w:id="16" w:name="_Toc386379874"/>
      <w:bookmarkStart w:id="17" w:name="_Toc367970631"/>
      <w:r>
        <w:rPr>
          <w:bCs w:val="0"/>
          <w:spacing w:val="0"/>
          <w:kern w:val="0"/>
          <w:sz w:val="32"/>
          <w:szCs w:val="32"/>
        </w:rPr>
        <w:t>2</w:t>
      </w:r>
      <w:r>
        <w:rPr>
          <w:rFonts w:hAnsi="宋体"/>
          <w:bCs w:val="0"/>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Style w:val="7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8" w:hRule="atLeast"/>
          <w:jc w:val="center"/>
        </w:trPr>
        <w:tc>
          <w:tcPr>
            <w:tcW w:w="8551" w:type="dxa"/>
            <w:vAlign w:val="center"/>
          </w:tcPr>
          <w:p>
            <w:pPr>
              <w:spacing w:beforeLines="50" w:line="360" w:lineRule="auto"/>
              <w:rPr>
                <w:b/>
                <w:kern w:val="0"/>
                <w:sz w:val="28"/>
                <w:szCs w:val="28"/>
              </w:rPr>
            </w:pPr>
            <w:r>
              <w:rPr>
                <w:rFonts w:hint="eastAsia"/>
                <w:b/>
                <w:kern w:val="0"/>
                <w:sz w:val="28"/>
                <w:szCs w:val="28"/>
              </w:rPr>
              <w:t>一、</w:t>
            </w:r>
            <w:r>
              <w:rPr>
                <w:b/>
                <w:kern w:val="0"/>
                <w:sz w:val="28"/>
                <w:szCs w:val="28"/>
              </w:rPr>
              <w:t xml:space="preserve"> </w:t>
            </w:r>
            <w:r>
              <w:rPr>
                <w:rFonts w:hAnsi="宋体"/>
                <w:b/>
                <w:kern w:val="0"/>
                <w:sz w:val="28"/>
                <w:szCs w:val="28"/>
              </w:rPr>
              <w:t>自然环境简况</w:t>
            </w:r>
          </w:p>
          <w:p>
            <w:pPr>
              <w:spacing w:line="360" w:lineRule="auto"/>
              <w:ind w:firstLine="482" w:firstLineChars="200"/>
              <w:rPr>
                <w:b/>
                <w:kern w:val="0"/>
                <w:sz w:val="24"/>
                <w:szCs w:val="24"/>
              </w:rPr>
            </w:pPr>
            <w:r>
              <w:rPr>
                <w:b/>
                <w:kern w:val="0"/>
                <w:sz w:val="24"/>
                <w:szCs w:val="24"/>
              </w:rPr>
              <w:t>1</w:t>
            </w:r>
            <w:r>
              <w:rPr>
                <w:rFonts w:hint="eastAsia"/>
                <w:b/>
                <w:kern w:val="0"/>
                <w:sz w:val="24"/>
                <w:szCs w:val="24"/>
                <w:lang w:eastAsia="zh-CN"/>
              </w:rPr>
              <w:t>、</w:t>
            </w:r>
            <w:r>
              <w:rPr>
                <w:b/>
                <w:kern w:val="0"/>
                <w:sz w:val="24"/>
                <w:szCs w:val="24"/>
              </w:rPr>
              <w:t xml:space="preserve"> </w:t>
            </w:r>
            <w:r>
              <w:rPr>
                <w:rFonts w:hAnsi="宋体"/>
                <w:b/>
                <w:kern w:val="0"/>
                <w:sz w:val="24"/>
                <w:szCs w:val="24"/>
              </w:rPr>
              <w:t>地理位置</w:t>
            </w:r>
          </w:p>
          <w:p>
            <w:pPr>
              <w:widowControl/>
              <w:spacing w:line="360" w:lineRule="auto"/>
              <w:ind w:firstLine="480" w:firstLineChars="20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pPr>
              <w:widowControl/>
              <w:spacing w:line="360" w:lineRule="auto"/>
              <w:ind w:firstLine="480" w:firstLineChars="200"/>
              <w:rPr>
                <w:kern w:val="0"/>
                <w:sz w:val="24"/>
                <w:szCs w:val="24"/>
                <w:lang w:val="en-US"/>
              </w:rPr>
            </w:pPr>
            <w:r>
              <w:rPr>
                <w:rFonts w:hint="eastAsia"/>
                <w:kern w:val="0"/>
                <w:sz w:val="24"/>
                <w:szCs w:val="24"/>
                <w:lang w:val="en-US"/>
              </w:rPr>
              <w:t>丁蜀镇位于宜兴市的南部，属于长江三角洲经济开发区，东临太湖，西部为天目山的余脉，面积127.50km</w:t>
            </w:r>
            <w:r>
              <w:rPr>
                <w:kern w:val="0"/>
                <w:sz w:val="24"/>
                <w:szCs w:val="24"/>
                <w:vertAlign w:val="superscript"/>
                <w:lang w:val="en-US"/>
              </w:rPr>
              <w:t>2</w:t>
            </w:r>
            <w:r>
              <w:rPr>
                <w:rFonts w:hint="eastAsia"/>
                <w:kern w:val="0"/>
                <w:sz w:val="24"/>
                <w:szCs w:val="24"/>
                <w:lang w:val="en-US"/>
              </w:rPr>
              <w:t>，拥有耕地 2568.27公顷。</w:t>
            </w:r>
          </w:p>
          <w:p>
            <w:pPr>
              <w:widowControl/>
              <w:spacing w:line="360" w:lineRule="auto"/>
              <w:ind w:firstLine="480" w:firstLineChars="200"/>
              <w:rPr>
                <w:rFonts w:hint="eastAsia" w:ascii="Times New Roman" w:hAnsi="Times New Roman" w:cs="Times New Roman"/>
                <w:kern w:val="0"/>
                <w:sz w:val="24"/>
                <w:szCs w:val="24"/>
                <w:lang w:val="en-US"/>
              </w:rPr>
            </w:pPr>
            <w:r>
              <w:rPr>
                <w:rFonts w:hint="eastAsia" w:ascii="Times New Roman" w:hAnsi="Times New Roman" w:cs="Times New Roman"/>
                <w:kern w:val="0"/>
                <w:sz w:val="24"/>
                <w:szCs w:val="24"/>
                <w:lang w:val="en-US"/>
              </w:rPr>
              <w:t>本项目位于</w:t>
            </w:r>
            <w:r>
              <w:rPr>
                <w:rFonts w:hint="eastAsia" w:ascii="Times New Roman" w:hAnsi="Times New Roman" w:cs="Times New Roman"/>
                <w:kern w:val="0"/>
                <w:sz w:val="24"/>
                <w:szCs w:val="24"/>
                <w:lang w:val="en-US" w:eastAsia="zh-CN"/>
              </w:rPr>
              <w:t>宜兴市丁蜀镇查林村</w:t>
            </w:r>
            <w:r>
              <w:rPr>
                <w:rFonts w:hint="eastAsia" w:ascii="Times New Roman" w:hAnsi="Times New Roman" w:cs="Times New Roman"/>
                <w:kern w:val="0"/>
                <w:sz w:val="24"/>
                <w:szCs w:val="24"/>
                <w:lang w:val="en-US"/>
              </w:rPr>
              <w:t>，东</w:t>
            </w:r>
            <w:r>
              <w:rPr>
                <w:rFonts w:hint="eastAsia" w:ascii="Times New Roman" w:hAnsi="Times New Roman" w:cs="Times New Roman"/>
                <w:color w:val="000000" w:themeColor="text1"/>
                <w:kern w:val="0"/>
                <w:sz w:val="24"/>
                <w:szCs w:val="24"/>
                <w:lang w:val="en-US"/>
              </w:rPr>
              <w:t>为</w:t>
            </w:r>
            <w:r>
              <w:rPr>
                <w:rFonts w:hint="eastAsia" w:ascii="Times New Roman" w:hAnsi="Times New Roman" w:cs="Times New Roman"/>
                <w:color w:val="000000" w:themeColor="text1"/>
                <w:kern w:val="0"/>
                <w:sz w:val="24"/>
                <w:szCs w:val="24"/>
                <w:lang w:val="en-US" w:eastAsia="zh-CN"/>
              </w:rPr>
              <w:t>通盛电子</w:t>
            </w:r>
            <w:r>
              <w:rPr>
                <w:rFonts w:hint="eastAsia" w:ascii="Times New Roman" w:hAnsi="Times New Roman" w:cs="Times New Roman"/>
                <w:kern w:val="0"/>
                <w:sz w:val="24"/>
                <w:szCs w:val="24"/>
                <w:lang w:val="en-US"/>
              </w:rPr>
              <w:t>，南为</w:t>
            </w:r>
            <w:r>
              <w:rPr>
                <w:rFonts w:hint="eastAsia" w:ascii="Times New Roman" w:hAnsi="Times New Roman" w:cs="Times New Roman"/>
                <w:kern w:val="0"/>
                <w:sz w:val="24"/>
                <w:szCs w:val="24"/>
                <w:lang w:val="en-US" w:eastAsia="zh-CN"/>
              </w:rPr>
              <w:t>内部道路</w:t>
            </w:r>
            <w:r>
              <w:rPr>
                <w:rFonts w:hint="eastAsia" w:ascii="Times New Roman" w:hAnsi="Times New Roman" w:cs="Times New Roman"/>
                <w:kern w:val="0"/>
                <w:sz w:val="24"/>
                <w:szCs w:val="24"/>
                <w:lang w:val="en-US"/>
              </w:rPr>
              <w:t>，西为</w:t>
            </w:r>
            <w:r>
              <w:rPr>
                <w:rFonts w:hint="eastAsia" w:ascii="Times New Roman" w:hAnsi="Times New Roman" w:cs="Times New Roman"/>
                <w:kern w:val="0"/>
                <w:sz w:val="24"/>
                <w:szCs w:val="24"/>
                <w:lang w:val="en-US" w:eastAsia="zh-CN"/>
              </w:rPr>
              <w:t>中苏</w:t>
            </w:r>
            <w:r>
              <w:rPr>
                <w:rFonts w:hint="eastAsia" w:ascii="Times New Roman" w:hAnsi="Times New Roman" w:cs="Times New Roman"/>
                <w:kern w:val="0"/>
                <w:sz w:val="24"/>
                <w:szCs w:val="24"/>
                <w:lang w:val="en-US"/>
              </w:rPr>
              <w:t>科技，北面为</w:t>
            </w:r>
            <w:r>
              <w:rPr>
                <w:rFonts w:hint="eastAsia" w:ascii="Times New Roman" w:hAnsi="Times New Roman" w:cs="Times New Roman"/>
                <w:kern w:val="0"/>
                <w:sz w:val="24"/>
                <w:szCs w:val="24"/>
                <w:lang w:val="en-US" w:eastAsia="zh-CN"/>
              </w:rPr>
              <w:t>蒋笠涧支流</w:t>
            </w:r>
            <w:r>
              <w:rPr>
                <w:rFonts w:hint="eastAsia" w:ascii="Times New Roman" w:hAnsi="Times New Roman" w:cs="Times New Roman"/>
                <w:kern w:val="0"/>
                <w:sz w:val="24"/>
                <w:szCs w:val="24"/>
                <w:lang w:val="en-US"/>
              </w:rPr>
              <w:t>。</w:t>
            </w:r>
          </w:p>
          <w:p>
            <w:pPr>
              <w:spacing w:line="360" w:lineRule="auto"/>
              <w:ind w:firstLine="482" w:firstLineChars="200"/>
              <w:rPr>
                <w:b/>
                <w:kern w:val="0"/>
                <w:sz w:val="24"/>
                <w:szCs w:val="24"/>
              </w:rPr>
            </w:pPr>
            <w:r>
              <w:rPr>
                <w:b/>
                <w:kern w:val="0"/>
                <w:sz w:val="24"/>
                <w:szCs w:val="24"/>
              </w:rPr>
              <w:t>2</w:t>
            </w:r>
            <w:r>
              <w:rPr>
                <w:rFonts w:hint="eastAsia"/>
                <w:b/>
                <w:kern w:val="0"/>
                <w:sz w:val="24"/>
                <w:szCs w:val="24"/>
                <w:lang w:eastAsia="zh-CN"/>
              </w:rPr>
              <w:t>、</w:t>
            </w:r>
            <w:r>
              <w:rPr>
                <w:rFonts w:hAnsi="宋体"/>
                <w:b/>
                <w:kern w:val="0"/>
                <w:sz w:val="24"/>
                <w:szCs w:val="24"/>
              </w:rPr>
              <w:t>地形、地质、地貌</w:t>
            </w:r>
          </w:p>
          <w:p>
            <w:pPr>
              <w:spacing w:line="360" w:lineRule="auto"/>
              <w:ind w:firstLine="480" w:firstLineChars="200"/>
              <w:textAlignment w:val="baseline"/>
              <w:rPr>
                <w:rFonts w:hAnsi="宋体"/>
                <w:kern w:val="0"/>
                <w:sz w:val="24"/>
                <w:szCs w:val="24"/>
                <w:lang w:val="en-US"/>
              </w:rPr>
            </w:pPr>
            <w:r>
              <w:rPr>
                <w:rFonts w:hint="eastAsia" w:hAnsi="宋体"/>
                <w:kern w:val="0"/>
                <w:sz w:val="24"/>
                <w:szCs w:val="24"/>
                <w:lang w:val="en-US"/>
              </w:rPr>
              <w:t>丁蜀镇地形大部分为平原，在蠡河以东，主要为湖沼平原，地面高程2~3m（黄海高程），由全新统湖积、湖沼而成，岩性为砂质粘土和粘质砂土，夹有淤泥及泥炭层，东南部为丘陵（与浙江接壤部分），为剥露断褶低山，由泥盆系石英砂岩组成，岩性坚硬，故山势雄伟，叠嶂如云。本镇地处扬子板块东南部，地壳厚度32km。宜兴地区地震烈度为7度。</w:t>
            </w:r>
          </w:p>
          <w:p>
            <w:pPr>
              <w:spacing w:line="360" w:lineRule="auto"/>
              <w:ind w:firstLine="482" w:firstLineChars="200"/>
              <w:rPr>
                <w:b/>
                <w:kern w:val="0"/>
                <w:sz w:val="24"/>
                <w:szCs w:val="24"/>
              </w:rPr>
            </w:pPr>
            <w:r>
              <w:rPr>
                <w:b/>
                <w:kern w:val="0"/>
                <w:sz w:val="24"/>
                <w:szCs w:val="24"/>
              </w:rPr>
              <w:t>3</w:t>
            </w:r>
            <w:r>
              <w:rPr>
                <w:rFonts w:hint="eastAsia"/>
                <w:b/>
                <w:kern w:val="0"/>
                <w:sz w:val="24"/>
                <w:szCs w:val="24"/>
                <w:lang w:eastAsia="zh-CN"/>
              </w:rPr>
              <w:t>、</w:t>
            </w:r>
            <w:r>
              <w:rPr>
                <w:rFonts w:hAnsi="宋体"/>
                <w:b/>
                <w:kern w:val="0"/>
                <w:sz w:val="24"/>
                <w:szCs w:val="24"/>
              </w:rPr>
              <w:t>生态</w:t>
            </w:r>
          </w:p>
          <w:p>
            <w:pPr>
              <w:spacing w:line="360" w:lineRule="auto"/>
              <w:ind w:firstLine="480" w:firstLineChars="200"/>
              <w:textAlignment w:val="baseline"/>
              <w:rPr>
                <w:rFonts w:hAnsi="宋体"/>
                <w:kern w:val="0"/>
                <w:sz w:val="24"/>
                <w:szCs w:val="24"/>
                <w:lang w:val="en-US"/>
              </w:rPr>
            </w:pPr>
            <w:r>
              <w:rPr>
                <w:rFonts w:hint="eastAsia" w:hAnsi="宋体"/>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pPr>
              <w:spacing w:line="360" w:lineRule="auto"/>
              <w:ind w:firstLine="482" w:firstLineChars="200"/>
              <w:textAlignment w:val="baseline"/>
              <w:rPr>
                <w:b/>
                <w:sz w:val="24"/>
              </w:rPr>
            </w:pPr>
            <w:r>
              <w:rPr>
                <w:b/>
                <w:sz w:val="24"/>
              </w:rPr>
              <w:t>4</w:t>
            </w:r>
            <w:r>
              <w:rPr>
                <w:rFonts w:hint="eastAsia"/>
                <w:b/>
                <w:sz w:val="24"/>
                <w:lang w:eastAsia="zh-CN"/>
              </w:rPr>
              <w:t>、</w:t>
            </w:r>
            <w:r>
              <w:rPr>
                <w:rFonts w:hAnsi="宋体"/>
                <w:b/>
                <w:sz w:val="24"/>
              </w:rPr>
              <w:t>气候气象特征</w:t>
            </w:r>
          </w:p>
          <w:p>
            <w:pPr>
              <w:spacing w:line="360" w:lineRule="auto"/>
              <w:ind w:firstLine="480" w:firstLineChars="200"/>
              <w:textAlignment w:val="baseline"/>
              <w:rPr>
                <w:kern w:val="0"/>
                <w:sz w:val="24"/>
                <w:szCs w:val="24"/>
                <w:lang w:val="en-US"/>
              </w:rPr>
            </w:pPr>
            <w:r>
              <w:rPr>
                <w:rFonts w:hint="eastAsia" w:hAnsi="宋体"/>
                <w:sz w:val="24"/>
              </w:rPr>
              <w:t>丁蜀镇的主导风向为东南风，春季多东南风，秋冬多西北风。年平均风速 3.1m/s。年平均气温 15.6℃，最高气温为39.7℃，最低气温为-10℃，年平均气压1016.1hPa，年平均降雨量1160mm，年平均相对湿度82%，年平均无霜期239 天，日照时数2092.6小时。历史最高降雨量1817mm，最少降雨量669.9mm。</w:t>
            </w:r>
          </w:p>
          <w:p>
            <w:pPr>
              <w:spacing w:line="360" w:lineRule="auto"/>
              <w:ind w:firstLine="482" w:firstLineChars="200"/>
              <w:textAlignment w:val="baseline"/>
              <w:rPr>
                <w:rFonts w:hAnsi="宋体"/>
                <w:sz w:val="24"/>
              </w:rPr>
            </w:pPr>
            <w:r>
              <w:rPr>
                <w:b/>
                <w:sz w:val="24"/>
              </w:rPr>
              <w:t>5</w:t>
            </w:r>
            <w:r>
              <w:rPr>
                <w:rFonts w:hint="eastAsia"/>
                <w:b/>
                <w:sz w:val="24"/>
                <w:lang w:eastAsia="zh-CN"/>
              </w:rPr>
              <w:t>、</w:t>
            </w:r>
            <w:r>
              <w:rPr>
                <w:rFonts w:hAnsi="宋体"/>
                <w:b/>
                <w:sz w:val="24"/>
              </w:rPr>
              <w:t>水文特征</w:t>
            </w:r>
          </w:p>
          <w:p>
            <w:pPr>
              <w:spacing w:line="360" w:lineRule="auto"/>
              <w:ind w:firstLine="480" w:firstLineChars="200"/>
              <w:textAlignment w:val="baseline"/>
              <w:rPr>
                <w:rFonts w:hAnsi="宋体"/>
                <w:sz w:val="24"/>
              </w:rPr>
            </w:pPr>
            <w:r>
              <w:rPr>
                <w:rFonts w:hint="eastAsia" w:hAnsi="宋体"/>
                <w:sz w:val="24"/>
              </w:rPr>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pPr>
              <w:spacing w:beforeLines="50" w:line="360" w:lineRule="auto"/>
              <w:rPr>
                <w:b/>
                <w:kern w:val="0"/>
                <w:sz w:val="28"/>
                <w:szCs w:val="28"/>
              </w:rPr>
            </w:pPr>
            <w:r>
              <w:rPr>
                <w:rFonts w:hint="eastAsia"/>
                <w:b/>
                <w:kern w:val="0"/>
                <w:sz w:val="28"/>
                <w:szCs w:val="28"/>
              </w:rPr>
              <w:t>二、</w:t>
            </w:r>
            <w:r>
              <w:rPr>
                <w:rFonts w:hAnsi="宋体"/>
                <w:b/>
                <w:kern w:val="0"/>
                <w:sz w:val="28"/>
                <w:szCs w:val="28"/>
              </w:rPr>
              <w:t>社会环境简况</w:t>
            </w:r>
          </w:p>
          <w:p>
            <w:pPr>
              <w:spacing w:line="360" w:lineRule="auto"/>
              <w:ind w:firstLine="482" w:firstLineChars="200"/>
              <w:textAlignment w:val="baseline"/>
              <w:rPr>
                <w:b/>
                <w:sz w:val="24"/>
              </w:rPr>
            </w:pPr>
            <w:r>
              <w:rPr>
                <w:b/>
                <w:sz w:val="24"/>
              </w:rPr>
              <w:t>1</w:t>
            </w:r>
            <w:r>
              <w:rPr>
                <w:rFonts w:hint="eastAsia"/>
                <w:b/>
                <w:sz w:val="24"/>
                <w:lang w:eastAsia="zh-CN"/>
              </w:rPr>
              <w:t>、</w:t>
            </w:r>
            <w:r>
              <w:rPr>
                <w:rFonts w:hAnsi="宋体"/>
                <w:b/>
                <w:sz w:val="24"/>
              </w:rPr>
              <w:t>宜兴市概况</w:t>
            </w:r>
          </w:p>
          <w:p>
            <w:pPr>
              <w:spacing w:line="348" w:lineRule="auto"/>
              <w:ind w:firstLine="480" w:firstLineChars="20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pPr>
              <w:spacing w:line="348" w:lineRule="auto"/>
              <w:ind w:firstLine="480" w:firstLineChars="200"/>
              <w:textAlignment w:val="baseline"/>
              <w:rPr>
                <w:sz w:val="24"/>
                <w:szCs w:val="24"/>
              </w:rPr>
            </w:pPr>
            <w:r>
              <w:rPr>
                <w:rFonts w:hAnsi="宋体"/>
                <w:sz w:val="24"/>
                <w:szCs w:val="24"/>
              </w:rPr>
              <w:t>宜兴是山清水秀的生态宜居城市。境内</w:t>
            </w:r>
            <w:r>
              <w:rPr>
                <w:sz w:val="24"/>
                <w:szCs w:val="24"/>
              </w:rPr>
              <w:t>“</w:t>
            </w:r>
            <w:r>
              <w:rPr>
                <w:rFonts w:hAnsi="宋体"/>
                <w:sz w:val="24"/>
                <w:szCs w:val="24"/>
              </w:rPr>
              <w:t>三山两水五分田</w:t>
            </w:r>
            <w:r>
              <w:rPr>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Pr>
                <w:sz w:val="24"/>
                <w:szCs w:val="24"/>
              </w:rPr>
              <w:t>“</w:t>
            </w:r>
            <w:r>
              <w:rPr>
                <w:rFonts w:hAnsi="宋体"/>
                <w:sz w:val="24"/>
                <w:szCs w:val="24"/>
              </w:rPr>
              <w:t>阳羡山水甲江南</w:t>
            </w:r>
            <w:r>
              <w:rPr>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Pr>
                <w:sz w:val="24"/>
                <w:szCs w:val="24"/>
              </w:rPr>
              <w:t>“</w:t>
            </w:r>
            <w:r>
              <w:rPr>
                <w:rFonts w:hAnsi="宋体"/>
                <w:sz w:val="24"/>
                <w:szCs w:val="24"/>
              </w:rPr>
              <w:t>中国陶都</w:t>
            </w:r>
            <w:r>
              <w:rPr>
                <w:sz w:val="24"/>
                <w:szCs w:val="24"/>
              </w:rPr>
              <w:t>”</w:t>
            </w:r>
            <w:r>
              <w:rPr>
                <w:rFonts w:hAnsi="宋体"/>
                <w:sz w:val="24"/>
                <w:szCs w:val="24"/>
              </w:rPr>
              <w:t>、</w:t>
            </w:r>
            <w:r>
              <w:rPr>
                <w:sz w:val="24"/>
                <w:szCs w:val="24"/>
              </w:rPr>
              <w:t>“</w:t>
            </w:r>
            <w:r>
              <w:rPr>
                <w:rFonts w:hAnsi="宋体"/>
                <w:sz w:val="24"/>
                <w:szCs w:val="24"/>
              </w:rPr>
              <w:t>教授之乡</w:t>
            </w:r>
            <w:r>
              <w:rPr>
                <w:sz w:val="24"/>
                <w:szCs w:val="24"/>
              </w:rPr>
              <w:t>”</w:t>
            </w:r>
            <w:r>
              <w:rPr>
                <w:rFonts w:hAnsi="宋体"/>
                <w:sz w:val="24"/>
                <w:szCs w:val="24"/>
              </w:rPr>
              <w:t>、</w:t>
            </w:r>
            <w:r>
              <w:rPr>
                <w:sz w:val="24"/>
                <w:szCs w:val="24"/>
              </w:rPr>
              <w:t>“</w:t>
            </w:r>
            <w:r>
              <w:rPr>
                <w:rFonts w:hAnsi="宋体"/>
                <w:sz w:val="24"/>
                <w:szCs w:val="24"/>
              </w:rPr>
              <w:t>书画之乡</w:t>
            </w:r>
            <w:r>
              <w:rPr>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Pr>
                <w:sz w:val="24"/>
                <w:szCs w:val="24"/>
              </w:rPr>
              <w:t>“</w:t>
            </w:r>
            <w:r>
              <w:rPr>
                <w:rFonts w:hAnsi="宋体"/>
                <w:sz w:val="24"/>
                <w:szCs w:val="24"/>
              </w:rPr>
              <w:t>两院</w:t>
            </w:r>
            <w:r>
              <w:rPr>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Pr>
                <w:sz w:val="24"/>
                <w:szCs w:val="24"/>
              </w:rPr>
              <w:t>“</w:t>
            </w:r>
            <w:r>
              <w:rPr>
                <w:rFonts w:hAnsi="宋体"/>
                <w:sz w:val="24"/>
                <w:szCs w:val="24"/>
              </w:rPr>
              <w:t>四位一体</w:t>
            </w:r>
            <w:r>
              <w:rPr>
                <w:sz w:val="24"/>
                <w:szCs w:val="24"/>
              </w:rPr>
              <w:t>”</w:t>
            </w:r>
            <w:r>
              <w:rPr>
                <w:rFonts w:hAnsi="宋体"/>
                <w:sz w:val="24"/>
                <w:szCs w:val="24"/>
              </w:rPr>
              <w:t>建设加速推进，</w:t>
            </w:r>
            <w:r>
              <w:rPr>
                <w:sz w:val="24"/>
                <w:szCs w:val="24"/>
              </w:rPr>
              <w:t>“</w:t>
            </w:r>
            <w:r>
              <w:rPr>
                <w:rFonts w:hAnsi="宋体"/>
                <w:sz w:val="24"/>
                <w:szCs w:val="24"/>
              </w:rPr>
              <w:t>十</w:t>
            </w:r>
            <w:r>
              <w:rPr>
                <w:rFonts w:hint="eastAsia" w:hAnsi="宋体"/>
                <w:sz w:val="24"/>
                <w:szCs w:val="24"/>
                <w:lang w:val="en-US"/>
              </w:rPr>
              <w:t>三</w:t>
            </w:r>
            <w:r>
              <w:rPr>
                <w:rFonts w:hAnsi="宋体"/>
                <w:sz w:val="24"/>
                <w:szCs w:val="24"/>
              </w:rPr>
              <w:t>五</w:t>
            </w:r>
            <w:r>
              <w:rPr>
                <w:sz w:val="24"/>
                <w:szCs w:val="24"/>
              </w:rPr>
              <w:t>”</w:t>
            </w:r>
            <w:r>
              <w:rPr>
                <w:rFonts w:hAnsi="宋体"/>
                <w:sz w:val="24"/>
                <w:szCs w:val="24"/>
              </w:rPr>
              <w:t>实现良好开局。</w:t>
            </w:r>
          </w:p>
          <w:p>
            <w:pPr>
              <w:spacing w:line="348" w:lineRule="auto"/>
              <w:ind w:firstLine="482" w:firstLineChars="200"/>
              <w:rPr>
                <w:b/>
                <w:sz w:val="24"/>
              </w:rPr>
            </w:pPr>
            <w:r>
              <w:rPr>
                <w:b/>
                <w:sz w:val="24"/>
              </w:rPr>
              <w:t>2</w:t>
            </w:r>
            <w:r>
              <w:rPr>
                <w:rFonts w:hint="eastAsia"/>
                <w:b/>
                <w:sz w:val="24"/>
                <w:lang w:eastAsia="zh-CN"/>
              </w:rPr>
              <w:t>、</w:t>
            </w:r>
            <w:r>
              <w:rPr>
                <w:rFonts w:hint="eastAsia"/>
                <w:b/>
                <w:sz w:val="24"/>
              </w:rPr>
              <w:t>丁蜀镇概况</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丁蜀镇是全市主要经济模块之一，其发展质态直接影响到全市。丁蜀镇经济总量近80亿元，产业发展以机电、纺织和陶瓷为主，机电、纺织等优势产业经济总量占到全镇的70%。其中在新加坡上市的亨鑫科技有限公司生产的高科技同轴电缆销售业绩全国第一，占据了全国三分之一的市场。林龙电磁线、远航合金材料、电工厂、非金属化工机械厂、中讯数码电子、维多利亚家具等一批非陶瓷规模企业已成为了园区经济的支柱力量。</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丁蜀镇早在1995年就被江苏省列为对外开放工业卫星镇，目前已形成了陶瓷、纺织、机电、化工、轻工、建材、工艺品等富有地方特色、门类齐全的工业体系。流通服务业十分发达，是苏浙皖三省交界处重要的人流、物流交汇中心。 境内蕴藏着丰富的陶瓷原料、石灰石等资源，物产丰富，是典型江南鱼米之乡。</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2012年1月，丁蜀镇黄龙山紫砂泥矿井入选第七批省文物保护单位，成为全国唯一被列入文物保护单位的紫砂泥矿井。</w:t>
            </w:r>
          </w:p>
          <w:p>
            <w:pPr>
              <w:autoSpaceDE w:val="0"/>
              <w:autoSpaceDN w:val="0"/>
              <w:adjustRightInd w:val="0"/>
              <w:spacing w:line="360" w:lineRule="auto"/>
              <w:ind w:firstLine="480" w:firstLineChars="200"/>
              <w:rPr>
                <w:rFonts w:hAnsi="宋体"/>
                <w:sz w:val="24"/>
                <w:lang w:val="zh-CN"/>
              </w:rPr>
            </w:pPr>
            <w:r>
              <w:rPr>
                <w:rFonts w:hint="eastAsia" w:hAnsi="宋体"/>
                <w:sz w:val="24"/>
                <w:lang w:val="en-US"/>
              </w:rPr>
              <w:t>2019年年底，丁蜀镇区域205平方千米，辖行政村28个、社区17个，总人口148201人。全年财政总收入14.23亿元，财政可支配收入5.17亿元，比上年增长10.47%。应税销售收入287.61亿元，比上年增长24.8%。其中:工业189.45亿元，比上年增长4.64%;流通44.19亿元，比上年增长7%。工业利税总额12.03亿元，比上年增长2.73%;工业利润总额8.93亿元，比上年增长14.63%。全社会固定资产投资54.68亿元，其中工业32.15亿元、 服务业22.53亿元。全年粮食总产量2.21万吨，农业总产值26.09亿元，农民年人均可支配收入30525元。</w:t>
            </w:r>
          </w:p>
          <w:p>
            <w:pPr>
              <w:spacing w:line="348" w:lineRule="auto"/>
              <w:ind w:firstLine="482" w:firstLineChars="200"/>
              <w:rPr>
                <w:b/>
                <w:sz w:val="24"/>
                <w:szCs w:val="24"/>
              </w:rPr>
            </w:pPr>
            <w:r>
              <w:rPr>
                <w:b/>
                <w:sz w:val="24"/>
              </w:rPr>
              <w:t>3</w:t>
            </w:r>
            <w:r>
              <w:rPr>
                <w:rFonts w:hint="eastAsia"/>
                <w:b/>
                <w:sz w:val="24"/>
                <w:lang w:eastAsia="zh-CN"/>
              </w:rPr>
              <w:t>、</w:t>
            </w:r>
            <w:r>
              <w:rPr>
                <w:rFonts w:hint="eastAsia" w:hAnsi="宋体"/>
                <w:b/>
                <w:sz w:val="24"/>
                <w:szCs w:val="24"/>
              </w:rPr>
              <w:t>宜兴市华骐污水处理有限公司</w:t>
            </w:r>
            <w:r>
              <w:rPr>
                <w:rFonts w:hAnsi="宋体"/>
                <w:b/>
                <w:sz w:val="24"/>
                <w:szCs w:val="24"/>
              </w:rPr>
              <w:t>概况</w:t>
            </w:r>
          </w:p>
          <w:p>
            <w:pPr>
              <w:spacing w:line="348" w:lineRule="auto"/>
              <w:ind w:firstLine="480" w:firstLineChars="200"/>
              <w:textAlignment w:val="baseline"/>
              <w:rPr>
                <w:lang w:val="en-US"/>
              </w:rPr>
            </w:pPr>
            <w:r>
              <w:rPr>
                <w:rFonts w:hint="eastAsia" w:hAnsi="宋体"/>
                <w:sz w:val="24"/>
              </w:rPr>
              <w:t>宜兴市华骐污水处理有限公司（宜兴市丁蜀污水处理厂）</w:t>
            </w:r>
            <w:r>
              <w:rPr>
                <w:rFonts w:hAnsi="宋体"/>
                <w:sz w:val="24"/>
              </w:rPr>
              <w:t>成立于20</w:t>
            </w:r>
            <w:r>
              <w:rPr>
                <w:rFonts w:hint="eastAsia" w:hAnsi="宋体"/>
                <w:sz w:val="24"/>
              </w:rPr>
              <w:t>06</w:t>
            </w:r>
            <w:r>
              <w:rPr>
                <w:rFonts w:hAnsi="宋体"/>
                <w:sz w:val="24"/>
              </w:rPr>
              <w:t>年，位于丁蜀镇蠡河路、青云河交叉口的东北侧，</w:t>
            </w:r>
            <w:r>
              <w:rPr>
                <w:rFonts w:hint="eastAsia" w:hAnsi="宋体"/>
                <w:sz w:val="24"/>
              </w:rPr>
              <w:t>总占地面积13800m</w:t>
            </w:r>
            <w:r>
              <w:rPr>
                <w:rFonts w:hint="eastAsia" w:hAnsi="宋体"/>
                <w:sz w:val="24"/>
                <w:vertAlign w:val="superscript"/>
              </w:rPr>
              <w:t>2</w:t>
            </w:r>
            <w:r>
              <w:rPr>
                <w:rFonts w:hAnsi="宋体"/>
                <w:sz w:val="24"/>
              </w:rPr>
              <w:t>。建设规模为2.5万t/d，项目总投资概算6000万元，其中一期一阶段（1万t/d）项目于2009年10月通过三同时验收，二阶段（1.5万t/d）项目于2012年2月通过</w:t>
            </w:r>
            <w:r>
              <w:rPr>
                <w:rFonts w:hint="eastAsia" w:hAnsi="宋体"/>
                <w:sz w:val="24"/>
              </w:rPr>
              <w:t>“</w:t>
            </w:r>
            <w:r>
              <w:rPr>
                <w:rFonts w:hAnsi="宋体"/>
                <w:sz w:val="24"/>
              </w:rPr>
              <w:t>三同时</w:t>
            </w:r>
            <w:r>
              <w:rPr>
                <w:rFonts w:hint="eastAsia" w:hAnsi="宋体"/>
                <w:sz w:val="24"/>
              </w:rPr>
              <w:t>”</w:t>
            </w:r>
            <w:r>
              <w:rPr>
                <w:rFonts w:hAnsi="宋体"/>
                <w:sz w:val="24"/>
              </w:rPr>
              <w:t>验收。</w:t>
            </w:r>
            <w:r>
              <w:rPr>
                <w:rFonts w:hint="eastAsia" w:hAnsi="宋体"/>
                <w:sz w:val="24"/>
              </w:rPr>
              <w:t>另于2016年</w:t>
            </w:r>
            <w:r>
              <w:rPr>
                <w:rFonts w:hAnsi="宋体"/>
                <w:sz w:val="24"/>
              </w:rPr>
              <w:t>建设3万t/d活性污泥法作为污水处理主体工艺（二级处理）</w:t>
            </w:r>
            <w:r>
              <w:rPr>
                <w:rFonts w:hint="eastAsia" w:hAnsi="宋体"/>
                <w:sz w:val="24"/>
              </w:rPr>
              <w:t>，</w:t>
            </w:r>
            <w:r>
              <w:rPr>
                <w:rFonts w:hAnsi="宋体"/>
                <w:sz w:val="24"/>
              </w:rPr>
              <w:t>利用现有一期二阶段1.5万t/d生物滤池法处理设施作为本项目深度处理工艺（三级处理）</w:t>
            </w:r>
            <w:r>
              <w:rPr>
                <w:rFonts w:hint="eastAsia" w:hAnsi="宋体"/>
                <w:sz w:val="24"/>
              </w:rPr>
              <w:t>，</w:t>
            </w:r>
            <w:r>
              <w:rPr>
                <w:rFonts w:hAnsi="宋体"/>
                <w:sz w:val="24"/>
              </w:rPr>
              <w:t>保持现有一期一阶段1万t/d生物滤池闲置停运</w:t>
            </w:r>
            <w:r>
              <w:rPr>
                <w:rFonts w:hint="eastAsia" w:hAnsi="宋体"/>
                <w:sz w:val="24"/>
              </w:rPr>
              <w:t>，待将来排放标准进一步提高时，可对其改造使用，</w:t>
            </w:r>
            <w:r>
              <w:rPr>
                <w:rFonts w:hAnsi="宋体"/>
                <w:sz w:val="24"/>
              </w:rPr>
              <w:t>3万t/d活性污泥</w:t>
            </w:r>
            <w:r>
              <w:rPr>
                <w:rFonts w:hint="eastAsia" w:hAnsi="宋体"/>
                <w:sz w:val="24"/>
              </w:rPr>
              <w:t>法</w:t>
            </w:r>
            <w:r>
              <w:rPr>
                <w:rFonts w:hAnsi="宋体"/>
                <w:sz w:val="24"/>
              </w:rPr>
              <w:t>（二级处理）、1.5万t/d生物滤池（三级处理）于201</w:t>
            </w:r>
            <w:r>
              <w:rPr>
                <w:rFonts w:hint="eastAsia" w:hAnsi="宋体"/>
                <w:sz w:val="24"/>
              </w:rPr>
              <w:t>8</w:t>
            </w:r>
            <w:r>
              <w:rPr>
                <w:rFonts w:hAnsi="宋体"/>
                <w:sz w:val="24"/>
              </w:rPr>
              <w:t>年</w:t>
            </w:r>
            <w:r>
              <w:rPr>
                <w:rFonts w:hint="eastAsia" w:hAnsi="宋体"/>
                <w:sz w:val="24"/>
              </w:rPr>
              <w:t>3</w:t>
            </w:r>
            <w:r>
              <w:rPr>
                <w:rFonts w:hAnsi="宋体"/>
                <w:sz w:val="24"/>
              </w:rPr>
              <w:t>月通过竣工环境保护验收</w:t>
            </w:r>
            <w:r>
              <w:rPr>
                <w:rFonts w:hint="eastAsia" w:hAnsi="宋体"/>
                <w:sz w:val="24"/>
              </w:rPr>
              <w:t>，</w:t>
            </w:r>
            <w:r>
              <w:rPr>
                <w:rFonts w:hAnsi="宋体"/>
                <w:sz w:val="24"/>
              </w:rPr>
              <w:t>目前实际处理量约2</w:t>
            </w:r>
            <w:r>
              <w:rPr>
                <w:rFonts w:hint="eastAsia" w:hAnsi="宋体"/>
                <w:sz w:val="24"/>
              </w:rPr>
              <w:t>.8</w:t>
            </w:r>
            <w:r>
              <w:rPr>
                <w:rFonts w:hAnsi="宋体"/>
                <w:sz w:val="24"/>
              </w:rPr>
              <w:t>万t/d。污水收集范围覆盖丁蜀城区及陶瓷产业园区，在处理城市生活污水的同时，处理工业污水。污水处理工艺采用活性污泥法＋生物滤池组合工艺处理污水，污水厂尾水排放执行《城镇污水处理厂污染物排放标准》（GB 18918-2002）中规定的一级标准的A标准及《太湖地区城镇污水处理厂及重点工业行业主要水污染物排放限值》</w:t>
            </w:r>
            <w:r>
              <w:rPr>
                <w:rFonts w:hint="eastAsia" w:hAnsi="宋体"/>
                <w:sz w:val="24"/>
              </w:rPr>
              <w:t>表2</w:t>
            </w:r>
            <w:r>
              <w:rPr>
                <w:rFonts w:hAnsi="宋体"/>
                <w:sz w:val="24"/>
              </w:rPr>
              <w:t>的排放限值，处理工艺流程如图所示。</w:t>
            </w:r>
          </w:p>
          <w:p>
            <w:pPr>
              <w:spacing w:line="348" w:lineRule="auto"/>
              <w:ind w:firstLine="420" w:firstLineChars="200"/>
              <w:textAlignment w:val="baseline"/>
              <w:rPr>
                <w:rFonts w:hAnsi="宋体"/>
                <w:sz w:val="24"/>
                <w:lang w:val="zh-CN"/>
              </w:rPr>
            </w:pPr>
            <w:r>
              <w:rPr>
                <w:lang w:val="en-US"/>
              </w:rPr>
              <w:drawing>
                <wp:inline distT="0" distB="0" distL="0" distR="0">
                  <wp:extent cx="4845050" cy="3714115"/>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0" cstate="print"/>
                          <a:srcRect/>
                          <a:stretch>
                            <a:fillRect/>
                          </a:stretch>
                        </pic:blipFill>
                        <pic:spPr>
                          <a:xfrm>
                            <a:off x="0" y="0"/>
                            <a:ext cx="4845949" cy="3714750"/>
                          </a:xfrm>
                          <a:prstGeom prst="rect">
                            <a:avLst/>
                          </a:prstGeom>
                          <a:noFill/>
                          <a:ln w="9525">
                            <a:noFill/>
                            <a:miter lim="800000"/>
                            <a:headEnd/>
                            <a:tailEnd/>
                          </a:ln>
                        </pic:spPr>
                      </pic:pic>
                    </a:graphicData>
                  </a:graphic>
                </wp:inline>
              </w:drawing>
            </w:r>
          </w:p>
          <w:p>
            <w:pPr>
              <w:spacing w:line="348" w:lineRule="auto"/>
              <w:jc w:val="center"/>
              <w:textAlignment w:val="baseline"/>
              <w:rPr>
                <w:rFonts w:hAnsi="宋体"/>
                <w:b/>
                <w:szCs w:val="21"/>
                <w:lang w:val="zh-CN"/>
              </w:rPr>
            </w:pPr>
            <w:r>
              <w:rPr>
                <w:rFonts w:hint="eastAsia" w:hAnsi="宋体"/>
                <w:b/>
                <w:szCs w:val="21"/>
                <w:lang w:val="zh-CN"/>
              </w:rPr>
              <w:t>图2-1宜兴市华骐污水处理有限公司工艺流程框图</w:t>
            </w:r>
          </w:p>
          <w:p>
            <w:pPr>
              <w:pStyle w:val="4"/>
              <w:keepNext/>
              <w:keepLines w:val="0"/>
              <w:pageBreakBefore w:val="0"/>
              <w:widowControl/>
              <w:kinsoku/>
              <w:wordWrap/>
              <w:overflowPunct/>
              <w:topLinePunct w:val="0"/>
              <w:autoSpaceDE/>
              <w:autoSpaceDN/>
              <w:bidi w:val="0"/>
              <w:adjustRightInd w:val="0"/>
              <w:snapToGrid w:val="0"/>
              <w:ind w:firstLine="464" w:firstLineChars="200"/>
              <w:jc w:val="left"/>
              <w:textAlignment w:val="auto"/>
              <w:rPr>
                <w:rFonts w:hint="eastAsia" w:hAnsi="宋体"/>
                <w:b w:val="0"/>
                <w:bCs w:val="0"/>
                <w:sz w:val="24"/>
                <w:lang w:val="zh-CN"/>
              </w:rPr>
            </w:pPr>
            <w:r>
              <w:rPr>
                <w:rFonts w:hint="eastAsia" w:hAnsi="宋体"/>
                <w:b w:val="0"/>
                <w:bCs w:val="0"/>
                <w:sz w:val="24"/>
                <w:lang w:val="zh-CN"/>
              </w:rPr>
              <w:t>根据</w:t>
            </w:r>
            <w:r>
              <w:rPr>
                <w:rFonts w:hint="eastAsia" w:hAnsi="宋体"/>
                <w:b w:val="0"/>
                <w:bCs w:val="0"/>
                <w:sz w:val="24"/>
                <w:lang w:val="en-US"/>
              </w:rPr>
              <w:t>宜兴市华骐污水处理有限公司</w:t>
            </w:r>
            <w:r>
              <w:rPr>
                <w:rFonts w:hint="eastAsia" w:hAnsi="宋体"/>
                <w:b w:val="0"/>
                <w:bCs w:val="0"/>
                <w:sz w:val="24"/>
                <w:lang w:val="zh-CN"/>
              </w:rPr>
              <w:t>在线监测监控数据平台</w:t>
            </w:r>
            <w:r>
              <w:rPr>
                <w:rFonts w:hint="eastAsia" w:hAnsi="宋体"/>
                <w:b w:val="0"/>
                <w:bCs w:val="0"/>
                <w:sz w:val="24"/>
                <w:szCs w:val="22"/>
                <w:lang w:val="zh-CN"/>
              </w:rPr>
              <w:t>，</w:t>
            </w:r>
            <w:r>
              <w:rPr>
                <w:rFonts w:hint="eastAsia" w:hAnsi="宋体"/>
                <w:b w:val="0"/>
                <w:bCs w:val="0"/>
                <w:sz w:val="24"/>
                <w:lang w:val="zh-CN"/>
              </w:rPr>
              <w:t>出水水质能稳定达到《太湖地区城镇污水处理厂及重点工业行业主要水污染物排放限值》（</w:t>
            </w:r>
            <w:r>
              <w:rPr>
                <w:rFonts w:hAnsi="宋体"/>
                <w:b w:val="0"/>
                <w:bCs w:val="0"/>
                <w:sz w:val="24"/>
                <w:lang w:val="zh-CN"/>
              </w:rPr>
              <w:t>DB32/1072-20</w:t>
            </w:r>
            <w:r>
              <w:rPr>
                <w:rFonts w:hAnsi="宋体"/>
                <w:b w:val="0"/>
                <w:bCs w:val="0"/>
                <w:sz w:val="24"/>
              </w:rPr>
              <w:t>18</w:t>
            </w:r>
            <w:r>
              <w:rPr>
                <w:rFonts w:hint="eastAsia" w:hAnsi="宋体"/>
                <w:b w:val="0"/>
                <w:bCs w:val="0"/>
                <w:sz w:val="24"/>
                <w:lang w:val="zh-CN"/>
              </w:rPr>
              <w:t>）表</w:t>
            </w:r>
            <w:r>
              <w:rPr>
                <w:rFonts w:hAnsi="宋体"/>
                <w:b w:val="0"/>
                <w:bCs w:val="0"/>
                <w:sz w:val="24"/>
              </w:rPr>
              <w:t>2</w:t>
            </w:r>
            <w:r>
              <w:rPr>
                <w:rFonts w:hint="eastAsia" w:hAnsi="宋体"/>
                <w:b w:val="0"/>
                <w:bCs w:val="0"/>
                <w:sz w:val="24"/>
              </w:rPr>
              <w:t>标准及《</w:t>
            </w:r>
            <w:r>
              <w:rPr>
                <w:rFonts w:hint="eastAsia" w:hAnsi="宋体"/>
                <w:b w:val="0"/>
                <w:bCs w:val="0"/>
                <w:sz w:val="24"/>
                <w:lang w:val="zh-CN"/>
              </w:rPr>
              <w:t>城镇污水处理厂污染物排放标准》（</w:t>
            </w:r>
            <w:r>
              <w:rPr>
                <w:rFonts w:hAnsi="宋体"/>
                <w:b w:val="0"/>
                <w:bCs w:val="0"/>
                <w:sz w:val="24"/>
                <w:lang w:val="zh-CN"/>
              </w:rPr>
              <w:t>GB8978-1996</w:t>
            </w:r>
            <w:r>
              <w:rPr>
                <w:rFonts w:hint="eastAsia" w:hAnsi="宋体"/>
                <w:b w:val="0"/>
                <w:bCs w:val="0"/>
                <w:sz w:val="24"/>
                <w:lang w:val="zh-CN"/>
              </w:rPr>
              <w:t>）一级</w:t>
            </w:r>
            <w:r>
              <w:rPr>
                <w:rFonts w:hAnsi="宋体"/>
                <w:b w:val="0"/>
                <w:bCs w:val="0"/>
                <w:sz w:val="24"/>
                <w:lang w:val="zh-CN"/>
              </w:rPr>
              <w:t>A</w:t>
            </w:r>
            <w:r>
              <w:rPr>
                <w:rFonts w:hint="eastAsia" w:hAnsi="宋体"/>
                <w:b w:val="0"/>
                <w:bCs w:val="0"/>
                <w:sz w:val="24"/>
                <w:lang w:val="zh-CN"/>
              </w:rPr>
              <w:t>标准，污水现有工程运行良好，</w:t>
            </w:r>
            <w:r>
              <w:rPr>
                <w:rFonts w:hint="eastAsia" w:hAnsi="宋体"/>
                <w:b w:val="0"/>
                <w:bCs w:val="0"/>
                <w:sz w:val="24"/>
                <w:lang w:val="en-US"/>
              </w:rPr>
              <w:t>宜兴市华骐污水处理有限公司</w:t>
            </w:r>
            <w:r>
              <w:rPr>
                <w:rFonts w:hint="eastAsia" w:hAnsi="宋体"/>
                <w:b w:val="0"/>
                <w:bCs w:val="0"/>
                <w:sz w:val="24"/>
                <w:lang w:val="zh-CN"/>
              </w:rPr>
              <w:t>出水水质情况见表</w:t>
            </w:r>
            <w:r>
              <w:rPr>
                <w:rFonts w:hAnsi="宋体"/>
                <w:b w:val="0"/>
                <w:bCs w:val="0"/>
                <w:sz w:val="24"/>
                <w:lang w:val="en-US"/>
              </w:rPr>
              <w:t>2-1</w:t>
            </w:r>
            <w:r>
              <w:rPr>
                <w:rFonts w:hint="eastAsia" w:hAnsi="宋体"/>
                <w:b w:val="0"/>
                <w:bCs w:val="0"/>
                <w:sz w:val="24"/>
                <w:lang w:val="zh-CN"/>
              </w:rPr>
              <w:t>。</w:t>
            </w:r>
          </w:p>
          <w:p>
            <w:pPr>
              <w:pStyle w:val="4"/>
              <w:widowControl/>
              <w:adjustRightInd w:val="0"/>
              <w:spacing w:line="240" w:lineRule="auto"/>
              <w:outlineLvl w:val="0"/>
              <w:rPr>
                <w:rFonts w:hint="eastAsia" w:hAnsi="宋体"/>
                <w:color w:val="auto"/>
                <w:sz w:val="24"/>
                <w:lang w:val="zh-CN"/>
              </w:rPr>
            </w:pPr>
            <w:bookmarkStart w:id="18" w:name="_Toc23886"/>
            <w:r>
              <w:rPr>
                <w:rFonts w:hint="eastAsia" w:hAnsi="宋体"/>
                <w:sz w:val="24"/>
                <w:szCs w:val="22"/>
                <w:lang w:val="zh-CN"/>
              </w:rPr>
              <w:t>表</w:t>
            </w:r>
            <w:r>
              <w:rPr>
                <w:rFonts w:hint="eastAsia" w:hAnsi="宋体"/>
                <w:color w:val="auto"/>
                <w:sz w:val="24"/>
                <w:szCs w:val="22"/>
              </w:rPr>
              <w:t xml:space="preserve">2-1 </w:t>
            </w:r>
            <w:bookmarkEnd w:id="18"/>
            <w:r>
              <w:rPr>
                <w:rFonts w:hint="eastAsia" w:ascii="Times New Roman" w:hAnsi="宋体" w:cs="Times New Roman"/>
                <w:color w:val="auto"/>
                <w:sz w:val="24"/>
                <w:szCs w:val="22"/>
                <w:lang w:val="en-US"/>
              </w:rPr>
              <w:t xml:space="preserve"> 宜兴市华骐污水处理有限公司</w:t>
            </w:r>
            <w:r>
              <w:rPr>
                <w:rFonts w:hint="eastAsia" w:ascii="Times New Roman" w:hAnsi="宋体" w:cs="Times New Roman"/>
                <w:color w:val="auto"/>
                <w:sz w:val="24"/>
                <w:szCs w:val="22"/>
                <w:lang w:val="zh-CN"/>
              </w:rPr>
              <w:t>出水水质情况表</w:t>
            </w:r>
            <w:r>
              <w:rPr>
                <w:rFonts w:hint="eastAsia" w:ascii="Times New Roman" w:hAnsi="宋体" w:cs="Times New Roman"/>
                <w:color w:val="auto"/>
                <w:sz w:val="24"/>
                <w:szCs w:val="22"/>
              </w:rPr>
              <w:t xml:space="preserve"> </w:t>
            </w:r>
            <w:r>
              <w:rPr>
                <w:rFonts w:hint="eastAsia" w:hAnsi="宋体"/>
                <w:color w:val="auto"/>
                <w:sz w:val="24"/>
              </w:rPr>
              <w:t xml:space="preserve"> </w:t>
            </w:r>
            <w:r>
              <w:rPr>
                <w:rFonts w:hint="eastAsia" w:hAnsi="宋体"/>
                <w:color w:val="auto"/>
                <w:sz w:val="24"/>
                <w:lang w:val="zh-CN"/>
              </w:rPr>
              <w:t>单位：</w:t>
            </w:r>
            <w:r>
              <w:rPr>
                <w:rFonts w:hint="eastAsia" w:hAnsi="宋体"/>
                <w:color w:val="auto"/>
                <w:sz w:val="24"/>
              </w:rPr>
              <w:t>mg/L（pH除外）</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82"/>
              <w:gridCol w:w="1168"/>
              <w:gridCol w:w="1100"/>
              <w:gridCol w:w="1099"/>
              <w:gridCol w:w="1277"/>
              <w:gridCol w:w="923"/>
              <w:gridCol w:w="12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2" w:type="dxa"/>
                  <w:noWrap w:val="0"/>
                  <w:vAlign w:val="center"/>
                </w:tcPr>
                <w:p>
                  <w:pPr>
                    <w:jc w:val="center"/>
                    <w:rPr>
                      <w:b/>
                      <w:color w:val="auto"/>
                      <w:sz w:val="21"/>
                      <w:szCs w:val="21"/>
                    </w:rPr>
                  </w:pPr>
                  <w:r>
                    <w:rPr>
                      <w:rFonts w:hint="eastAsia" w:hAnsi="宋体"/>
                      <w:b/>
                      <w:color w:val="auto"/>
                      <w:sz w:val="21"/>
                      <w:szCs w:val="21"/>
                    </w:rPr>
                    <w:t>监控</w:t>
                  </w:r>
                  <w:r>
                    <w:rPr>
                      <w:rFonts w:hAnsi="宋体"/>
                      <w:b/>
                      <w:color w:val="auto"/>
                      <w:sz w:val="21"/>
                      <w:szCs w:val="21"/>
                    </w:rPr>
                    <w:t>点位</w:t>
                  </w:r>
                </w:p>
              </w:tc>
              <w:tc>
                <w:tcPr>
                  <w:tcW w:w="1168" w:type="dxa"/>
                  <w:noWrap w:val="0"/>
                  <w:vAlign w:val="center"/>
                </w:tcPr>
                <w:p>
                  <w:pPr>
                    <w:jc w:val="center"/>
                    <w:rPr>
                      <w:b/>
                      <w:color w:val="auto"/>
                      <w:sz w:val="21"/>
                      <w:szCs w:val="21"/>
                    </w:rPr>
                  </w:pPr>
                  <w:r>
                    <w:rPr>
                      <w:rFonts w:hint="eastAsia" w:hAnsi="宋体"/>
                      <w:b/>
                      <w:color w:val="auto"/>
                      <w:sz w:val="21"/>
                      <w:szCs w:val="21"/>
                    </w:rPr>
                    <w:t>监控</w:t>
                  </w:r>
                  <w:r>
                    <w:rPr>
                      <w:rFonts w:hAnsi="宋体"/>
                      <w:b/>
                      <w:color w:val="auto"/>
                      <w:sz w:val="21"/>
                      <w:szCs w:val="21"/>
                    </w:rPr>
                    <w:t>时间</w:t>
                  </w:r>
                </w:p>
              </w:tc>
              <w:tc>
                <w:tcPr>
                  <w:tcW w:w="1100" w:type="dxa"/>
                  <w:noWrap w:val="0"/>
                  <w:vAlign w:val="center"/>
                </w:tcPr>
                <w:p>
                  <w:pPr>
                    <w:jc w:val="center"/>
                    <w:rPr>
                      <w:b/>
                      <w:color w:val="auto"/>
                      <w:sz w:val="21"/>
                      <w:szCs w:val="21"/>
                    </w:rPr>
                  </w:pPr>
                  <w:r>
                    <w:rPr>
                      <w:b/>
                      <w:color w:val="auto"/>
                      <w:sz w:val="21"/>
                      <w:szCs w:val="21"/>
                    </w:rPr>
                    <w:t>pH</w:t>
                  </w:r>
                </w:p>
              </w:tc>
              <w:tc>
                <w:tcPr>
                  <w:tcW w:w="1099" w:type="dxa"/>
                  <w:noWrap w:val="0"/>
                  <w:vAlign w:val="center"/>
                </w:tcPr>
                <w:p>
                  <w:pPr>
                    <w:jc w:val="center"/>
                    <w:rPr>
                      <w:b/>
                      <w:color w:val="auto"/>
                      <w:sz w:val="21"/>
                      <w:szCs w:val="21"/>
                    </w:rPr>
                  </w:pPr>
                  <w:r>
                    <w:rPr>
                      <w:b/>
                      <w:color w:val="auto"/>
                      <w:sz w:val="21"/>
                      <w:szCs w:val="21"/>
                    </w:rPr>
                    <w:t>COD</w:t>
                  </w:r>
                </w:p>
              </w:tc>
              <w:tc>
                <w:tcPr>
                  <w:tcW w:w="1277" w:type="dxa"/>
                  <w:noWrap w:val="0"/>
                  <w:vAlign w:val="center"/>
                </w:tcPr>
                <w:p>
                  <w:pPr>
                    <w:jc w:val="center"/>
                    <w:rPr>
                      <w:b/>
                      <w:color w:val="auto"/>
                      <w:sz w:val="21"/>
                      <w:szCs w:val="21"/>
                    </w:rPr>
                  </w:pPr>
                  <w:r>
                    <w:rPr>
                      <w:b/>
                      <w:color w:val="auto"/>
                      <w:sz w:val="21"/>
                      <w:szCs w:val="21"/>
                    </w:rPr>
                    <w:t>NH</w:t>
                  </w:r>
                  <w:r>
                    <w:rPr>
                      <w:b/>
                      <w:color w:val="auto"/>
                      <w:sz w:val="21"/>
                      <w:szCs w:val="21"/>
                      <w:vertAlign w:val="subscript"/>
                    </w:rPr>
                    <w:t>3</w:t>
                  </w:r>
                  <w:r>
                    <w:rPr>
                      <w:b/>
                      <w:color w:val="auto"/>
                      <w:sz w:val="21"/>
                      <w:szCs w:val="21"/>
                    </w:rPr>
                    <w:t>-N</w:t>
                  </w:r>
                </w:p>
              </w:tc>
              <w:tc>
                <w:tcPr>
                  <w:tcW w:w="923" w:type="dxa"/>
                  <w:noWrap w:val="0"/>
                  <w:vAlign w:val="center"/>
                </w:tcPr>
                <w:p>
                  <w:pPr>
                    <w:jc w:val="center"/>
                    <w:rPr>
                      <w:b/>
                      <w:color w:val="auto"/>
                      <w:sz w:val="21"/>
                      <w:szCs w:val="21"/>
                    </w:rPr>
                  </w:pPr>
                  <w:r>
                    <w:rPr>
                      <w:b/>
                      <w:color w:val="auto"/>
                      <w:sz w:val="21"/>
                      <w:szCs w:val="21"/>
                    </w:rPr>
                    <w:t>TP</w:t>
                  </w:r>
                </w:p>
              </w:tc>
              <w:tc>
                <w:tcPr>
                  <w:tcW w:w="1264" w:type="dxa"/>
                  <w:noWrap w:val="0"/>
                  <w:vAlign w:val="center"/>
                </w:tcPr>
                <w:p>
                  <w:pPr>
                    <w:jc w:val="center"/>
                    <w:rPr>
                      <w:b/>
                      <w:color w:val="auto"/>
                      <w:sz w:val="21"/>
                      <w:szCs w:val="21"/>
                    </w:rPr>
                  </w:pPr>
                  <w:r>
                    <w:rPr>
                      <w:rFonts w:hint="eastAsia" w:hAnsi="宋体"/>
                      <w:b/>
                      <w:color w:val="auto"/>
                      <w:sz w:val="21"/>
                      <w:szCs w:val="21"/>
                    </w:rPr>
                    <w:t>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82" w:type="dxa"/>
                  <w:noWrap w:val="0"/>
                  <w:vAlign w:val="center"/>
                </w:tcPr>
                <w:p>
                  <w:pPr>
                    <w:jc w:val="center"/>
                    <w:rPr>
                      <w:rFonts w:hint="eastAsia"/>
                      <w:color w:val="auto"/>
                      <w:sz w:val="21"/>
                      <w:szCs w:val="21"/>
                    </w:rPr>
                  </w:pPr>
                  <w:r>
                    <w:rPr>
                      <w:rFonts w:hint="eastAsia" w:hAnsi="宋体"/>
                      <w:color w:val="auto"/>
                      <w:sz w:val="21"/>
                      <w:szCs w:val="21"/>
                    </w:rPr>
                    <w:t>总排口</w:t>
                  </w:r>
                </w:p>
              </w:tc>
              <w:tc>
                <w:tcPr>
                  <w:tcW w:w="1168" w:type="dxa"/>
                  <w:noWrap w:val="0"/>
                  <w:vAlign w:val="center"/>
                </w:tcPr>
                <w:p>
                  <w:pPr>
                    <w:jc w:val="center"/>
                    <w:rPr>
                      <w:rFonts w:hint="default" w:eastAsia="宋体"/>
                      <w:color w:val="auto"/>
                      <w:sz w:val="21"/>
                      <w:szCs w:val="21"/>
                      <w:lang w:val="en-US" w:eastAsia="zh-CN"/>
                    </w:rPr>
                  </w:pPr>
                  <w:r>
                    <w:rPr>
                      <w:rFonts w:hint="eastAsia"/>
                      <w:color w:val="auto"/>
                      <w:sz w:val="21"/>
                      <w:szCs w:val="21"/>
                    </w:rPr>
                    <w:t>2020.</w:t>
                  </w:r>
                  <w:r>
                    <w:rPr>
                      <w:rFonts w:hint="eastAsia"/>
                      <w:color w:val="auto"/>
                      <w:sz w:val="21"/>
                      <w:szCs w:val="21"/>
                      <w:lang w:val="en-US" w:eastAsia="zh-CN"/>
                    </w:rPr>
                    <w:t>8.10</w:t>
                  </w:r>
                  <w:r>
                    <w:rPr>
                      <w:rFonts w:hint="eastAsia"/>
                      <w:color w:val="auto"/>
                      <w:sz w:val="21"/>
                      <w:szCs w:val="21"/>
                    </w:rPr>
                    <w:t>-2020.</w:t>
                  </w:r>
                  <w:r>
                    <w:rPr>
                      <w:rFonts w:hint="eastAsia"/>
                      <w:color w:val="auto"/>
                      <w:sz w:val="21"/>
                      <w:szCs w:val="21"/>
                      <w:lang w:val="en-US" w:eastAsia="zh-CN"/>
                    </w:rPr>
                    <w:t>8.16</w:t>
                  </w:r>
                </w:p>
              </w:tc>
              <w:tc>
                <w:tcPr>
                  <w:tcW w:w="1100"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6.70</w:t>
                  </w:r>
                </w:p>
              </w:tc>
              <w:tc>
                <w:tcPr>
                  <w:tcW w:w="1099"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9.62</w:t>
                  </w:r>
                </w:p>
              </w:tc>
              <w:tc>
                <w:tcPr>
                  <w:tcW w:w="1277"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0.18</w:t>
                  </w:r>
                </w:p>
              </w:tc>
              <w:tc>
                <w:tcPr>
                  <w:tcW w:w="923"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0.275</w:t>
                  </w:r>
                </w:p>
              </w:tc>
              <w:tc>
                <w:tcPr>
                  <w:tcW w:w="1264" w:type="dxa"/>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8.38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2650" w:type="dxa"/>
                  <w:gridSpan w:val="2"/>
                  <w:noWrap w:val="0"/>
                  <w:vAlign w:val="center"/>
                </w:tcPr>
                <w:p>
                  <w:pPr>
                    <w:jc w:val="center"/>
                    <w:rPr>
                      <w:color w:val="auto"/>
                      <w:sz w:val="21"/>
                      <w:szCs w:val="21"/>
                    </w:rPr>
                  </w:pPr>
                  <w:r>
                    <w:rPr>
                      <w:rFonts w:ascii="宋体" w:hAnsi="宋体"/>
                      <w:color w:val="auto"/>
                      <w:sz w:val="21"/>
                      <w:szCs w:val="21"/>
                    </w:rPr>
                    <w:t>Ⅲ</w:t>
                  </w:r>
                  <w:r>
                    <w:rPr>
                      <w:rFonts w:hAnsi="宋体"/>
                      <w:color w:val="auto"/>
                      <w:sz w:val="21"/>
                      <w:szCs w:val="21"/>
                    </w:rPr>
                    <w:t>类标准值</w:t>
                  </w:r>
                </w:p>
              </w:tc>
              <w:tc>
                <w:tcPr>
                  <w:tcW w:w="1100" w:type="dxa"/>
                  <w:noWrap w:val="0"/>
                  <w:vAlign w:val="center"/>
                </w:tcPr>
                <w:p>
                  <w:pPr>
                    <w:jc w:val="center"/>
                    <w:rPr>
                      <w:color w:val="auto"/>
                      <w:sz w:val="21"/>
                      <w:szCs w:val="21"/>
                    </w:rPr>
                  </w:pPr>
                  <w:r>
                    <w:rPr>
                      <w:color w:val="auto"/>
                      <w:sz w:val="21"/>
                      <w:szCs w:val="21"/>
                    </w:rPr>
                    <w:t>6-9</w:t>
                  </w:r>
                </w:p>
              </w:tc>
              <w:tc>
                <w:tcPr>
                  <w:tcW w:w="1099" w:type="dxa"/>
                  <w:noWrap w:val="0"/>
                  <w:vAlign w:val="center"/>
                </w:tcPr>
                <w:p>
                  <w:pPr>
                    <w:jc w:val="center"/>
                    <w:rPr>
                      <w:color w:val="auto"/>
                      <w:sz w:val="21"/>
                      <w:szCs w:val="21"/>
                    </w:rPr>
                  </w:pPr>
                  <w:r>
                    <w:rPr>
                      <w:color w:val="auto"/>
                      <w:sz w:val="21"/>
                      <w:szCs w:val="21"/>
                    </w:rPr>
                    <w:t>≤</w:t>
                  </w:r>
                  <w:r>
                    <w:rPr>
                      <w:rFonts w:hint="eastAsia"/>
                      <w:color w:val="auto"/>
                      <w:sz w:val="21"/>
                      <w:szCs w:val="21"/>
                    </w:rPr>
                    <w:t>50</w:t>
                  </w:r>
                </w:p>
              </w:tc>
              <w:tc>
                <w:tcPr>
                  <w:tcW w:w="1277" w:type="dxa"/>
                  <w:noWrap w:val="0"/>
                  <w:vAlign w:val="center"/>
                </w:tcPr>
                <w:p>
                  <w:pPr>
                    <w:jc w:val="center"/>
                    <w:rPr>
                      <w:rFonts w:hint="eastAsia"/>
                      <w:color w:val="auto"/>
                      <w:sz w:val="21"/>
                      <w:szCs w:val="21"/>
                    </w:rPr>
                  </w:pPr>
                  <w:r>
                    <w:rPr>
                      <w:color w:val="auto"/>
                      <w:sz w:val="21"/>
                      <w:szCs w:val="21"/>
                    </w:rPr>
                    <w:t>≤</w:t>
                  </w:r>
                  <w:r>
                    <w:rPr>
                      <w:rFonts w:hint="eastAsia"/>
                      <w:color w:val="auto"/>
                      <w:sz w:val="21"/>
                      <w:szCs w:val="21"/>
                    </w:rPr>
                    <w:t>4（6）</w:t>
                  </w:r>
                </w:p>
              </w:tc>
              <w:tc>
                <w:tcPr>
                  <w:tcW w:w="923" w:type="dxa"/>
                  <w:noWrap w:val="0"/>
                  <w:vAlign w:val="center"/>
                </w:tcPr>
                <w:p>
                  <w:pPr>
                    <w:jc w:val="center"/>
                    <w:rPr>
                      <w:rFonts w:hint="eastAsia"/>
                      <w:color w:val="auto"/>
                      <w:sz w:val="21"/>
                      <w:szCs w:val="21"/>
                    </w:rPr>
                  </w:pPr>
                  <w:r>
                    <w:rPr>
                      <w:color w:val="auto"/>
                      <w:sz w:val="21"/>
                      <w:szCs w:val="21"/>
                    </w:rPr>
                    <w:t>≤0.</w:t>
                  </w:r>
                  <w:r>
                    <w:rPr>
                      <w:rFonts w:hint="eastAsia"/>
                      <w:color w:val="auto"/>
                      <w:sz w:val="21"/>
                      <w:szCs w:val="21"/>
                    </w:rPr>
                    <w:t>5</w:t>
                  </w:r>
                </w:p>
              </w:tc>
              <w:tc>
                <w:tcPr>
                  <w:tcW w:w="1264" w:type="dxa"/>
                  <w:noWrap w:val="0"/>
                  <w:vAlign w:val="center"/>
                </w:tcPr>
                <w:p>
                  <w:pPr>
                    <w:jc w:val="center"/>
                    <w:rPr>
                      <w:color w:val="auto"/>
                      <w:sz w:val="21"/>
                      <w:szCs w:val="21"/>
                    </w:rPr>
                  </w:pPr>
                  <w:r>
                    <w:rPr>
                      <w:color w:val="auto"/>
                      <w:sz w:val="21"/>
                      <w:szCs w:val="21"/>
                    </w:rPr>
                    <w:t>≤</w:t>
                  </w:r>
                  <w:r>
                    <w:rPr>
                      <w:rFonts w:hint="eastAsia"/>
                      <w:color w:val="auto"/>
                      <w:sz w:val="21"/>
                      <w:szCs w:val="21"/>
                    </w:rPr>
                    <w:t>（12）15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2650" w:type="dxa"/>
                  <w:gridSpan w:val="2"/>
                  <w:noWrap w:val="0"/>
                  <w:vAlign w:val="center"/>
                </w:tcPr>
                <w:p>
                  <w:pPr>
                    <w:jc w:val="center"/>
                    <w:rPr>
                      <w:rFonts w:ascii="宋体" w:hAnsi="宋体"/>
                      <w:color w:val="auto"/>
                      <w:sz w:val="21"/>
                      <w:szCs w:val="21"/>
                    </w:rPr>
                  </w:pPr>
                  <w:r>
                    <w:rPr>
                      <w:rFonts w:hint="eastAsia" w:hAnsi="宋体"/>
                      <w:color w:val="auto"/>
                      <w:sz w:val="21"/>
                      <w:szCs w:val="21"/>
                    </w:rPr>
                    <w:t>达标情况</w:t>
                  </w:r>
                </w:p>
              </w:tc>
              <w:tc>
                <w:tcPr>
                  <w:tcW w:w="1100" w:type="dxa"/>
                  <w:noWrap w:val="0"/>
                  <w:vAlign w:val="center"/>
                </w:tcPr>
                <w:p>
                  <w:pPr>
                    <w:jc w:val="center"/>
                    <w:rPr>
                      <w:rFonts w:hint="eastAsia"/>
                      <w:color w:val="auto"/>
                      <w:sz w:val="21"/>
                      <w:szCs w:val="21"/>
                    </w:rPr>
                  </w:pPr>
                  <w:r>
                    <w:rPr>
                      <w:rFonts w:hint="eastAsia"/>
                      <w:color w:val="auto"/>
                      <w:sz w:val="21"/>
                      <w:szCs w:val="21"/>
                    </w:rPr>
                    <w:t>达标</w:t>
                  </w:r>
                </w:p>
              </w:tc>
              <w:tc>
                <w:tcPr>
                  <w:tcW w:w="1099" w:type="dxa"/>
                  <w:noWrap w:val="0"/>
                  <w:vAlign w:val="center"/>
                </w:tcPr>
                <w:p>
                  <w:pPr>
                    <w:jc w:val="center"/>
                    <w:rPr>
                      <w:rFonts w:hint="eastAsia"/>
                      <w:color w:val="auto"/>
                      <w:sz w:val="21"/>
                      <w:szCs w:val="21"/>
                    </w:rPr>
                  </w:pPr>
                  <w:r>
                    <w:rPr>
                      <w:rFonts w:hint="eastAsia"/>
                      <w:color w:val="auto"/>
                      <w:sz w:val="21"/>
                      <w:szCs w:val="21"/>
                    </w:rPr>
                    <w:t>达标</w:t>
                  </w:r>
                </w:p>
              </w:tc>
              <w:tc>
                <w:tcPr>
                  <w:tcW w:w="1277" w:type="dxa"/>
                  <w:noWrap w:val="0"/>
                  <w:vAlign w:val="center"/>
                </w:tcPr>
                <w:p>
                  <w:pPr>
                    <w:jc w:val="center"/>
                    <w:rPr>
                      <w:rFonts w:hint="eastAsia"/>
                      <w:color w:val="auto"/>
                      <w:sz w:val="21"/>
                      <w:szCs w:val="21"/>
                    </w:rPr>
                  </w:pPr>
                  <w:r>
                    <w:rPr>
                      <w:rFonts w:hint="eastAsia"/>
                      <w:color w:val="auto"/>
                      <w:sz w:val="21"/>
                      <w:szCs w:val="21"/>
                    </w:rPr>
                    <w:t>达标</w:t>
                  </w:r>
                </w:p>
              </w:tc>
              <w:tc>
                <w:tcPr>
                  <w:tcW w:w="923" w:type="dxa"/>
                  <w:noWrap w:val="0"/>
                  <w:vAlign w:val="center"/>
                </w:tcPr>
                <w:p>
                  <w:pPr>
                    <w:jc w:val="center"/>
                    <w:rPr>
                      <w:rFonts w:hint="eastAsia"/>
                      <w:color w:val="auto"/>
                      <w:sz w:val="21"/>
                      <w:szCs w:val="21"/>
                    </w:rPr>
                  </w:pPr>
                  <w:r>
                    <w:rPr>
                      <w:rFonts w:hint="eastAsia"/>
                      <w:color w:val="auto"/>
                      <w:sz w:val="21"/>
                      <w:szCs w:val="21"/>
                    </w:rPr>
                    <w:t>达标</w:t>
                  </w:r>
                </w:p>
              </w:tc>
              <w:tc>
                <w:tcPr>
                  <w:tcW w:w="1264" w:type="dxa"/>
                  <w:noWrap w:val="0"/>
                  <w:vAlign w:val="center"/>
                </w:tcPr>
                <w:p>
                  <w:pPr>
                    <w:jc w:val="center"/>
                    <w:rPr>
                      <w:rFonts w:hint="eastAsia"/>
                      <w:color w:val="auto"/>
                      <w:sz w:val="21"/>
                      <w:szCs w:val="21"/>
                    </w:rPr>
                  </w:pPr>
                  <w:r>
                    <w:rPr>
                      <w:rFonts w:hint="eastAsia"/>
                      <w:color w:val="auto"/>
                      <w:sz w:val="21"/>
                      <w:szCs w:val="21"/>
                    </w:rPr>
                    <w:t>达标</w:t>
                  </w:r>
                </w:p>
              </w:tc>
            </w:tr>
          </w:tbl>
          <w:p>
            <w:pPr>
              <w:spacing w:line="348" w:lineRule="auto"/>
              <w:textAlignment w:val="baseline"/>
              <w:rPr>
                <w:rFonts w:hAnsi="宋体"/>
                <w:b/>
                <w:szCs w:val="21"/>
                <w:lang w:val="zh-CN"/>
              </w:rPr>
            </w:pPr>
            <w:r>
              <w:rPr>
                <w:rFonts w:hAnsi="宋体"/>
                <w:b/>
                <w:sz w:val="18"/>
                <w:szCs w:val="18"/>
              </w:rPr>
              <w:t>注：括号外数值为水温＞</w:t>
            </w:r>
            <w:r>
              <w:rPr>
                <w:b/>
                <w:sz w:val="18"/>
                <w:szCs w:val="18"/>
              </w:rPr>
              <w:t>12</w:t>
            </w:r>
            <w:r>
              <w:rPr>
                <w:rFonts w:ascii="宋体" w:hAnsi="宋体"/>
                <w:b/>
                <w:sz w:val="18"/>
                <w:szCs w:val="18"/>
              </w:rPr>
              <w:t>℃</w:t>
            </w:r>
            <w:r>
              <w:rPr>
                <w:rFonts w:hAnsi="宋体"/>
                <w:b/>
                <w:sz w:val="18"/>
                <w:szCs w:val="18"/>
              </w:rPr>
              <w:t>时的控制指标，括号内数值为水温</w:t>
            </w:r>
            <w:r>
              <w:rPr>
                <w:b/>
                <w:sz w:val="18"/>
                <w:szCs w:val="18"/>
              </w:rPr>
              <w:t>≤12</w:t>
            </w:r>
            <w:r>
              <w:rPr>
                <w:rFonts w:ascii="宋体" w:hAnsi="宋体"/>
                <w:b/>
                <w:sz w:val="18"/>
                <w:szCs w:val="18"/>
              </w:rPr>
              <w:t>℃</w:t>
            </w:r>
            <w:r>
              <w:rPr>
                <w:rFonts w:hAnsi="宋体"/>
                <w:b/>
                <w:sz w:val="18"/>
                <w:szCs w:val="18"/>
              </w:rPr>
              <w:t>时的控制指标。</w:t>
            </w: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19" w:name="_Toc294082154"/>
      <w:bookmarkStart w:id="20" w:name="_Toc367970387"/>
      <w:bookmarkStart w:id="21" w:name="_Toc367970632"/>
      <w:bookmarkStart w:id="22" w:name="_Toc303260175"/>
      <w:bookmarkStart w:id="23" w:name="_Toc367970826"/>
    </w:p>
    <w:p>
      <w:pPr>
        <w:pStyle w:val="4"/>
        <w:spacing w:line="240" w:lineRule="auto"/>
        <w:jc w:val="both"/>
        <w:rPr>
          <w:bCs w:val="0"/>
          <w:spacing w:val="0"/>
          <w:kern w:val="0"/>
          <w:sz w:val="32"/>
          <w:szCs w:val="32"/>
        </w:rPr>
      </w:pPr>
      <w:bookmarkStart w:id="24" w:name="_Toc386379875"/>
      <w:r>
        <w:rPr>
          <w:bCs w:val="0"/>
          <w:spacing w:val="0"/>
          <w:kern w:val="0"/>
          <w:sz w:val="32"/>
          <w:szCs w:val="32"/>
        </w:rPr>
        <w:t>3</w:t>
      </w:r>
      <w:r>
        <w:rPr>
          <w:rFonts w:hAnsi="宋体"/>
          <w:bCs w:val="0"/>
          <w:spacing w:val="0"/>
          <w:kern w:val="0"/>
          <w:sz w:val="32"/>
          <w:szCs w:val="32"/>
        </w:rPr>
        <w:t>、环境质量状况</w:t>
      </w:r>
      <w:bookmarkEnd w:id="19"/>
      <w:bookmarkEnd w:id="20"/>
      <w:bookmarkEnd w:id="21"/>
      <w:bookmarkEnd w:id="22"/>
      <w:bookmarkEnd w:id="23"/>
      <w:bookmarkEnd w:id="24"/>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541" w:type="dxa"/>
          </w:tcPr>
          <w:p>
            <w:pPr>
              <w:spacing w:beforeLines="50" w:line="360" w:lineRule="auto"/>
              <w:rPr>
                <w:b/>
                <w:kern w:val="0"/>
                <w:sz w:val="24"/>
                <w:szCs w:val="24"/>
              </w:rPr>
            </w:pPr>
            <w:r>
              <w:rPr>
                <w:rFonts w:hint="eastAsia" w:hAnsi="宋体"/>
                <w:b/>
                <w:kern w:val="0"/>
                <w:sz w:val="24"/>
                <w:szCs w:val="24"/>
              </w:rPr>
              <w:t>一、</w:t>
            </w:r>
            <w:r>
              <w:rPr>
                <w:rFonts w:hAnsi="宋体"/>
                <w:b/>
                <w:kern w:val="0"/>
                <w:sz w:val="24"/>
                <w:szCs w:val="24"/>
              </w:rPr>
              <w:t>建设项目所在地区域环境质量现状及主要环境问题（环境空气、地面水、地下水、声环境、生态环境等）：</w:t>
            </w:r>
          </w:p>
          <w:p>
            <w:pPr>
              <w:spacing w:line="360" w:lineRule="auto"/>
              <w:ind w:firstLine="482" w:firstLineChars="200"/>
              <w:rPr>
                <w:b/>
                <w:sz w:val="24"/>
              </w:rPr>
            </w:pPr>
            <w:r>
              <w:rPr>
                <w:b/>
                <w:sz w:val="24"/>
              </w:rPr>
              <w:t>1</w:t>
            </w:r>
            <w:r>
              <w:rPr>
                <w:rFonts w:hAnsi="宋体"/>
                <w:b/>
                <w:sz w:val="24"/>
              </w:rPr>
              <w:t>、</w:t>
            </w:r>
            <w:r>
              <w:rPr>
                <w:rFonts w:hint="eastAsia" w:hAnsi="宋体"/>
                <w:b/>
                <w:sz w:val="24"/>
              </w:rPr>
              <w:t>大气</w:t>
            </w:r>
            <w:r>
              <w:rPr>
                <w:rFonts w:hAnsi="宋体"/>
                <w:b/>
                <w:sz w:val="24"/>
              </w:rPr>
              <w:t>环境</w:t>
            </w:r>
          </w:p>
          <w:p>
            <w:pPr>
              <w:spacing w:line="360" w:lineRule="auto"/>
              <w:ind w:firstLine="480" w:firstLineChars="200"/>
              <w:rPr>
                <w:sz w:val="24"/>
                <w:szCs w:val="21"/>
              </w:rPr>
            </w:pPr>
            <w:r>
              <w:rPr>
                <w:sz w:val="24"/>
                <w:szCs w:val="21"/>
              </w:rPr>
              <w:t>根据</w:t>
            </w:r>
            <w:r>
              <w:rPr>
                <w:rFonts w:hint="eastAsia"/>
                <w:sz w:val="24"/>
                <w:szCs w:val="21"/>
              </w:rPr>
              <w:t>无锡市宜兴生态环境局</w:t>
            </w:r>
            <w:r>
              <w:rPr>
                <w:sz w:val="24"/>
                <w:szCs w:val="21"/>
              </w:rPr>
              <w:t>20</w:t>
            </w:r>
            <w:r>
              <w:rPr>
                <w:rFonts w:hint="eastAsia"/>
                <w:sz w:val="24"/>
                <w:szCs w:val="21"/>
              </w:rPr>
              <w:t>20</w:t>
            </w:r>
            <w:r>
              <w:rPr>
                <w:sz w:val="24"/>
                <w:szCs w:val="21"/>
              </w:rPr>
              <w:t>年3月</w:t>
            </w:r>
            <w:r>
              <w:rPr>
                <w:rFonts w:hint="eastAsia"/>
                <w:sz w:val="24"/>
                <w:szCs w:val="21"/>
              </w:rPr>
              <w:t>31</w:t>
            </w:r>
            <w:r>
              <w:rPr>
                <w:sz w:val="24"/>
                <w:szCs w:val="21"/>
              </w:rPr>
              <w:t>日公布的《201</w:t>
            </w:r>
            <w:r>
              <w:rPr>
                <w:rFonts w:hint="eastAsia"/>
                <w:sz w:val="24"/>
                <w:szCs w:val="21"/>
              </w:rPr>
              <w:t>9</w:t>
            </w:r>
            <w:r>
              <w:rPr>
                <w:sz w:val="24"/>
                <w:szCs w:val="21"/>
              </w:rPr>
              <w:t>年度宜兴市环境状况公报》，</w:t>
            </w:r>
            <w:r>
              <w:rPr>
                <w:rFonts w:hint="eastAsia"/>
                <w:sz w:val="24"/>
                <w:szCs w:val="21"/>
              </w:rPr>
              <w:t>2</w:t>
            </w:r>
            <w:r>
              <w:rPr>
                <w:sz w:val="24"/>
                <w:szCs w:val="21"/>
              </w:rPr>
              <w:t>019年按五局大院和宜园2个空气自动站实况进行统计，宜兴城区二氧化硫浓度年均值为12微克/立方米；二氧化氮浓度年均值为31微克/立方米；可吸入颗粒物（PM10）浓度年均值为57微克/立方米，细颗粒物（PM2.5）浓度年均值为37微克/立方米，一氧化碳（CO）浓度年均值为1.8毫克/立方米，臭氧（O3）8小时浓度年均值为159微克/立方米。</w:t>
            </w:r>
          </w:p>
          <w:p>
            <w:pPr>
              <w:spacing w:line="360" w:lineRule="auto"/>
              <w:ind w:firstLine="480" w:firstLineChars="200"/>
              <w:rPr>
                <w:rFonts w:hint="eastAsia" w:eastAsia="宋体"/>
                <w:sz w:val="24"/>
                <w:szCs w:val="21"/>
                <w:lang w:eastAsia="zh-CN"/>
              </w:rPr>
            </w:pPr>
            <w:r>
              <w:rPr>
                <w:sz w:val="24"/>
                <w:szCs w:val="21"/>
              </w:rPr>
              <w:t>2019年两站有效监测天数为365天，其中优良天数为301天，空气质量指数（AQI）达标率为82.5%</w:t>
            </w:r>
            <w:r>
              <w:rPr>
                <w:rFonts w:hint="eastAsia"/>
                <w:sz w:val="24"/>
                <w:szCs w:val="21"/>
                <w:lang w:eastAsia="zh-CN"/>
              </w:rPr>
              <w:t>。</w:t>
            </w:r>
          </w:p>
          <w:p>
            <w:pPr>
              <w:spacing w:line="360" w:lineRule="auto"/>
              <w:ind w:firstLine="480" w:firstLineChars="200"/>
              <w:rPr>
                <w:rFonts w:asciiTheme="minorEastAsia" w:hAnsiTheme="minorEastAsia" w:eastAsiaTheme="minorEastAsia"/>
                <w:sz w:val="24"/>
                <w:szCs w:val="22"/>
                <w:lang w:val="en-US"/>
              </w:rPr>
            </w:pPr>
            <w:r>
              <w:rPr>
                <w:sz w:val="24"/>
                <w:szCs w:val="21"/>
              </w:rPr>
              <w:t>超标原因分析：空气中 PM</w:t>
            </w:r>
            <w:r>
              <w:rPr>
                <w:sz w:val="24"/>
                <w:szCs w:val="21"/>
                <w:vertAlign w:val="subscript"/>
              </w:rPr>
              <w:t xml:space="preserve">2.5 </w:t>
            </w:r>
            <w:r>
              <w:rPr>
                <w:sz w:val="24"/>
                <w:szCs w:val="21"/>
              </w:rPr>
              <w:t>超标主要与道路交通扬尘、工业污染源烟（粉）尘排放有关。整治方案：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实施后以利于削减区域粉尘、VOCs、燃煤污染物、汽车尾气污染物排放量，有利于改善区域环境质量。</w:t>
            </w:r>
          </w:p>
          <w:p>
            <w:pPr>
              <w:spacing w:line="360" w:lineRule="auto"/>
              <w:ind w:firstLine="472" w:firstLineChars="196"/>
              <w:rPr>
                <w:b/>
                <w:sz w:val="24"/>
              </w:rPr>
            </w:pPr>
            <w:r>
              <w:rPr>
                <w:b/>
                <w:sz w:val="24"/>
              </w:rPr>
              <w:t>2</w:t>
            </w:r>
            <w:r>
              <w:rPr>
                <w:rFonts w:hAnsi="宋体"/>
                <w:b/>
                <w:sz w:val="24"/>
              </w:rPr>
              <w:t>、地表</w:t>
            </w:r>
            <w:r>
              <w:rPr>
                <w:rFonts w:hAnsi="宋体"/>
                <w:b/>
                <w:bCs/>
                <w:sz w:val="24"/>
              </w:rPr>
              <w:t>水环境</w:t>
            </w:r>
          </w:p>
          <w:p>
            <w:pPr>
              <w:spacing w:line="360" w:lineRule="auto"/>
              <w:ind w:firstLine="470" w:firstLineChars="196"/>
              <w:rPr>
                <w:rFonts w:hAnsi="宋体"/>
                <w:sz w:val="24"/>
              </w:rPr>
            </w:pPr>
            <w:r>
              <w:rPr>
                <w:rFonts w:hAnsi="宋体"/>
                <w:sz w:val="24"/>
                <w:szCs w:val="22"/>
                <w:lang w:val="en-US"/>
              </w:rPr>
              <w:t>参照宜兴市环境监测站20</w:t>
            </w:r>
            <w:r>
              <w:rPr>
                <w:rFonts w:hint="eastAsia" w:hAnsi="宋体"/>
                <w:sz w:val="24"/>
                <w:szCs w:val="22"/>
                <w:lang w:val="en-US"/>
              </w:rPr>
              <w:t>18</w:t>
            </w:r>
            <w:r>
              <w:rPr>
                <w:rFonts w:hAnsi="宋体"/>
                <w:sz w:val="24"/>
                <w:szCs w:val="22"/>
                <w:lang w:val="en-US"/>
              </w:rPr>
              <w:t>年</w:t>
            </w:r>
            <w:r>
              <w:rPr>
                <w:rFonts w:hint="eastAsia" w:hAnsi="宋体"/>
                <w:sz w:val="24"/>
                <w:szCs w:val="22"/>
                <w:lang w:val="en-US"/>
              </w:rPr>
              <w:t>9</w:t>
            </w:r>
            <w:r>
              <w:rPr>
                <w:rFonts w:hAnsi="宋体"/>
                <w:sz w:val="24"/>
                <w:szCs w:val="22"/>
                <w:lang w:val="en-US"/>
              </w:rPr>
              <w:t>月份监测报告：项目区所在地区水质指标</w:t>
            </w:r>
            <w:r>
              <w:rPr>
                <w:rFonts w:hint="eastAsia" w:hAnsi="宋体"/>
                <w:sz w:val="24"/>
                <w:szCs w:val="22"/>
                <w:lang w:val="en-US"/>
              </w:rPr>
              <w:t>中除</w:t>
            </w:r>
            <w:r>
              <w:rPr>
                <w:rFonts w:hAnsi="宋体"/>
                <w:sz w:val="24"/>
                <w:szCs w:val="22"/>
                <w:lang w:val="en-US"/>
              </w:rPr>
              <w:t>NH</w:t>
            </w:r>
            <w:r>
              <w:rPr>
                <w:rFonts w:hAnsi="宋体"/>
                <w:sz w:val="24"/>
                <w:szCs w:val="22"/>
                <w:vertAlign w:val="subscript"/>
                <w:lang w:val="en-US"/>
              </w:rPr>
              <w:t>3</w:t>
            </w:r>
            <w:r>
              <w:rPr>
                <w:rFonts w:hAnsi="宋体"/>
                <w:sz w:val="24"/>
                <w:szCs w:val="22"/>
                <w:lang w:val="en-US"/>
              </w:rPr>
              <w:t>-N</w:t>
            </w:r>
            <w:r>
              <w:rPr>
                <w:rFonts w:hint="eastAsia" w:hAnsi="宋体"/>
                <w:sz w:val="24"/>
                <w:szCs w:val="22"/>
                <w:lang w:val="en-US"/>
              </w:rPr>
              <w:t>、</w:t>
            </w:r>
            <w:r>
              <w:rPr>
                <w:rFonts w:hint="eastAsia" w:hAnsi="宋体"/>
                <w:sz w:val="24"/>
                <w:szCs w:val="22"/>
              </w:rPr>
              <w:t>高锰酸盐指数、DO</w:t>
            </w:r>
            <w:r>
              <w:rPr>
                <w:rFonts w:hint="eastAsia" w:hAnsi="宋体"/>
                <w:sz w:val="24"/>
                <w:szCs w:val="22"/>
                <w:lang w:val="en-US"/>
              </w:rPr>
              <w:t>超标外，其余水质</w:t>
            </w:r>
            <w:r>
              <w:rPr>
                <w:rFonts w:hAnsi="宋体"/>
                <w:sz w:val="24"/>
                <w:szCs w:val="22"/>
                <w:lang w:val="en-US"/>
              </w:rPr>
              <w:t>均满足《地表水环境质量标准》(GB3838－2002) Ⅲ类水质标准。超标原因为农业面源污染、部分农村生活污水不接管</w:t>
            </w:r>
            <w:r>
              <w:rPr>
                <w:rFonts w:hint="eastAsia" w:hAnsi="宋体"/>
                <w:sz w:val="24"/>
                <w:szCs w:val="22"/>
                <w:lang w:val="en-US"/>
              </w:rPr>
              <w:t>及航行船只柴油泄漏所致。</w:t>
            </w:r>
          </w:p>
          <w:p>
            <w:pPr>
              <w:pStyle w:val="11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sz w:val="24"/>
                <w:szCs w:val="24"/>
              </w:rPr>
            </w:pPr>
            <w:r>
              <w:rPr>
                <w:rFonts w:hint="eastAsia" w:hAnsi="宋体"/>
                <w:sz w:val="24"/>
                <w:szCs w:val="24"/>
              </w:rPr>
              <w:t xml:space="preserve">表3-1  </w:t>
            </w:r>
            <w:r>
              <w:rPr>
                <w:rFonts w:hAnsi="宋体"/>
                <w:sz w:val="24"/>
                <w:szCs w:val="24"/>
              </w:rPr>
              <w:t>水质监测结果</w:t>
            </w:r>
            <w:r>
              <w:rPr>
                <w:rFonts w:hint="eastAsia"/>
                <w:sz w:val="24"/>
                <w:szCs w:val="24"/>
              </w:rPr>
              <w:t xml:space="preserve">  </w:t>
            </w:r>
            <w:r>
              <w:rPr>
                <w:rFonts w:hAnsi="宋体"/>
                <w:sz w:val="24"/>
                <w:szCs w:val="24"/>
              </w:rPr>
              <w:t>单位：</w:t>
            </w:r>
            <w:r>
              <w:rPr>
                <w:sz w:val="24"/>
                <w:szCs w:val="24"/>
              </w:rPr>
              <w:t>mg/L （pH</w:t>
            </w:r>
            <w:r>
              <w:rPr>
                <w:rFonts w:hAnsi="宋体"/>
                <w:sz w:val="24"/>
                <w:szCs w:val="24"/>
              </w:rPr>
              <w:t>除外</w:t>
            </w:r>
            <w:r>
              <w:rPr>
                <w:sz w:val="24"/>
                <w:szCs w:val="24"/>
              </w:rPr>
              <w:t>）</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710"/>
              <w:gridCol w:w="641"/>
              <w:gridCol w:w="652"/>
              <w:gridCol w:w="782"/>
              <w:gridCol w:w="740"/>
              <w:gridCol w:w="821"/>
              <w:gridCol w:w="778"/>
              <w:gridCol w:w="699"/>
              <w:gridCol w:w="804"/>
              <w:gridCol w:w="83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b/>
                    </w:rPr>
                  </w:pPr>
                  <w:r>
                    <w:rPr>
                      <w:rFonts w:hAnsi="宋体"/>
                      <w:b/>
                    </w:rPr>
                    <w:t>点位</w:t>
                  </w:r>
                </w:p>
              </w:tc>
              <w:tc>
                <w:tcPr>
                  <w:tcW w:w="730" w:type="dxa"/>
                  <w:vAlign w:val="center"/>
                </w:tcPr>
                <w:p>
                  <w:pPr>
                    <w:jc w:val="center"/>
                    <w:rPr>
                      <w:b/>
                    </w:rPr>
                  </w:pPr>
                  <w:r>
                    <w:rPr>
                      <w:rFonts w:hAnsi="宋体"/>
                      <w:b/>
                    </w:rPr>
                    <w:t>采样</w:t>
                  </w:r>
                </w:p>
                <w:p>
                  <w:pPr>
                    <w:jc w:val="center"/>
                    <w:rPr>
                      <w:b/>
                    </w:rPr>
                  </w:pPr>
                  <w:r>
                    <w:rPr>
                      <w:rFonts w:hAnsi="宋体"/>
                      <w:b/>
                    </w:rPr>
                    <w:t>时间</w:t>
                  </w:r>
                </w:p>
              </w:tc>
              <w:tc>
                <w:tcPr>
                  <w:tcW w:w="656" w:type="dxa"/>
                  <w:vAlign w:val="center"/>
                </w:tcPr>
                <w:p>
                  <w:pPr>
                    <w:jc w:val="center"/>
                    <w:rPr>
                      <w:b/>
                    </w:rPr>
                  </w:pPr>
                  <w:r>
                    <w:rPr>
                      <w:b/>
                    </w:rPr>
                    <w:t>pH</w:t>
                  </w:r>
                </w:p>
              </w:tc>
              <w:tc>
                <w:tcPr>
                  <w:tcW w:w="670" w:type="dxa"/>
                  <w:vAlign w:val="center"/>
                </w:tcPr>
                <w:p>
                  <w:pPr>
                    <w:jc w:val="center"/>
                    <w:rPr>
                      <w:b/>
                    </w:rPr>
                  </w:pPr>
                  <w:r>
                    <w:rPr>
                      <w:rFonts w:hint="eastAsia" w:hAnsi="宋体"/>
                      <w:b/>
                    </w:rPr>
                    <w:t>DO</w:t>
                  </w:r>
                </w:p>
              </w:tc>
              <w:tc>
                <w:tcPr>
                  <w:tcW w:w="863" w:type="dxa"/>
                  <w:vAlign w:val="center"/>
                </w:tcPr>
                <w:p>
                  <w:pPr>
                    <w:jc w:val="center"/>
                    <w:rPr>
                      <w:b/>
                    </w:rPr>
                  </w:pPr>
                  <w:r>
                    <w:rPr>
                      <w:rFonts w:hAnsi="宋体"/>
                      <w:b/>
                    </w:rPr>
                    <w:t>高锰酸</w:t>
                  </w:r>
                </w:p>
                <w:p>
                  <w:pPr>
                    <w:jc w:val="center"/>
                    <w:rPr>
                      <w:b/>
                    </w:rPr>
                  </w:pPr>
                  <w:r>
                    <w:rPr>
                      <w:rFonts w:hAnsi="宋体"/>
                      <w:b/>
                    </w:rPr>
                    <w:t>盐指数</w:t>
                  </w:r>
                </w:p>
              </w:tc>
              <w:tc>
                <w:tcPr>
                  <w:tcW w:w="686" w:type="dxa"/>
                  <w:vAlign w:val="center"/>
                </w:tcPr>
                <w:p>
                  <w:pPr>
                    <w:jc w:val="center"/>
                    <w:rPr>
                      <w:b/>
                    </w:rPr>
                  </w:pPr>
                  <w:r>
                    <w:rPr>
                      <w:b/>
                    </w:rPr>
                    <w:t>BOD</w:t>
                  </w:r>
                  <w:r>
                    <w:rPr>
                      <w:b/>
                      <w:vertAlign w:val="subscript"/>
                    </w:rPr>
                    <w:t>5</w:t>
                  </w:r>
                </w:p>
              </w:tc>
              <w:tc>
                <w:tcPr>
                  <w:tcW w:w="746" w:type="dxa"/>
                  <w:vAlign w:val="center"/>
                </w:tcPr>
                <w:p>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pPr>
                    <w:jc w:val="center"/>
                    <w:rPr>
                      <w:b/>
                      <w:color w:val="000000"/>
                      <w:szCs w:val="21"/>
                    </w:rPr>
                  </w:pPr>
                  <w:r>
                    <w:rPr>
                      <w:b/>
                      <w:color w:val="000000"/>
                      <w:szCs w:val="21"/>
                    </w:rPr>
                    <w:t>TP</w:t>
                  </w:r>
                </w:p>
              </w:tc>
              <w:tc>
                <w:tcPr>
                  <w:tcW w:w="690" w:type="dxa"/>
                  <w:vAlign w:val="center"/>
                </w:tcPr>
                <w:p>
                  <w:pPr>
                    <w:jc w:val="center"/>
                    <w:rPr>
                      <w:b/>
                      <w:color w:val="000000"/>
                      <w:szCs w:val="21"/>
                    </w:rPr>
                  </w:pPr>
                  <w:r>
                    <w:rPr>
                      <w:rFonts w:hAnsi="宋体"/>
                      <w:b/>
                      <w:color w:val="000000"/>
                      <w:szCs w:val="21"/>
                    </w:rPr>
                    <w:t>石油类</w:t>
                  </w:r>
                </w:p>
              </w:tc>
              <w:tc>
                <w:tcPr>
                  <w:tcW w:w="663" w:type="dxa"/>
                  <w:vAlign w:val="center"/>
                </w:tcPr>
                <w:p>
                  <w:pPr>
                    <w:jc w:val="center"/>
                    <w:rPr>
                      <w:b/>
                      <w:color w:val="000000"/>
                      <w:szCs w:val="21"/>
                    </w:rPr>
                  </w:pPr>
                  <w:r>
                    <w:rPr>
                      <w:rFonts w:hAnsi="宋体"/>
                      <w:b/>
                      <w:color w:val="000000"/>
                      <w:szCs w:val="21"/>
                    </w:rPr>
                    <w:t>挥发酚</w:t>
                  </w:r>
                </w:p>
              </w:tc>
              <w:tc>
                <w:tcPr>
                  <w:tcW w:w="872" w:type="dxa"/>
                  <w:vAlign w:val="center"/>
                </w:tcPr>
                <w:p>
                  <w:pPr>
                    <w:jc w:val="center"/>
                    <w:rPr>
                      <w:b/>
                      <w:szCs w:val="21"/>
                    </w:rPr>
                  </w:pPr>
                  <w:r>
                    <w:rPr>
                      <w:b/>
                      <w:color w:val="000000"/>
                      <w:szCs w:val="21"/>
                    </w:rPr>
                    <w:t>COD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szCs w:val="21"/>
                    </w:rPr>
                  </w:pPr>
                  <w:r>
                    <w:rPr>
                      <w:rFonts w:hint="eastAsia" w:hAnsi="宋体"/>
                      <w:szCs w:val="21"/>
                    </w:rPr>
                    <w:t>宜兴市华骐污水处理有限公司上游500m</w:t>
                  </w:r>
                </w:p>
              </w:tc>
              <w:tc>
                <w:tcPr>
                  <w:tcW w:w="730" w:type="dxa"/>
                  <w:vAlign w:val="center"/>
                </w:tcPr>
                <w:p>
                  <w:pPr>
                    <w:jc w:val="center"/>
                  </w:pPr>
                  <w:r>
                    <w:t>201</w:t>
                  </w:r>
                  <w:r>
                    <w:rPr>
                      <w:rFonts w:hint="eastAsia"/>
                    </w:rPr>
                    <w:t>8年9月</w:t>
                  </w:r>
                </w:p>
              </w:tc>
              <w:tc>
                <w:tcPr>
                  <w:tcW w:w="656" w:type="dxa"/>
                  <w:vAlign w:val="center"/>
                </w:tcPr>
                <w:p>
                  <w:pPr>
                    <w:jc w:val="center"/>
                  </w:pPr>
                  <w:r>
                    <w:t>7.</w:t>
                  </w:r>
                  <w:r>
                    <w:rPr>
                      <w:rFonts w:hint="eastAsia"/>
                    </w:rPr>
                    <w:t>25</w:t>
                  </w:r>
                </w:p>
              </w:tc>
              <w:tc>
                <w:tcPr>
                  <w:tcW w:w="670" w:type="dxa"/>
                  <w:vAlign w:val="center"/>
                </w:tcPr>
                <w:p>
                  <w:pPr>
                    <w:jc w:val="center"/>
                  </w:pPr>
                  <w:r>
                    <w:rPr>
                      <w:rFonts w:hint="eastAsia"/>
                    </w:rPr>
                    <w:t>5.13</w:t>
                  </w:r>
                </w:p>
              </w:tc>
              <w:tc>
                <w:tcPr>
                  <w:tcW w:w="863" w:type="dxa"/>
                  <w:vAlign w:val="center"/>
                </w:tcPr>
                <w:p>
                  <w:pPr>
                    <w:jc w:val="center"/>
                  </w:pPr>
                  <w:r>
                    <w:rPr>
                      <w:rFonts w:hint="eastAsia"/>
                    </w:rPr>
                    <w:t>5.4</w:t>
                  </w:r>
                </w:p>
              </w:tc>
              <w:tc>
                <w:tcPr>
                  <w:tcW w:w="686" w:type="dxa"/>
                  <w:vAlign w:val="center"/>
                </w:tcPr>
                <w:p>
                  <w:pPr>
                    <w:jc w:val="center"/>
                  </w:pPr>
                  <w:r>
                    <w:rPr>
                      <w:rFonts w:hint="eastAsia"/>
                    </w:rPr>
                    <w:t>3.1</w:t>
                  </w:r>
                </w:p>
              </w:tc>
              <w:tc>
                <w:tcPr>
                  <w:tcW w:w="746" w:type="dxa"/>
                  <w:vAlign w:val="center"/>
                </w:tcPr>
                <w:p>
                  <w:pPr>
                    <w:jc w:val="center"/>
                  </w:pPr>
                  <w:r>
                    <w:rPr>
                      <w:rFonts w:hint="eastAsia"/>
                    </w:rPr>
                    <w:t>1.33</w:t>
                  </w:r>
                </w:p>
              </w:tc>
              <w:tc>
                <w:tcPr>
                  <w:tcW w:w="827" w:type="dxa"/>
                  <w:vAlign w:val="center"/>
                </w:tcPr>
                <w:p>
                  <w:pPr>
                    <w:jc w:val="center"/>
                  </w:pPr>
                  <w:r>
                    <w:rPr>
                      <w:rFonts w:hint="eastAsia"/>
                    </w:rPr>
                    <w:t>0.15</w:t>
                  </w:r>
                </w:p>
              </w:tc>
              <w:tc>
                <w:tcPr>
                  <w:tcW w:w="690" w:type="dxa"/>
                  <w:vAlign w:val="center"/>
                </w:tcPr>
                <w:p>
                  <w:pPr>
                    <w:jc w:val="center"/>
                  </w:pPr>
                  <w:r>
                    <w:t>0.</w:t>
                  </w:r>
                  <w:r>
                    <w:rPr>
                      <w:rFonts w:hint="eastAsia"/>
                    </w:rPr>
                    <w:t>04</w:t>
                  </w:r>
                </w:p>
              </w:tc>
              <w:tc>
                <w:tcPr>
                  <w:tcW w:w="663" w:type="dxa"/>
                  <w:vAlign w:val="center"/>
                </w:tcPr>
                <w:p>
                  <w:pPr>
                    <w:jc w:val="center"/>
                  </w:pPr>
                  <w:r>
                    <w:rPr>
                      <w:rFonts w:hint="eastAsia"/>
                    </w:rPr>
                    <w:t>0.0017</w:t>
                  </w:r>
                </w:p>
              </w:tc>
              <w:tc>
                <w:tcPr>
                  <w:tcW w:w="872" w:type="dxa"/>
                  <w:vAlign w:val="center"/>
                </w:tcPr>
                <w:p>
                  <w:pPr>
                    <w:jc w:val="center"/>
                  </w:pPr>
                  <w:r>
                    <w:rPr>
                      <w:rFonts w:hint="eastAsia"/>
                    </w:rPr>
                    <w:t>18.4</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rFonts w:hAnsi="宋体"/>
                      <w:szCs w:val="21"/>
                    </w:rPr>
                  </w:pPr>
                  <w:r>
                    <w:rPr>
                      <w:rFonts w:hint="eastAsia" w:hAnsi="宋体"/>
                      <w:szCs w:val="21"/>
                    </w:rPr>
                    <w:t>宜兴市华骐污水处理有限公司下游500m</w:t>
                  </w:r>
                </w:p>
              </w:tc>
              <w:tc>
                <w:tcPr>
                  <w:tcW w:w="730" w:type="dxa"/>
                  <w:vAlign w:val="center"/>
                </w:tcPr>
                <w:p>
                  <w:pPr>
                    <w:jc w:val="center"/>
                  </w:pPr>
                  <w:r>
                    <w:t>201</w:t>
                  </w:r>
                  <w:r>
                    <w:rPr>
                      <w:rFonts w:hint="eastAsia"/>
                    </w:rPr>
                    <w:t>8年9月</w:t>
                  </w:r>
                </w:p>
              </w:tc>
              <w:tc>
                <w:tcPr>
                  <w:tcW w:w="656" w:type="dxa"/>
                  <w:vAlign w:val="center"/>
                </w:tcPr>
                <w:p>
                  <w:pPr>
                    <w:jc w:val="center"/>
                  </w:pPr>
                  <w:r>
                    <w:rPr>
                      <w:rFonts w:hint="eastAsia"/>
                    </w:rPr>
                    <w:t>7.33</w:t>
                  </w:r>
                </w:p>
              </w:tc>
              <w:tc>
                <w:tcPr>
                  <w:tcW w:w="670" w:type="dxa"/>
                  <w:vAlign w:val="center"/>
                </w:tcPr>
                <w:p>
                  <w:pPr>
                    <w:jc w:val="center"/>
                  </w:pPr>
                  <w:r>
                    <w:rPr>
                      <w:rFonts w:hint="eastAsia"/>
                    </w:rPr>
                    <w:t>4.51</w:t>
                  </w:r>
                </w:p>
              </w:tc>
              <w:tc>
                <w:tcPr>
                  <w:tcW w:w="863" w:type="dxa"/>
                  <w:vAlign w:val="center"/>
                </w:tcPr>
                <w:p>
                  <w:pPr>
                    <w:jc w:val="center"/>
                  </w:pPr>
                  <w:r>
                    <w:rPr>
                      <w:rFonts w:hint="eastAsia"/>
                    </w:rPr>
                    <w:t>6.5</w:t>
                  </w:r>
                </w:p>
              </w:tc>
              <w:tc>
                <w:tcPr>
                  <w:tcW w:w="686" w:type="dxa"/>
                  <w:vAlign w:val="center"/>
                </w:tcPr>
                <w:p>
                  <w:pPr>
                    <w:jc w:val="center"/>
                  </w:pPr>
                  <w:r>
                    <w:rPr>
                      <w:rFonts w:hint="eastAsia"/>
                    </w:rPr>
                    <w:t>3.2</w:t>
                  </w:r>
                </w:p>
              </w:tc>
              <w:tc>
                <w:tcPr>
                  <w:tcW w:w="746" w:type="dxa"/>
                  <w:vAlign w:val="center"/>
                </w:tcPr>
                <w:p>
                  <w:pPr>
                    <w:jc w:val="center"/>
                  </w:pPr>
                  <w:r>
                    <w:rPr>
                      <w:rFonts w:hint="eastAsia"/>
                    </w:rPr>
                    <w:t>0.89</w:t>
                  </w:r>
                </w:p>
              </w:tc>
              <w:tc>
                <w:tcPr>
                  <w:tcW w:w="827" w:type="dxa"/>
                  <w:vAlign w:val="center"/>
                </w:tcPr>
                <w:p>
                  <w:pPr>
                    <w:jc w:val="center"/>
                  </w:pPr>
                  <w:r>
                    <w:rPr>
                      <w:rFonts w:hint="eastAsia"/>
                    </w:rPr>
                    <w:t>0.12</w:t>
                  </w:r>
                </w:p>
              </w:tc>
              <w:tc>
                <w:tcPr>
                  <w:tcW w:w="690" w:type="dxa"/>
                  <w:vAlign w:val="center"/>
                </w:tcPr>
                <w:p>
                  <w:pPr>
                    <w:jc w:val="center"/>
                  </w:pPr>
                  <w:r>
                    <w:rPr>
                      <w:rFonts w:hint="eastAsia"/>
                    </w:rPr>
                    <w:t>0.04</w:t>
                  </w:r>
                </w:p>
              </w:tc>
              <w:tc>
                <w:tcPr>
                  <w:tcW w:w="663" w:type="dxa"/>
                  <w:vAlign w:val="center"/>
                </w:tcPr>
                <w:p>
                  <w:pPr>
                    <w:jc w:val="center"/>
                  </w:pPr>
                  <w:r>
                    <w:rPr>
                      <w:rFonts w:hint="eastAsia"/>
                    </w:rPr>
                    <w:t>0.0015</w:t>
                  </w:r>
                </w:p>
              </w:tc>
              <w:tc>
                <w:tcPr>
                  <w:tcW w:w="872" w:type="dxa"/>
                  <w:vAlign w:val="center"/>
                </w:tcPr>
                <w:p>
                  <w:pPr>
                    <w:jc w:val="center"/>
                  </w:pPr>
                  <w:r>
                    <w:rPr>
                      <w:rFonts w:hint="eastAsia"/>
                    </w:rPr>
                    <w:t>17.3</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59" w:type="dxa"/>
                  <w:vAlign w:val="center"/>
                </w:tcPr>
                <w:p>
                  <w:pPr>
                    <w:jc w:val="center"/>
                    <w:rPr>
                      <w:rFonts w:hAnsi="宋体"/>
                      <w:szCs w:val="21"/>
                    </w:rPr>
                  </w:pPr>
                  <w:r>
                    <w:rPr>
                      <w:rFonts w:hint="eastAsia" w:hAnsi="宋体"/>
                      <w:szCs w:val="21"/>
                    </w:rPr>
                    <w:t>达标情况</w:t>
                  </w:r>
                </w:p>
              </w:tc>
              <w:tc>
                <w:tcPr>
                  <w:tcW w:w="730" w:type="dxa"/>
                  <w:vAlign w:val="center"/>
                </w:tcPr>
                <w:p>
                  <w:pPr>
                    <w:jc w:val="center"/>
                  </w:pPr>
                </w:p>
              </w:tc>
              <w:tc>
                <w:tcPr>
                  <w:tcW w:w="656" w:type="dxa"/>
                  <w:vAlign w:val="center"/>
                </w:tcPr>
                <w:p>
                  <w:pPr>
                    <w:jc w:val="center"/>
                  </w:pPr>
                  <w:r>
                    <w:rPr>
                      <w:rFonts w:hint="eastAsia"/>
                    </w:rPr>
                    <w:t>达标</w:t>
                  </w:r>
                </w:p>
              </w:tc>
              <w:tc>
                <w:tcPr>
                  <w:tcW w:w="670" w:type="dxa"/>
                  <w:vAlign w:val="center"/>
                </w:tcPr>
                <w:p>
                  <w:pPr>
                    <w:jc w:val="center"/>
                  </w:pPr>
                  <w:r>
                    <w:rPr>
                      <w:rFonts w:hint="eastAsia"/>
                    </w:rPr>
                    <w:t>不达标</w:t>
                  </w:r>
                </w:p>
              </w:tc>
              <w:tc>
                <w:tcPr>
                  <w:tcW w:w="863" w:type="dxa"/>
                  <w:vAlign w:val="center"/>
                </w:tcPr>
                <w:p>
                  <w:pPr>
                    <w:jc w:val="center"/>
                  </w:pPr>
                  <w:r>
                    <w:rPr>
                      <w:rFonts w:hint="eastAsia"/>
                    </w:rPr>
                    <w:t>不达标</w:t>
                  </w:r>
                </w:p>
              </w:tc>
              <w:tc>
                <w:tcPr>
                  <w:tcW w:w="686" w:type="dxa"/>
                  <w:vAlign w:val="center"/>
                </w:tcPr>
                <w:p>
                  <w:pPr>
                    <w:jc w:val="center"/>
                  </w:pPr>
                  <w:r>
                    <w:rPr>
                      <w:rFonts w:hint="eastAsia"/>
                    </w:rPr>
                    <w:t>达标</w:t>
                  </w:r>
                </w:p>
              </w:tc>
              <w:tc>
                <w:tcPr>
                  <w:tcW w:w="746" w:type="dxa"/>
                  <w:vAlign w:val="center"/>
                </w:tcPr>
                <w:p>
                  <w:pPr>
                    <w:jc w:val="center"/>
                  </w:pPr>
                  <w:r>
                    <w:rPr>
                      <w:rFonts w:hint="eastAsia"/>
                    </w:rPr>
                    <w:t>不达标</w:t>
                  </w:r>
                </w:p>
              </w:tc>
              <w:tc>
                <w:tcPr>
                  <w:tcW w:w="827" w:type="dxa"/>
                  <w:vAlign w:val="center"/>
                </w:tcPr>
                <w:p>
                  <w:pPr>
                    <w:jc w:val="center"/>
                  </w:pPr>
                  <w:r>
                    <w:rPr>
                      <w:rFonts w:hint="eastAsia"/>
                    </w:rPr>
                    <w:t>达标</w:t>
                  </w:r>
                </w:p>
              </w:tc>
              <w:tc>
                <w:tcPr>
                  <w:tcW w:w="690" w:type="dxa"/>
                  <w:vAlign w:val="center"/>
                </w:tcPr>
                <w:p>
                  <w:pPr>
                    <w:jc w:val="center"/>
                  </w:pPr>
                  <w:r>
                    <w:rPr>
                      <w:rFonts w:hint="eastAsia"/>
                    </w:rPr>
                    <w:t>达标</w:t>
                  </w:r>
                </w:p>
              </w:tc>
              <w:tc>
                <w:tcPr>
                  <w:tcW w:w="663" w:type="dxa"/>
                  <w:vAlign w:val="center"/>
                </w:tcPr>
                <w:p>
                  <w:pPr>
                    <w:jc w:val="center"/>
                  </w:pPr>
                  <w:r>
                    <w:rPr>
                      <w:rFonts w:hint="eastAsia"/>
                    </w:rPr>
                    <w:t>达标</w:t>
                  </w:r>
                </w:p>
              </w:tc>
              <w:tc>
                <w:tcPr>
                  <w:tcW w:w="872" w:type="dxa"/>
                  <w:vAlign w:val="center"/>
                </w:tcPr>
                <w:p>
                  <w:pPr>
                    <w:jc w:val="center"/>
                  </w:pPr>
                  <w:r>
                    <w:rPr>
                      <w:rFonts w:hint="eastAsia"/>
                    </w:rPr>
                    <w:t>达标</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9" w:type="dxa"/>
                  <w:gridSpan w:val="2"/>
                  <w:vAlign w:val="center"/>
                </w:tcPr>
                <w:p>
                  <w:pPr>
                    <w:jc w:val="center"/>
                  </w:pPr>
                  <w:r>
                    <w:rPr>
                      <w:rFonts w:ascii="宋体" w:hAnsi="宋体"/>
                    </w:rPr>
                    <w:t>Ⅲ</w:t>
                  </w:r>
                  <w:r>
                    <w:rPr>
                      <w:rFonts w:hAnsi="宋体"/>
                    </w:rPr>
                    <w:t>类标准值</w:t>
                  </w:r>
                </w:p>
              </w:tc>
              <w:tc>
                <w:tcPr>
                  <w:tcW w:w="656" w:type="dxa"/>
                  <w:vAlign w:val="center"/>
                </w:tcPr>
                <w:p>
                  <w:pPr>
                    <w:jc w:val="center"/>
                  </w:pPr>
                  <w:r>
                    <w:t>6-9</w:t>
                  </w:r>
                </w:p>
              </w:tc>
              <w:tc>
                <w:tcPr>
                  <w:tcW w:w="670" w:type="dxa"/>
                  <w:vAlign w:val="center"/>
                </w:tcPr>
                <w:p>
                  <w:pPr>
                    <w:jc w:val="center"/>
                  </w:pPr>
                  <w:r>
                    <w:t>≥5</w:t>
                  </w:r>
                </w:p>
              </w:tc>
              <w:tc>
                <w:tcPr>
                  <w:tcW w:w="863" w:type="dxa"/>
                  <w:vAlign w:val="center"/>
                </w:tcPr>
                <w:p>
                  <w:pPr>
                    <w:jc w:val="center"/>
                  </w:pPr>
                  <w:r>
                    <w:t>≤6</w:t>
                  </w:r>
                </w:p>
              </w:tc>
              <w:tc>
                <w:tcPr>
                  <w:tcW w:w="686" w:type="dxa"/>
                  <w:vAlign w:val="center"/>
                </w:tcPr>
                <w:p>
                  <w:pPr>
                    <w:jc w:val="center"/>
                  </w:pPr>
                  <w:r>
                    <w:t>≤4</w:t>
                  </w:r>
                </w:p>
              </w:tc>
              <w:tc>
                <w:tcPr>
                  <w:tcW w:w="746" w:type="dxa"/>
                  <w:vAlign w:val="center"/>
                </w:tcPr>
                <w:p>
                  <w:pPr>
                    <w:jc w:val="center"/>
                  </w:pPr>
                  <w:r>
                    <w:t>≤1.0</w:t>
                  </w:r>
                </w:p>
              </w:tc>
              <w:tc>
                <w:tcPr>
                  <w:tcW w:w="827" w:type="dxa"/>
                  <w:vAlign w:val="center"/>
                </w:tcPr>
                <w:p>
                  <w:pPr>
                    <w:jc w:val="center"/>
                  </w:pPr>
                  <w:r>
                    <w:t>≤0.2</w:t>
                  </w:r>
                </w:p>
              </w:tc>
              <w:tc>
                <w:tcPr>
                  <w:tcW w:w="690" w:type="dxa"/>
                  <w:vAlign w:val="center"/>
                </w:tcPr>
                <w:p>
                  <w:pPr>
                    <w:jc w:val="center"/>
                  </w:pPr>
                  <w:r>
                    <w:t>≤0.05</w:t>
                  </w:r>
                </w:p>
              </w:tc>
              <w:tc>
                <w:tcPr>
                  <w:tcW w:w="663" w:type="dxa"/>
                  <w:vAlign w:val="center"/>
                </w:tcPr>
                <w:p>
                  <w:pPr>
                    <w:jc w:val="center"/>
                  </w:pPr>
                  <w:r>
                    <w:t>≤0.005</w:t>
                  </w:r>
                </w:p>
              </w:tc>
              <w:tc>
                <w:tcPr>
                  <w:tcW w:w="872" w:type="dxa"/>
                  <w:vAlign w:val="center"/>
                </w:tcPr>
                <w:p>
                  <w:pPr>
                    <w:jc w:val="center"/>
                  </w:pPr>
                  <w:r>
                    <w:t>≤20</w:t>
                  </w:r>
                </w:p>
              </w:tc>
            </w:tr>
          </w:tbl>
          <w:p>
            <w:pPr>
              <w:spacing w:beforeLines="50" w:line="360" w:lineRule="auto"/>
              <w:ind w:firstLine="480" w:firstLineChars="200"/>
              <w:rPr>
                <w:rFonts w:hAnsi="宋体"/>
                <w:sz w:val="24"/>
                <w:lang w:val="en-US"/>
              </w:rPr>
            </w:pPr>
            <w:r>
              <w:rPr>
                <w:rFonts w:hint="eastAsia" w:hAnsi="宋体"/>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pPr>
              <w:spacing w:line="360" w:lineRule="auto"/>
              <w:ind w:firstLine="480" w:firstLineChars="200"/>
              <w:rPr>
                <w:rFonts w:hAnsi="宋体"/>
                <w:sz w:val="24"/>
                <w:lang w:val="en-US"/>
              </w:rPr>
            </w:pPr>
            <w:r>
              <w:rPr>
                <w:rFonts w:hint="eastAsia" w:hAnsi="宋体"/>
                <w:sz w:val="24"/>
                <w:lang w:val="en-US"/>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2018年，丁蜀镇完成河道的综合整治工程（对丁蜀镇镜内的林庄港等26条河道进行生态清淤，共计清淤长度约30.06km，清淤土方量约51.2万方）。</w:t>
            </w:r>
          </w:p>
          <w:p>
            <w:pPr>
              <w:spacing w:line="360" w:lineRule="auto"/>
              <w:ind w:firstLine="480" w:firstLineChars="200"/>
              <w:rPr>
                <w:rFonts w:hAnsi="宋体"/>
                <w:sz w:val="24"/>
                <w:lang w:val="en-US"/>
              </w:rPr>
            </w:pPr>
            <w:r>
              <w:rPr>
                <w:rFonts w:hint="eastAsia" w:hAnsi="宋体"/>
                <w:sz w:val="24"/>
                <w:lang w:val="en-US"/>
              </w:rPr>
              <w:t>（2）大力推进城镇雨污分流管网建设。加强城镇排水与污水收集管网的日常养护工作，提高养护技术装备水平，强化城镇污水排入污水管网许可管理，规范排水行为。</w:t>
            </w:r>
          </w:p>
          <w:p>
            <w:pPr>
              <w:spacing w:line="360" w:lineRule="auto"/>
              <w:ind w:firstLine="480" w:firstLineChars="200"/>
              <w:rPr>
                <w:rFonts w:hAnsi="宋体"/>
                <w:sz w:val="24"/>
                <w:lang w:val="en-US"/>
              </w:rPr>
            </w:pPr>
            <w:r>
              <w:rPr>
                <w:rFonts w:hint="eastAsia" w:hAnsi="宋体"/>
                <w:sz w:val="24"/>
                <w:lang w:val="en-US"/>
              </w:rPr>
              <w:t>（3）提高村庄生活污水处理设施覆盖率，同时，建立行之有效的运行维护机制，村庄生活污水处理设施第三方运行管理或专业化管理实现全覆盖。近阶段，丁蜀镇需会同公用事业局完成2018年农村污水治理工程年度目标任务（对全镇农村采取有动力生态池及污水管网纳管相结合的方式，来达到污水全部处理，杜绝生活污水的直排）。</w:t>
            </w:r>
          </w:p>
          <w:p>
            <w:pPr>
              <w:spacing w:line="360" w:lineRule="auto"/>
              <w:ind w:firstLine="480" w:firstLineChars="200"/>
              <w:rPr>
                <w:rFonts w:hAnsi="宋体"/>
                <w:sz w:val="24"/>
              </w:rPr>
            </w:pPr>
            <w:r>
              <w:rPr>
                <w:rFonts w:hint="eastAsia" w:hAnsi="宋体"/>
                <w:sz w:val="24"/>
                <w:lang w:val="en-US"/>
              </w:rPr>
              <w:t>（4）强化农业面源污染控制。强化规模化畜禽养殖场粪污综合利用和污染治理，规模化畜禽养殖场全部建成粪污收集、处理利用设施。落实“种养结合、以地定畜”的要求，加强粪污还田，推进化肥施用减量化。</w:t>
            </w:r>
          </w:p>
          <w:p>
            <w:pPr>
              <w:spacing w:line="360" w:lineRule="auto"/>
              <w:ind w:firstLine="482" w:firstLineChars="200"/>
              <w:rPr>
                <w:b/>
                <w:sz w:val="24"/>
              </w:rPr>
            </w:pPr>
            <w:r>
              <w:rPr>
                <w:b/>
                <w:sz w:val="24"/>
              </w:rPr>
              <w:t>3</w:t>
            </w:r>
            <w:r>
              <w:rPr>
                <w:rFonts w:hAnsi="宋体"/>
                <w:b/>
                <w:sz w:val="24"/>
              </w:rPr>
              <w:t>、声环境</w:t>
            </w:r>
          </w:p>
          <w:p>
            <w:pPr>
              <w:adjustRightInd w:val="0"/>
              <w:snapToGrid w:val="0"/>
              <w:spacing w:line="360" w:lineRule="auto"/>
              <w:ind w:firstLine="480" w:firstLineChars="200"/>
              <w:jc w:val="left"/>
              <w:rPr>
                <w:rFonts w:hAnsi="宋体"/>
                <w:sz w:val="24"/>
                <w:szCs w:val="24"/>
              </w:rPr>
            </w:pPr>
            <w:r>
              <w:rPr>
                <w:rFonts w:hAnsi="宋体"/>
                <w:color w:val="000000"/>
                <w:sz w:val="24"/>
                <w:szCs w:val="24"/>
              </w:rPr>
              <w:t>本次环评委托</w:t>
            </w:r>
            <w:r>
              <w:rPr>
                <w:rFonts w:hint="eastAsia" w:hAnsi="宋体"/>
                <w:color w:val="000000"/>
                <w:sz w:val="24"/>
                <w:szCs w:val="24"/>
                <w:lang w:eastAsia="zh-CN"/>
              </w:rPr>
              <w:t>江苏安诺检测技术有限公司</w:t>
            </w:r>
            <w:r>
              <w:rPr>
                <w:rFonts w:hAnsi="宋体"/>
                <w:color w:val="000000"/>
                <w:sz w:val="24"/>
                <w:szCs w:val="24"/>
              </w:rPr>
              <w:t>进行了噪声现状监测</w:t>
            </w:r>
            <w:r>
              <w:rPr>
                <w:rFonts w:hint="eastAsia" w:hAnsi="宋体"/>
                <w:color w:val="000000"/>
                <w:sz w:val="24"/>
                <w:szCs w:val="24"/>
              </w:rPr>
              <w:t>，</w:t>
            </w:r>
            <w:r>
              <w:rPr>
                <w:rFonts w:hAnsi="宋体"/>
                <w:color w:val="000000"/>
                <w:sz w:val="24"/>
                <w:szCs w:val="24"/>
              </w:rPr>
              <w:t>“检测报告”(报告编号</w:t>
            </w:r>
            <w:r>
              <w:rPr>
                <w:rFonts w:hint="eastAsia" w:hAnsi="宋体"/>
                <w:color w:val="000000"/>
                <w:sz w:val="24"/>
                <w:szCs w:val="24"/>
              </w:rPr>
              <w:t>：</w:t>
            </w:r>
            <w:r>
              <w:rPr>
                <w:rFonts w:hint="eastAsia" w:hAnsi="宋体"/>
                <w:color w:val="000000"/>
                <w:sz w:val="24"/>
                <w:szCs w:val="24"/>
                <w:lang w:val="en-US" w:eastAsia="zh-CN"/>
              </w:rPr>
              <w:t>AN20082404</w:t>
            </w:r>
            <w:r>
              <w:rPr>
                <w:rFonts w:hint="eastAsia"/>
                <w:color w:val="000000"/>
                <w:sz w:val="24"/>
                <w:szCs w:val="22"/>
              </w:rPr>
              <w:t>）</w:t>
            </w:r>
            <w:r>
              <w:rPr>
                <w:color w:val="000000"/>
                <w:sz w:val="24"/>
                <w:szCs w:val="22"/>
              </w:rPr>
              <w:t>监测结果统计见表3-2，具体</w:t>
            </w:r>
            <w:r>
              <w:rPr>
                <w:rFonts w:hAnsi="宋体"/>
                <w:color w:val="000000"/>
                <w:sz w:val="24"/>
                <w:szCs w:val="24"/>
              </w:rPr>
              <w:t>噪声监测布点见附图</w:t>
            </w:r>
            <w:r>
              <w:rPr>
                <w:rFonts w:hint="eastAsia" w:hAnsi="宋体"/>
                <w:color w:val="000000"/>
                <w:sz w:val="24"/>
                <w:szCs w:val="24"/>
              </w:rPr>
              <w:t>4</w:t>
            </w:r>
            <w:r>
              <w:rPr>
                <w:rFonts w:hAnsi="宋体"/>
                <w:color w:val="000000"/>
                <w:sz w:val="24"/>
                <w:szCs w:val="24"/>
              </w:rPr>
              <w:t>。</w:t>
            </w:r>
          </w:p>
          <w:p>
            <w:pPr>
              <w:pStyle w:val="11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hAnsi="宋体"/>
                <w:sz w:val="24"/>
                <w:szCs w:val="24"/>
              </w:rPr>
            </w:pPr>
            <w:r>
              <w:rPr>
                <w:rFonts w:hint="eastAsia" w:hAnsi="宋体"/>
                <w:sz w:val="24"/>
                <w:szCs w:val="24"/>
              </w:rPr>
              <w:t>表3-2  声环境质量监测结果表  单位：dB（A）</w:t>
            </w:r>
          </w:p>
          <w:tbl>
            <w:tblPr>
              <w:tblStyle w:val="76"/>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2470"/>
              <w:gridCol w:w="2092"/>
              <w:gridCol w:w="209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0" w:type="pct"/>
                  <w:vMerge w:val="restart"/>
                  <w:vAlign w:val="center"/>
                </w:tcPr>
                <w:p>
                  <w:pPr>
                    <w:adjustRightInd w:val="0"/>
                    <w:snapToGrid w:val="0"/>
                    <w:jc w:val="center"/>
                    <w:rPr>
                      <w:b/>
                      <w:color w:val="000000" w:themeColor="text1"/>
                      <w:szCs w:val="21"/>
                    </w:rPr>
                  </w:pPr>
                  <w:r>
                    <w:rPr>
                      <w:rFonts w:hint="eastAsia"/>
                      <w:b/>
                      <w:color w:val="000000" w:themeColor="text1"/>
                      <w:szCs w:val="21"/>
                    </w:rPr>
                    <w:t>测点号</w:t>
                  </w:r>
                </w:p>
                <w:p>
                  <w:pPr>
                    <w:adjustRightInd w:val="0"/>
                    <w:snapToGrid w:val="0"/>
                    <w:jc w:val="center"/>
                    <w:rPr>
                      <w:b/>
                      <w:color w:val="000000" w:themeColor="text1"/>
                      <w:szCs w:val="21"/>
                    </w:rPr>
                  </w:pPr>
                </w:p>
              </w:tc>
              <w:tc>
                <w:tcPr>
                  <w:tcW w:w="1477" w:type="pct"/>
                  <w:vMerge w:val="restart"/>
                  <w:vAlign w:val="center"/>
                </w:tcPr>
                <w:p>
                  <w:pPr>
                    <w:adjustRightInd w:val="0"/>
                    <w:snapToGrid w:val="0"/>
                    <w:jc w:val="center"/>
                    <w:rPr>
                      <w:b/>
                      <w:color w:val="000000" w:themeColor="text1"/>
                      <w:szCs w:val="21"/>
                      <w:lang w:val="en-US"/>
                    </w:rPr>
                  </w:pPr>
                  <w:r>
                    <w:rPr>
                      <w:rFonts w:hint="eastAsia"/>
                      <w:b/>
                      <w:color w:val="000000" w:themeColor="text1"/>
                      <w:szCs w:val="21"/>
                      <w:lang w:val="en-US"/>
                    </w:rPr>
                    <w:t>测点位置</w:t>
                  </w:r>
                </w:p>
              </w:tc>
              <w:tc>
                <w:tcPr>
                  <w:tcW w:w="2501" w:type="pct"/>
                  <w:gridSpan w:val="2"/>
                  <w:vAlign w:val="center"/>
                </w:tcPr>
                <w:p>
                  <w:pPr>
                    <w:adjustRightInd w:val="0"/>
                    <w:snapToGrid w:val="0"/>
                    <w:jc w:val="center"/>
                    <w:rPr>
                      <w:b/>
                      <w:color w:val="000000" w:themeColor="text1"/>
                      <w:szCs w:val="21"/>
                      <w:lang w:val="en-US"/>
                    </w:rPr>
                  </w:pPr>
                  <w:r>
                    <w:rPr>
                      <w:rFonts w:hint="eastAsia"/>
                      <w:b/>
                      <w:color w:val="000000" w:themeColor="text1"/>
                      <w:szCs w:val="21"/>
                      <w:lang w:val="en-US"/>
                    </w:rPr>
                    <w:t>监测时间：</w:t>
                  </w:r>
                  <w:r>
                    <w:rPr>
                      <w:rFonts w:hint="eastAsia"/>
                      <w:color w:val="000000" w:themeColor="text1"/>
                      <w:szCs w:val="21"/>
                    </w:rPr>
                    <w:t>20</w:t>
                  </w:r>
                  <w:r>
                    <w:rPr>
                      <w:rFonts w:hint="eastAsia"/>
                      <w:color w:val="000000" w:themeColor="text1"/>
                      <w:szCs w:val="21"/>
                      <w:lang w:val="en-US" w:eastAsia="zh-CN"/>
                    </w:rPr>
                    <w:t>20</w:t>
                  </w:r>
                  <w:r>
                    <w:rPr>
                      <w:rFonts w:hint="eastAsia"/>
                      <w:color w:val="000000" w:themeColor="text1"/>
                      <w:szCs w:val="21"/>
                    </w:rPr>
                    <w:t>年</w:t>
                  </w:r>
                  <w:r>
                    <w:rPr>
                      <w:rFonts w:hint="eastAsia"/>
                      <w:color w:val="000000" w:themeColor="text1"/>
                      <w:szCs w:val="21"/>
                      <w:lang w:val="en-US" w:eastAsia="zh-CN"/>
                    </w:rPr>
                    <w:t>8</w:t>
                  </w:r>
                  <w:r>
                    <w:rPr>
                      <w:rFonts w:hint="eastAsia"/>
                      <w:color w:val="000000" w:themeColor="text1"/>
                      <w:szCs w:val="21"/>
                    </w:rPr>
                    <w:t>月</w:t>
                  </w:r>
                  <w:r>
                    <w:rPr>
                      <w:rFonts w:hint="eastAsia"/>
                      <w:color w:val="000000" w:themeColor="text1"/>
                      <w:szCs w:val="21"/>
                      <w:lang w:val="en-US" w:eastAsia="zh-CN"/>
                    </w:rPr>
                    <w:t>28</w:t>
                  </w:r>
                  <w:r>
                    <w:rPr>
                      <w:rFonts w:hint="eastAsia"/>
                      <w:color w:val="000000" w:themeColor="text1"/>
                      <w:szCs w:val="21"/>
                    </w:rPr>
                    <w:t>日</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20" w:type="pct"/>
                  <w:vMerge w:val="continue"/>
                  <w:vAlign w:val="center"/>
                </w:tcPr>
                <w:p>
                  <w:pPr>
                    <w:adjustRightInd w:val="0"/>
                    <w:snapToGrid w:val="0"/>
                    <w:jc w:val="center"/>
                    <w:rPr>
                      <w:b/>
                      <w:color w:val="000000" w:themeColor="text1"/>
                      <w:szCs w:val="21"/>
                    </w:rPr>
                  </w:pPr>
                </w:p>
              </w:tc>
              <w:tc>
                <w:tcPr>
                  <w:tcW w:w="1477" w:type="pct"/>
                  <w:vMerge w:val="continue"/>
                  <w:vAlign w:val="center"/>
                </w:tcPr>
                <w:p>
                  <w:pPr>
                    <w:adjustRightInd w:val="0"/>
                    <w:snapToGrid w:val="0"/>
                    <w:jc w:val="center"/>
                    <w:rPr>
                      <w:b/>
                      <w:color w:val="000000" w:themeColor="text1"/>
                      <w:szCs w:val="21"/>
                      <w:lang w:val="en-US"/>
                    </w:rPr>
                  </w:pPr>
                </w:p>
              </w:tc>
              <w:tc>
                <w:tcPr>
                  <w:tcW w:w="2501" w:type="pct"/>
                  <w:gridSpan w:val="2"/>
                  <w:vAlign w:val="center"/>
                </w:tcPr>
                <w:p>
                  <w:pPr>
                    <w:adjustRightInd w:val="0"/>
                    <w:snapToGrid w:val="0"/>
                    <w:jc w:val="center"/>
                    <w:rPr>
                      <w:b/>
                      <w:color w:val="000000" w:themeColor="text1"/>
                      <w:szCs w:val="21"/>
                      <w:lang w:val="en-US"/>
                    </w:rPr>
                  </w:pPr>
                  <w:r>
                    <w:rPr>
                      <w:rFonts w:hint="eastAsia"/>
                      <w:b/>
                      <w:color w:val="000000" w:themeColor="text1"/>
                      <w:szCs w:val="21"/>
                      <w:lang w:val="en-US"/>
                    </w:rPr>
                    <w:t>计算后监测结果</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0" w:type="pct"/>
                  <w:vMerge w:val="continue"/>
                  <w:vAlign w:val="center"/>
                </w:tcPr>
                <w:p>
                  <w:pPr>
                    <w:adjustRightInd w:val="0"/>
                    <w:snapToGrid w:val="0"/>
                    <w:jc w:val="center"/>
                    <w:rPr>
                      <w:color w:val="000000" w:themeColor="text1"/>
                      <w:szCs w:val="21"/>
                      <w:lang w:val="en-US"/>
                    </w:rPr>
                  </w:pPr>
                </w:p>
              </w:tc>
              <w:tc>
                <w:tcPr>
                  <w:tcW w:w="1477" w:type="pct"/>
                  <w:vMerge w:val="continue"/>
                  <w:vAlign w:val="center"/>
                </w:tcPr>
                <w:p>
                  <w:pPr>
                    <w:adjustRightInd w:val="0"/>
                    <w:snapToGrid w:val="0"/>
                    <w:jc w:val="center"/>
                    <w:rPr>
                      <w:b/>
                      <w:color w:val="000000" w:themeColor="text1"/>
                      <w:szCs w:val="21"/>
                      <w:lang w:val="en-US"/>
                    </w:rPr>
                  </w:pPr>
                </w:p>
              </w:tc>
              <w:tc>
                <w:tcPr>
                  <w:tcW w:w="1251" w:type="pct"/>
                  <w:vAlign w:val="center"/>
                </w:tcPr>
                <w:p>
                  <w:pPr>
                    <w:adjustRightInd w:val="0"/>
                    <w:snapToGrid w:val="0"/>
                    <w:jc w:val="center"/>
                    <w:rPr>
                      <w:b/>
                      <w:color w:val="000000" w:themeColor="text1"/>
                      <w:szCs w:val="21"/>
                      <w:lang w:val="en-US"/>
                    </w:rPr>
                  </w:pPr>
                  <w:r>
                    <w:rPr>
                      <w:rFonts w:hint="eastAsia"/>
                      <w:b/>
                      <w:color w:val="000000" w:themeColor="text1"/>
                      <w:szCs w:val="21"/>
                      <w:lang w:val="en-US"/>
                    </w:rPr>
                    <w:t>昼间</w:t>
                  </w:r>
                </w:p>
              </w:tc>
              <w:tc>
                <w:tcPr>
                  <w:tcW w:w="1250" w:type="pct"/>
                  <w:vAlign w:val="center"/>
                </w:tcPr>
                <w:p>
                  <w:pPr>
                    <w:adjustRightInd w:val="0"/>
                    <w:snapToGrid w:val="0"/>
                    <w:jc w:val="center"/>
                    <w:rPr>
                      <w:b/>
                      <w:color w:val="000000" w:themeColor="text1"/>
                      <w:szCs w:val="21"/>
                      <w:lang w:val="en-US"/>
                    </w:rPr>
                  </w:pPr>
                  <w:r>
                    <w:rPr>
                      <w:rFonts w:hint="eastAsia"/>
                      <w:b/>
                      <w:color w:val="000000" w:themeColor="text1"/>
                      <w:szCs w:val="21"/>
                      <w:lang w:val="en-US"/>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0" w:type="pct"/>
                  <w:vAlign w:val="center"/>
                </w:tcPr>
                <w:p>
                  <w:pPr>
                    <w:adjustRightInd w:val="0"/>
                    <w:snapToGrid w:val="0"/>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N1</w:t>
                  </w:r>
                </w:p>
              </w:tc>
              <w:tc>
                <w:tcPr>
                  <w:tcW w:w="1477" w:type="pct"/>
                  <w:vAlign w:val="center"/>
                </w:tcPr>
                <w:p>
                  <w:pPr>
                    <w:adjustRightInd w:val="0"/>
                    <w:snapToGrid w:val="0"/>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厂界东</w:t>
                  </w:r>
                </w:p>
              </w:tc>
              <w:tc>
                <w:tcPr>
                  <w:tcW w:w="1251"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57.7</w:t>
                  </w:r>
                </w:p>
              </w:tc>
              <w:tc>
                <w:tcPr>
                  <w:tcW w:w="125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0" w:type="pct"/>
                  <w:vAlign w:val="center"/>
                </w:tcPr>
                <w:p>
                  <w:pPr>
                    <w:adjustRightInd w:val="0"/>
                    <w:snapToGrid w:val="0"/>
                    <w:ind w:firstLine="525" w:firstLineChars="25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 xml:space="preserve"> N2</w:t>
                  </w:r>
                </w:p>
              </w:tc>
              <w:tc>
                <w:tcPr>
                  <w:tcW w:w="1477" w:type="pct"/>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厂界</w:t>
                  </w:r>
                  <w:r>
                    <w:rPr>
                      <w:rFonts w:hint="eastAsia"/>
                      <w:color w:val="000000" w:themeColor="text1"/>
                      <w:szCs w:val="21"/>
                      <w:lang w:val="en-US" w:eastAsia="zh-CN"/>
                      <w14:textFill>
                        <w14:solidFill>
                          <w14:schemeClr w14:val="tx1"/>
                        </w14:solidFill>
                      </w14:textFill>
                    </w:rPr>
                    <w:t>南</w:t>
                  </w:r>
                </w:p>
              </w:tc>
              <w:tc>
                <w:tcPr>
                  <w:tcW w:w="1251"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57.3</w:t>
                  </w:r>
                </w:p>
              </w:tc>
              <w:tc>
                <w:tcPr>
                  <w:tcW w:w="125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0" w:type="pct"/>
                  <w:vAlign w:val="center"/>
                </w:tcPr>
                <w:p>
                  <w:pPr>
                    <w:adjustRightInd w:val="0"/>
                    <w:snapToGrid w:val="0"/>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N3</w:t>
                  </w:r>
                </w:p>
              </w:tc>
              <w:tc>
                <w:tcPr>
                  <w:tcW w:w="1477" w:type="pct"/>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厂界</w:t>
                  </w:r>
                  <w:r>
                    <w:rPr>
                      <w:rFonts w:hint="eastAsia"/>
                      <w:color w:val="000000" w:themeColor="text1"/>
                      <w:szCs w:val="21"/>
                      <w:lang w:val="en-US" w:eastAsia="zh-CN"/>
                      <w14:textFill>
                        <w14:solidFill>
                          <w14:schemeClr w14:val="tx1"/>
                        </w14:solidFill>
                      </w14:textFill>
                    </w:rPr>
                    <w:t>西</w:t>
                  </w:r>
                </w:p>
              </w:tc>
              <w:tc>
                <w:tcPr>
                  <w:tcW w:w="1251"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58.4</w:t>
                  </w:r>
                </w:p>
              </w:tc>
              <w:tc>
                <w:tcPr>
                  <w:tcW w:w="125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0" w:type="pct"/>
                  <w:vAlign w:val="center"/>
                </w:tcPr>
                <w:p>
                  <w:pPr>
                    <w:adjustRightInd w:val="0"/>
                    <w:snapToGrid w:val="0"/>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N4</w:t>
                  </w:r>
                </w:p>
              </w:tc>
              <w:tc>
                <w:tcPr>
                  <w:tcW w:w="1477" w:type="pct"/>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厂界</w:t>
                  </w:r>
                  <w:r>
                    <w:rPr>
                      <w:rFonts w:hint="eastAsia"/>
                      <w:color w:val="000000" w:themeColor="text1"/>
                      <w:szCs w:val="21"/>
                      <w:lang w:val="en-US" w:eastAsia="zh-CN"/>
                      <w14:textFill>
                        <w14:solidFill>
                          <w14:schemeClr w14:val="tx1"/>
                        </w14:solidFill>
                      </w14:textFill>
                    </w:rPr>
                    <w:t>北</w:t>
                  </w:r>
                </w:p>
              </w:tc>
              <w:tc>
                <w:tcPr>
                  <w:tcW w:w="1251"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59.1</w:t>
                  </w:r>
                </w:p>
              </w:tc>
              <w:tc>
                <w:tcPr>
                  <w:tcW w:w="125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49.3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N5</w:t>
                  </w:r>
                </w:p>
              </w:tc>
              <w:tc>
                <w:tcPr>
                  <w:tcW w:w="1477" w:type="pct"/>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敏感点</w:t>
                  </w:r>
                </w:p>
              </w:tc>
              <w:tc>
                <w:tcPr>
                  <w:tcW w:w="1251"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57.8</w:t>
                  </w:r>
                </w:p>
              </w:tc>
              <w:tc>
                <w:tcPr>
                  <w:tcW w:w="1250" w:type="pct"/>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47.4</w:t>
                  </w:r>
                </w:p>
              </w:tc>
            </w:tr>
          </w:tbl>
          <w:p>
            <w:pPr>
              <w:pStyle w:val="224"/>
              <w:spacing w:line="360" w:lineRule="auto"/>
              <w:ind w:firstLine="480" w:firstLineChars="200"/>
              <w:jc w:val="both"/>
              <w:rPr>
                <w:rFonts w:ascii="Times New Roman" w:cs="Times New Roman"/>
                <w:color w:val="FF0000"/>
              </w:rPr>
            </w:pPr>
            <w:r>
              <w:rPr>
                <w:rFonts w:hint="eastAsia" w:ascii="Times New Roman" w:cs="Times New Roman"/>
                <w:color w:val="000000" w:themeColor="text1"/>
                <w14:textFill>
                  <w14:solidFill>
                    <w14:schemeClr w14:val="tx1"/>
                  </w14:solidFill>
                </w14:textFill>
              </w:rPr>
              <w:t>监测结果表明，本项目所在地声环境质量达到《声环境质量标准》（</w:t>
            </w:r>
            <w:r>
              <w:rPr>
                <w:rFonts w:ascii="Times New Roman" w:cs="Times New Roman"/>
                <w:color w:val="000000" w:themeColor="text1"/>
              </w:rPr>
              <w:t>GB3096- 2008</w:t>
            </w:r>
            <w:r>
              <w:rPr>
                <w:rFonts w:hint="eastAsia" w:ascii="Times New Roman" w:cs="Times New Roman"/>
                <w:color w:val="000000" w:themeColor="text1"/>
              </w:rPr>
              <w:t>）中的</w:t>
            </w:r>
            <w:r>
              <w:rPr>
                <w:rFonts w:ascii="Times New Roman" w:cs="Times New Roman"/>
                <w:color w:val="000000" w:themeColor="text1"/>
              </w:rPr>
              <w:t>3</w:t>
            </w:r>
            <w:r>
              <w:rPr>
                <w:rFonts w:hint="eastAsia" w:ascii="Times New Roman" w:cs="Times New Roman"/>
                <w:color w:val="000000" w:themeColor="text1"/>
              </w:rPr>
              <w:t>类标准</w:t>
            </w:r>
            <w:r>
              <w:rPr>
                <w:rFonts w:hint="eastAsia" w:ascii="Times New Roman" w:cs="Times New Roman"/>
                <w:color w:val="000000" w:themeColor="text1"/>
                <w:lang w:eastAsia="zh-CN"/>
              </w:rPr>
              <w:t>，附近敏感点</w:t>
            </w:r>
            <w:r>
              <w:rPr>
                <w:rFonts w:hint="eastAsia" w:ascii="Times New Roman" w:cs="Times New Roman"/>
                <w:color w:val="000000" w:themeColor="text1"/>
              </w:rPr>
              <w:t>声环境质量达到《声环境质量标准》（</w:t>
            </w:r>
            <w:r>
              <w:rPr>
                <w:rFonts w:ascii="Times New Roman" w:cs="Times New Roman"/>
                <w:color w:val="000000" w:themeColor="text1"/>
              </w:rPr>
              <w:t>GB3096- 2008</w:t>
            </w:r>
            <w:r>
              <w:rPr>
                <w:rFonts w:hint="eastAsia" w:ascii="Times New Roman" w:cs="Times New Roman"/>
                <w:color w:val="000000" w:themeColor="text1"/>
              </w:rPr>
              <w:t>）中的</w:t>
            </w:r>
            <w:r>
              <w:rPr>
                <w:rFonts w:hint="eastAsia" w:ascii="Times New Roman" w:cs="Times New Roman"/>
                <w:color w:val="000000" w:themeColor="text1"/>
                <w:lang w:val="en-US" w:eastAsia="zh-CN"/>
              </w:rPr>
              <w:t>2</w:t>
            </w:r>
            <w:r>
              <w:rPr>
                <w:rFonts w:hint="eastAsia" w:ascii="Times New Roman" w:cs="Times New Roman"/>
                <w:color w:val="000000" w:themeColor="text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541" w:type="dxa"/>
          </w:tcPr>
          <w:p>
            <w:pPr>
              <w:spacing w:beforeLines="50" w:line="360" w:lineRule="auto"/>
              <w:rPr>
                <w:b/>
                <w:sz w:val="24"/>
              </w:rPr>
            </w:pPr>
            <w:bookmarkStart w:id="25" w:name="_Toc303260176"/>
            <w:bookmarkStart w:id="26" w:name="_Toc294082155"/>
            <w:r>
              <w:rPr>
                <w:rFonts w:hint="eastAsia" w:hAnsi="宋体"/>
                <w:b/>
                <w:sz w:val="24"/>
              </w:rPr>
              <w:t>一、</w:t>
            </w:r>
            <w:r>
              <w:rPr>
                <w:rFonts w:hAnsi="宋体"/>
                <w:b/>
                <w:sz w:val="24"/>
              </w:rPr>
              <w:t>主要环境保护目标（列出名单及保护级别）：</w:t>
            </w:r>
          </w:p>
          <w:p>
            <w:pPr>
              <w:pStyle w:val="40"/>
              <w:spacing w:line="360" w:lineRule="auto"/>
              <w:ind w:firstLine="480" w:firstLineChars="200"/>
            </w:pPr>
            <w:r>
              <w:rPr>
                <w:rFonts w:ascii="Times New Roman" w:hAnsi="宋体"/>
                <w:sz w:val="24"/>
              </w:rPr>
              <w:t>本项目主要环境敏感目标见表</w:t>
            </w:r>
            <w:r>
              <w:rPr>
                <w:rFonts w:ascii="Times New Roman" w:hAnsi="Times New Roman"/>
                <w:sz w:val="24"/>
              </w:rPr>
              <w:t>3-3</w:t>
            </w:r>
            <w:r>
              <w:rPr>
                <w:rFonts w:hint="eastAsia" w:ascii="Times New Roman" w:hAnsi="Times New Roman"/>
                <w:sz w:val="24"/>
              </w:rPr>
              <w:t>、</w:t>
            </w:r>
            <w:r>
              <w:rPr>
                <w:rFonts w:ascii="Times New Roman" w:hAnsi="Times New Roman"/>
                <w:sz w:val="24"/>
              </w:rPr>
              <w:t>3-4</w:t>
            </w:r>
            <w:r>
              <w:rPr>
                <w:rFonts w:ascii="Times New Roman" w:hAnsi="宋体"/>
                <w:sz w:val="24"/>
              </w:rPr>
              <w:t>。</w:t>
            </w:r>
          </w:p>
          <w:p>
            <w:pPr>
              <w:pStyle w:val="11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hAnsi="宋体"/>
                <w:sz w:val="24"/>
                <w:szCs w:val="24"/>
              </w:rPr>
            </w:pPr>
            <w:r>
              <w:rPr>
                <w:rFonts w:hint="eastAsia" w:hAnsi="宋体"/>
                <w:sz w:val="24"/>
                <w:szCs w:val="24"/>
                <w:lang w:val="en-US"/>
              </w:rPr>
              <w:t>表3-3  本项目周围</w:t>
            </w:r>
            <w:r>
              <w:rPr>
                <w:rFonts w:hint="eastAsia" w:hAnsi="宋体"/>
                <w:sz w:val="24"/>
                <w:szCs w:val="24"/>
              </w:rPr>
              <w:t>主要环境敏感目标（500m 范围内）</w:t>
            </w:r>
          </w:p>
          <w:tbl>
            <w:tblPr>
              <w:tblStyle w:val="75"/>
              <w:tblW w:w="830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996"/>
              <w:gridCol w:w="899"/>
              <w:gridCol w:w="793"/>
              <w:gridCol w:w="671"/>
              <w:gridCol w:w="1038"/>
              <w:gridCol w:w="1320"/>
              <w:gridCol w:w="670"/>
              <w:gridCol w:w="87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pStyle w:val="114"/>
                    <w:widowControl w:val="0"/>
                    <w:numPr>
                      <w:ilvl w:val="0"/>
                      <w:numId w:val="0"/>
                    </w:numPr>
                    <w:rPr>
                      <w:rFonts w:hAnsi="宋体"/>
                    </w:rPr>
                  </w:pPr>
                  <w:r>
                    <w:rPr>
                      <w:rFonts w:hint="eastAsia" w:hAnsi="宋体"/>
                    </w:rPr>
                    <w:t>名称</w:t>
                  </w:r>
                </w:p>
              </w:tc>
              <w:tc>
                <w:tcPr>
                  <w:tcW w:w="1418" w:type="dxa"/>
                  <w:gridSpan w:val="2"/>
                  <w:vAlign w:val="center"/>
                </w:tcPr>
                <w:p>
                  <w:pPr>
                    <w:pStyle w:val="114"/>
                    <w:widowControl w:val="0"/>
                    <w:numPr>
                      <w:ilvl w:val="0"/>
                      <w:numId w:val="0"/>
                    </w:numPr>
                    <w:rPr>
                      <w:rFonts w:hAnsi="宋体"/>
                    </w:rPr>
                  </w:pPr>
                  <w:r>
                    <w:rPr>
                      <w:rFonts w:hint="eastAsia" w:hAnsi="宋体"/>
                    </w:rPr>
                    <w:t>坐标</w:t>
                  </w:r>
                </w:p>
              </w:tc>
              <w:tc>
                <w:tcPr>
                  <w:tcW w:w="850" w:type="dxa"/>
                  <w:vMerge w:val="restart"/>
                  <w:vAlign w:val="center"/>
                </w:tcPr>
                <w:p>
                  <w:pPr>
                    <w:pStyle w:val="114"/>
                    <w:widowControl w:val="0"/>
                    <w:numPr>
                      <w:ilvl w:val="0"/>
                      <w:numId w:val="0"/>
                    </w:numPr>
                    <w:rPr>
                      <w:rFonts w:hAnsi="宋体"/>
                    </w:rPr>
                  </w:pPr>
                  <w:r>
                    <w:rPr>
                      <w:rFonts w:hint="eastAsia" w:hAnsi="宋体"/>
                    </w:rPr>
                    <w:t>保护对象</w:t>
                  </w:r>
                </w:p>
              </w:tc>
              <w:tc>
                <w:tcPr>
                  <w:tcW w:w="709" w:type="dxa"/>
                  <w:vMerge w:val="restart"/>
                  <w:vAlign w:val="center"/>
                </w:tcPr>
                <w:p>
                  <w:pPr>
                    <w:pStyle w:val="114"/>
                    <w:widowControl w:val="0"/>
                    <w:numPr>
                      <w:ilvl w:val="0"/>
                      <w:numId w:val="0"/>
                    </w:numPr>
                    <w:rPr>
                      <w:rFonts w:hAnsi="宋体"/>
                    </w:rPr>
                  </w:pPr>
                  <w:r>
                    <w:rPr>
                      <w:rFonts w:hint="eastAsia" w:hAnsi="宋体"/>
                    </w:rPr>
                    <w:t>保护内容</w:t>
                  </w:r>
                </w:p>
              </w:tc>
              <w:tc>
                <w:tcPr>
                  <w:tcW w:w="1134" w:type="dxa"/>
                  <w:vMerge w:val="restart"/>
                  <w:vAlign w:val="center"/>
                </w:tcPr>
                <w:p>
                  <w:pPr>
                    <w:pStyle w:val="114"/>
                    <w:widowControl w:val="0"/>
                    <w:numPr>
                      <w:ilvl w:val="0"/>
                      <w:numId w:val="0"/>
                    </w:numPr>
                    <w:rPr>
                      <w:rFonts w:hAnsi="宋体"/>
                    </w:rPr>
                  </w:pPr>
                  <w:r>
                    <w:rPr>
                      <w:rFonts w:hint="eastAsia" w:hAnsi="宋体"/>
                    </w:rPr>
                    <w:t>环境功能区</w:t>
                  </w:r>
                </w:p>
              </w:tc>
              <w:tc>
                <w:tcPr>
                  <w:tcW w:w="1418" w:type="dxa"/>
                  <w:vMerge w:val="restart"/>
                  <w:vAlign w:val="center"/>
                </w:tcPr>
                <w:p>
                  <w:pPr>
                    <w:pStyle w:val="114"/>
                    <w:widowControl w:val="0"/>
                    <w:numPr>
                      <w:ilvl w:val="0"/>
                      <w:numId w:val="0"/>
                    </w:numPr>
                    <w:rPr>
                      <w:rFonts w:hAnsi="宋体"/>
                    </w:rPr>
                  </w:pPr>
                  <w:r>
                    <w:rPr>
                      <w:rFonts w:hint="eastAsia" w:hAnsi="宋体"/>
                    </w:rPr>
                    <w:t>规模</w:t>
                  </w:r>
                </w:p>
              </w:tc>
              <w:tc>
                <w:tcPr>
                  <w:tcW w:w="708" w:type="dxa"/>
                  <w:vMerge w:val="restart"/>
                  <w:vAlign w:val="center"/>
                </w:tcPr>
                <w:p>
                  <w:pPr>
                    <w:pStyle w:val="114"/>
                    <w:widowControl w:val="0"/>
                    <w:numPr>
                      <w:ilvl w:val="0"/>
                      <w:numId w:val="0"/>
                    </w:numPr>
                    <w:rPr>
                      <w:rFonts w:hAnsi="宋体"/>
                    </w:rPr>
                  </w:pPr>
                  <w:r>
                    <w:rPr>
                      <w:rFonts w:hint="eastAsia" w:hAnsi="宋体"/>
                    </w:rPr>
                    <w:t>相对方位</w:t>
                  </w:r>
                </w:p>
              </w:tc>
              <w:tc>
                <w:tcPr>
                  <w:tcW w:w="931" w:type="dxa"/>
                  <w:vMerge w:val="restart"/>
                  <w:vAlign w:val="center"/>
                </w:tcPr>
                <w:p>
                  <w:pPr>
                    <w:pStyle w:val="114"/>
                    <w:widowControl w:val="0"/>
                    <w:numPr>
                      <w:ilvl w:val="0"/>
                      <w:numId w:val="0"/>
                    </w:numPr>
                    <w:rPr>
                      <w:rFonts w:hAnsi="宋体"/>
                      <w:lang w:val="en-US"/>
                    </w:rPr>
                  </w:pPr>
                  <w:r>
                    <w:rPr>
                      <w:rFonts w:hint="eastAsia" w:hAnsi="宋体"/>
                    </w:rPr>
                    <w:t>相对距离</w:t>
                  </w:r>
                  <w:r>
                    <w:rPr>
                      <w:rFonts w:hAnsi="宋体"/>
                      <w:lang w:val="en-US"/>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pStyle w:val="114"/>
                    <w:widowControl w:val="0"/>
                  </w:pPr>
                </w:p>
              </w:tc>
              <w:tc>
                <w:tcPr>
                  <w:tcW w:w="709" w:type="dxa"/>
                  <w:vAlign w:val="center"/>
                </w:tcPr>
                <w:p>
                  <w:pPr>
                    <w:pStyle w:val="114"/>
                    <w:widowControl w:val="0"/>
                    <w:numPr>
                      <w:ilvl w:val="0"/>
                      <w:numId w:val="0"/>
                    </w:numPr>
                    <w:rPr>
                      <w:rFonts w:hAnsi="宋体"/>
                      <w:lang w:val="en-US"/>
                    </w:rPr>
                  </w:pPr>
                  <w:r>
                    <w:rPr>
                      <w:rFonts w:hAnsi="宋体"/>
                      <w:lang w:val="en-US"/>
                    </w:rPr>
                    <w:t>X</w:t>
                  </w:r>
                </w:p>
              </w:tc>
              <w:tc>
                <w:tcPr>
                  <w:tcW w:w="709" w:type="dxa"/>
                  <w:vAlign w:val="center"/>
                </w:tcPr>
                <w:p>
                  <w:pPr>
                    <w:pStyle w:val="114"/>
                    <w:widowControl w:val="0"/>
                    <w:numPr>
                      <w:ilvl w:val="0"/>
                      <w:numId w:val="0"/>
                    </w:numPr>
                    <w:rPr>
                      <w:rFonts w:hAnsi="宋体"/>
                      <w:lang w:val="en-US"/>
                    </w:rPr>
                  </w:pPr>
                  <w:r>
                    <w:rPr>
                      <w:rFonts w:hAnsi="宋体"/>
                      <w:lang w:val="en-US"/>
                    </w:rPr>
                    <w:t>Y</w:t>
                  </w:r>
                </w:p>
              </w:tc>
              <w:tc>
                <w:tcPr>
                  <w:tcW w:w="850" w:type="dxa"/>
                  <w:vMerge w:val="continue"/>
                  <w:vAlign w:val="center"/>
                </w:tcPr>
                <w:p>
                  <w:pPr>
                    <w:pStyle w:val="114"/>
                    <w:widowControl w:val="0"/>
                    <w:rPr>
                      <w:rFonts w:hAnsi="宋体"/>
                    </w:rPr>
                  </w:pPr>
                </w:p>
              </w:tc>
              <w:tc>
                <w:tcPr>
                  <w:tcW w:w="709" w:type="dxa"/>
                  <w:vMerge w:val="continue"/>
                  <w:vAlign w:val="center"/>
                </w:tcPr>
                <w:p>
                  <w:pPr>
                    <w:pStyle w:val="114"/>
                    <w:widowControl w:val="0"/>
                    <w:rPr>
                      <w:rFonts w:hAnsi="宋体"/>
                    </w:rPr>
                  </w:pPr>
                </w:p>
              </w:tc>
              <w:tc>
                <w:tcPr>
                  <w:tcW w:w="1134" w:type="dxa"/>
                  <w:vMerge w:val="continue"/>
                  <w:vAlign w:val="center"/>
                </w:tcPr>
                <w:p>
                  <w:pPr>
                    <w:pStyle w:val="114"/>
                    <w:widowControl w:val="0"/>
                    <w:rPr>
                      <w:rFonts w:hAnsi="宋体"/>
                    </w:rPr>
                  </w:pPr>
                </w:p>
              </w:tc>
              <w:tc>
                <w:tcPr>
                  <w:tcW w:w="1418" w:type="dxa"/>
                  <w:vMerge w:val="continue"/>
                  <w:vAlign w:val="center"/>
                </w:tcPr>
                <w:p>
                  <w:pPr>
                    <w:pStyle w:val="114"/>
                    <w:widowControl w:val="0"/>
                    <w:rPr>
                      <w:rFonts w:hAnsi="宋体"/>
                    </w:rPr>
                  </w:pPr>
                </w:p>
              </w:tc>
              <w:tc>
                <w:tcPr>
                  <w:tcW w:w="708" w:type="dxa"/>
                  <w:vMerge w:val="continue"/>
                  <w:vAlign w:val="center"/>
                </w:tcPr>
                <w:p>
                  <w:pPr>
                    <w:pStyle w:val="114"/>
                    <w:widowControl w:val="0"/>
                    <w:rPr>
                      <w:rFonts w:hAnsi="宋体"/>
                    </w:rPr>
                  </w:pPr>
                </w:p>
              </w:tc>
              <w:tc>
                <w:tcPr>
                  <w:tcW w:w="931" w:type="dxa"/>
                  <w:vMerge w:val="continue"/>
                  <w:vAlign w:val="center"/>
                </w:tcPr>
                <w:p>
                  <w:pPr>
                    <w:pStyle w:val="114"/>
                    <w:widowControl w:val="0"/>
                    <w:rPr>
                      <w:rFonts w:hAnsi="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pStyle w:val="114"/>
                    <w:widowControl w:val="0"/>
                    <w:numPr>
                      <w:ilvl w:val="0"/>
                      <w:numId w:val="0"/>
                    </w:numPr>
                    <w:rPr>
                      <w:rFonts w:hint="eastAsia" w:eastAsia="宋体"/>
                      <w:b w:val="0"/>
                      <w:lang w:eastAsia="zh-CN"/>
                    </w:rPr>
                  </w:pPr>
                  <w:r>
                    <w:rPr>
                      <w:rFonts w:hint="eastAsia"/>
                      <w:b w:val="0"/>
                      <w:lang w:eastAsia="zh-CN"/>
                    </w:rPr>
                    <w:t>查林村</w:t>
                  </w:r>
                </w:p>
              </w:tc>
              <w:tc>
                <w:tcPr>
                  <w:tcW w:w="709" w:type="dxa"/>
                  <w:vAlign w:val="center"/>
                </w:tcPr>
                <w:p>
                  <w:pPr>
                    <w:pStyle w:val="114"/>
                    <w:widowControl w:val="0"/>
                    <w:numPr>
                      <w:ilvl w:val="0"/>
                      <w:numId w:val="0"/>
                    </w:numPr>
                    <w:rPr>
                      <w:rFonts w:hint="default" w:hAnsi="宋体" w:eastAsia="宋体"/>
                      <w:b w:val="0"/>
                      <w:bCs/>
                      <w:lang w:val="en-US" w:eastAsia="zh-CN"/>
                    </w:rPr>
                  </w:pPr>
                  <w:r>
                    <w:rPr>
                      <w:rFonts w:hAnsi="宋体"/>
                      <w:b w:val="0"/>
                      <w:bCs/>
                      <w:lang w:val="en-US"/>
                    </w:rPr>
                    <w:t>119.8</w:t>
                  </w:r>
                  <w:r>
                    <w:rPr>
                      <w:rFonts w:hint="eastAsia" w:hAnsi="宋体"/>
                      <w:b w:val="0"/>
                      <w:bCs/>
                      <w:lang w:val="en-US" w:eastAsia="zh-CN"/>
                    </w:rPr>
                    <w:t>190</w:t>
                  </w:r>
                </w:p>
              </w:tc>
              <w:tc>
                <w:tcPr>
                  <w:tcW w:w="709" w:type="dxa"/>
                  <w:vAlign w:val="center"/>
                </w:tcPr>
                <w:p>
                  <w:pPr>
                    <w:pStyle w:val="114"/>
                    <w:widowControl w:val="0"/>
                    <w:numPr>
                      <w:ilvl w:val="0"/>
                      <w:numId w:val="0"/>
                    </w:numPr>
                    <w:rPr>
                      <w:rFonts w:hint="default" w:hAnsi="宋体" w:eastAsia="宋体"/>
                      <w:b w:val="0"/>
                      <w:bCs/>
                      <w:lang w:val="en-US" w:eastAsia="zh-CN"/>
                    </w:rPr>
                  </w:pPr>
                  <w:r>
                    <w:rPr>
                      <w:rFonts w:hAnsi="宋体"/>
                      <w:b w:val="0"/>
                      <w:bCs/>
                      <w:lang w:val="en-US"/>
                    </w:rPr>
                    <w:t>31.29</w:t>
                  </w:r>
                  <w:r>
                    <w:rPr>
                      <w:rFonts w:hint="eastAsia" w:hAnsi="宋体"/>
                      <w:b w:val="0"/>
                      <w:bCs/>
                      <w:lang w:val="en-US" w:eastAsia="zh-CN"/>
                    </w:rPr>
                    <w:t>89</w:t>
                  </w:r>
                </w:p>
              </w:tc>
              <w:tc>
                <w:tcPr>
                  <w:tcW w:w="850" w:type="dxa"/>
                  <w:vAlign w:val="center"/>
                </w:tcPr>
                <w:p>
                  <w:pPr>
                    <w:pStyle w:val="114"/>
                    <w:widowControl w:val="0"/>
                    <w:numPr>
                      <w:ilvl w:val="0"/>
                      <w:numId w:val="0"/>
                    </w:numPr>
                    <w:rPr>
                      <w:rFonts w:hAnsi="宋体"/>
                      <w:b w:val="0"/>
                      <w:bCs/>
                    </w:rPr>
                  </w:pPr>
                  <w:r>
                    <w:rPr>
                      <w:rFonts w:hint="eastAsia" w:hAnsi="宋体"/>
                      <w:b w:val="0"/>
                      <w:bCs/>
                    </w:rPr>
                    <w:t>居民区</w:t>
                  </w:r>
                </w:p>
              </w:tc>
              <w:tc>
                <w:tcPr>
                  <w:tcW w:w="709" w:type="dxa"/>
                  <w:vAlign w:val="center"/>
                </w:tcPr>
                <w:p>
                  <w:pPr>
                    <w:pStyle w:val="114"/>
                    <w:widowControl w:val="0"/>
                    <w:numPr>
                      <w:ilvl w:val="0"/>
                      <w:numId w:val="0"/>
                    </w:numPr>
                    <w:rPr>
                      <w:rFonts w:hAnsi="宋体"/>
                      <w:b w:val="0"/>
                      <w:bCs/>
                    </w:rPr>
                  </w:pPr>
                  <w:r>
                    <w:rPr>
                      <w:rFonts w:hint="eastAsia" w:hAnsi="宋体"/>
                      <w:b w:val="0"/>
                      <w:bCs/>
                    </w:rPr>
                    <w:t>人群</w:t>
                  </w:r>
                </w:p>
              </w:tc>
              <w:tc>
                <w:tcPr>
                  <w:tcW w:w="1134" w:type="dxa"/>
                  <w:vAlign w:val="center"/>
                </w:tcPr>
                <w:p>
                  <w:pPr>
                    <w:pStyle w:val="114"/>
                    <w:widowControl w:val="0"/>
                    <w:numPr>
                      <w:ilvl w:val="0"/>
                      <w:numId w:val="0"/>
                    </w:numPr>
                    <w:rPr>
                      <w:rFonts w:hAnsi="宋体"/>
                      <w:b w:val="0"/>
                      <w:bCs/>
                    </w:rPr>
                  </w:pPr>
                  <w:r>
                    <w:rPr>
                      <w:rFonts w:hint="eastAsia" w:hAnsi="宋体"/>
                      <w:b w:val="0"/>
                      <w:bCs/>
                    </w:rPr>
                    <w:t>二类区</w:t>
                  </w:r>
                </w:p>
              </w:tc>
              <w:tc>
                <w:tcPr>
                  <w:tcW w:w="1418" w:type="dxa"/>
                  <w:vAlign w:val="center"/>
                </w:tcPr>
                <w:p>
                  <w:pPr>
                    <w:pStyle w:val="114"/>
                    <w:widowControl w:val="0"/>
                    <w:numPr>
                      <w:ilvl w:val="0"/>
                      <w:numId w:val="0"/>
                    </w:numPr>
                    <w:rPr>
                      <w:b w:val="0"/>
                    </w:rPr>
                  </w:pPr>
                  <w:r>
                    <w:rPr>
                      <w:rFonts w:hint="eastAsia"/>
                      <w:b w:val="0"/>
                      <w:lang w:val="en-US" w:eastAsia="zh-CN"/>
                    </w:rPr>
                    <w:t>60</w:t>
                  </w:r>
                  <w:r>
                    <w:rPr>
                      <w:rFonts w:hint="eastAsia"/>
                      <w:b w:val="0"/>
                    </w:rPr>
                    <w:t>户</w:t>
                  </w:r>
                  <w:r>
                    <w:rPr>
                      <w:b w:val="0"/>
                    </w:rPr>
                    <w:t>/</w:t>
                  </w:r>
                  <w:r>
                    <w:rPr>
                      <w:rFonts w:hint="eastAsia"/>
                      <w:b w:val="0"/>
                      <w:lang w:val="en-US" w:eastAsia="zh-CN"/>
                    </w:rPr>
                    <w:t>210</w:t>
                  </w:r>
                  <w:r>
                    <w:rPr>
                      <w:rFonts w:hint="eastAsia"/>
                      <w:b w:val="0"/>
                    </w:rPr>
                    <w:t>人</w:t>
                  </w:r>
                </w:p>
              </w:tc>
              <w:tc>
                <w:tcPr>
                  <w:tcW w:w="708" w:type="dxa"/>
                  <w:vAlign w:val="center"/>
                </w:tcPr>
                <w:p>
                  <w:pPr>
                    <w:pStyle w:val="114"/>
                    <w:widowControl w:val="0"/>
                    <w:numPr>
                      <w:ilvl w:val="0"/>
                      <w:numId w:val="0"/>
                    </w:numPr>
                    <w:rPr>
                      <w:rFonts w:hint="eastAsia" w:eastAsia="宋体"/>
                      <w:b w:val="0"/>
                      <w:lang w:eastAsia="zh-CN"/>
                    </w:rPr>
                  </w:pPr>
                  <w:r>
                    <w:rPr>
                      <w:rFonts w:hint="eastAsia"/>
                      <w:b w:val="0"/>
                      <w:lang w:eastAsia="zh-CN"/>
                    </w:rPr>
                    <w:t>北</w:t>
                  </w:r>
                </w:p>
              </w:tc>
              <w:tc>
                <w:tcPr>
                  <w:tcW w:w="931"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rPr>
                      <w:rFonts w:hint="eastAsia"/>
                      <w:b w:val="0"/>
                    </w:rPr>
                  </w:pPr>
                  <w:r>
                    <w:rPr>
                      <w:rFonts w:hint="eastAsia"/>
                      <w:lang w:eastAsia="zh-CN"/>
                    </w:rPr>
                    <w:t>高铁嘉苑</w:t>
                  </w:r>
                </w:p>
              </w:tc>
              <w:tc>
                <w:tcPr>
                  <w:tcW w:w="709"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119.8242</w:t>
                  </w:r>
                </w:p>
              </w:tc>
              <w:tc>
                <w:tcPr>
                  <w:tcW w:w="709"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31.3000</w:t>
                  </w:r>
                </w:p>
              </w:tc>
              <w:tc>
                <w:tcPr>
                  <w:tcW w:w="850"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居民区</w:t>
                  </w:r>
                </w:p>
              </w:tc>
              <w:tc>
                <w:tcPr>
                  <w:tcW w:w="709"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人群</w:t>
                  </w:r>
                </w:p>
              </w:tc>
              <w:tc>
                <w:tcPr>
                  <w:tcW w:w="1134"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二类区</w:t>
                  </w:r>
                </w:p>
              </w:tc>
              <w:tc>
                <w:tcPr>
                  <w:tcW w:w="1418"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600户/2100人</w:t>
                  </w:r>
                </w:p>
              </w:tc>
              <w:tc>
                <w:tcPr>
                  <w:tcW w:w="708" w:type="dxa"/>
                  <w:vAlign w:val="center"/>
                </w:tcPr>
                <w:p>
                  <w:pPr>
                    <w:pStyle w:val="114"/>
                    <w:widowControl w:val="0"/>
                    <w:numPr>
                      <w:ilvl w:val="0"/>
                      <w:numId w:val="0"/>
                    </w:numPr>
                    <w:rPr>
                      <w:rFonts w:hint="eastAsia" w:eastAsia="宋体"/>
                      <w:b w:val="0"/>
                      <w:lang w:eastAsia="zh-CN"/>
                    </w:rPr>
                  </w:pPr>
                  <w:r>
                    <w:rPr>
                      <w:rFonts w:hint="eastAsia"/>
                      <w:b w:val="0"/>
                      <w:lang w:eastAsia="zh-CN"/>
                    </w:rPr>
                    <w:t>东北</w:t>
                  </w:r>
                </w:p>
              </w:tc>
              <w:tc>
                <w:tcPr>
                  <w:tcW w:w="931"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447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pStyle w:val="114"/>
                    <w:widowControl w:val="0"/>
                    <w:numPr>
                      <w:ilvl w:val="0"/>
                      <w:numId w:val="0"/>
                    </w:numPr>
                    <w:rPr>
                      <w:rFonts w:hint="eastAsia" w:eastAsia="宋体"/>
                      <w:b w:val="0"/>
                      <w:lang w:eastAsia="zh-CN"/>
                    </w:rPr>
                  </w:pPr>
                  <w:r>
                    <w:rPr>
                      <w:rFonts w:hint="eastAsia"/>
                      <w:b w:val="0"/>
                      <w:lang w:eastAsia="zh-CN"/>
                    </w:rPr>
                    <w:t>查林村</w:t>
                  </w:r>
                </w:p>
              </w:tc>
              <w:tc>
                <w:tcPr>
                  <w:tcW w:w="709"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119.8166</w:t>
                  </w:r>
                </w:p>
              </w:tc>
              <w:tc>
                <w:tcPr>
                  <w:tcW w:w="709"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31.2935</w:t>
                  </w:r>
                </w:p>
              </w:tc>
              <w:tc>
                <w:tcPr>
                  <w:tcW w:w="850"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居民区</w:t>
                  </w:r>
                </w:p>
              </w:tc>
              <w:tc>
                <w:tcPr>
                  <w:tcW w:w="709"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人群</w:t>
                  </w:r>
                </w:p>
              </w:tc>
              <w:tc>
                <w:tcPr>
                  <w:tcW w:w="1134" w:type="dxa"/>
                  <w:vAlign w:val="center"/>
                </w:tcPr>
                <w:p>
                  <w:pPr>
                    <w:pStyle w:val="114"/>
                    <w:widowControl w:val="0"/>
                    <w:numPr>
                      <w:ilvl w:val="0"/>
                      <w:numId w:val="0"/>
                    </w:numPr>
                    <w:ind w:left="0" w:leftChars="0" w:firstLine="0" w:firstLineChars="0"/>
                    <w:rPr>
                      <w:rFonts w:hint="eastAsia" w:ascii="Times New Roman" w:hAnsi="宋体" w:eastAsia="宋体" w:cs="Times New Roman"/>
                      <w:b w:val="0"/>
                      <w:bCs/>
                      <w:kern w:val="2"/>
                      <w:sz w:val="21"/>
                      <w:szCs w:val="21"/>
                      <w:lang w:val="fi-FI" w:eastAsia="zh-CN" w:bidi="ar-SA"/>
                    </w:rPr>
                  </w:pPr>
                  <w:r>
                    <w:rPr>
                      <w:rFonts w:hint="eastAsia" w:hAnsi="宋体"/>
                      <w:b w:val="0"/>
                      <w:bCs/>
                    </w:rPr>
                    <w:t>二类区</w:t>
                  </w:r>
                </w:p>
              </w:tc>
              <w:tc>
                <w:tcPr>
                  <w:tcW w:w="1418"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120户/420人</w:t>
                  </w:r>
                </w:p>
              </w:tc>
              <w:tc>
                <w:tcPr>
                  <w:tcW w:w="708" w:type="dxa"/>
                  <w:vAlign w:val="center"/>
                </w:tcPr>
                <w:p>
                  <w:pPr>
                    <w:pStyle w:val="114"/>
                    <w:widowControl w:val="0"/>
                    <w:numPr>
                      <w:ilvl w:val="0"/>
                      <w:numId w:val="0"/>
                    </w:numPr>
                    <w:rPr>
                      <w:rFonts w:hint="eastAsia" w:eastAsia="宋体"/>
                      <w:b w:val="0"/>
                      <w:lang w:eastAsia="zh-CN"/>
                    </w:rPr>
                  </w:pPr>
                  <w:r>
                    <w:rPr>
                      <w:rFonts w:hint="eastAsia"/>
                      <w:b w:val="0"/>
                      <w:lang w:eastAsia="zh-CN"/>
                    </w:rPr>
                    <w:t>南</w:t>
                  </w:r>
                </w:p>
              </w:tc>
              <w:tc>
                <w:tcPr>
                  <w:tcW w:w="931" w:type="dxa"/>
                  <w:vAlign w:val="center"/>
                </w:tcPr>
                <w:p>
                  <w:pPr>
                    <w:pStyle w:val="114"/>
                    <w:widowControl w:val="0"/>
                    <w:numPr>
                      <w:ilvl w:val="0"/>
                      <w:numId w:val="0"/>
                    </w:numPr>
                    <w:rPr>
                      <w:rFonts w:hint="default" w:hAnsi="宋体" w:eastAsia="宋体"/>
                      <w:b w:val="0"/>
                      <w:bCs/>
                      <w:lang w:val="en-US" w:eastAsia="zh-CN"/>
                    </w:rPr>
                  </w:pPr>
                  <w:r>
                    <w:rPr>
                      <w:rFonts w:hint="eastAsia" w:hAnsi="宋体"/>
                      <w:b w:val="0"/>
                      <w:bCs/>
                      <w:lang w:val="en-US" w:eastAsia="zh-CN"/>
                    </w:rPr>
                    <w:t>460</w:t>
                  </w:r>
                </w:p>
              </w:tc>
            </w:tr>
          </w:tbl>
          <w:p>
            <w:pPr>
              <w:pStyle w:val="11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hAnsi="宋体"/>
                <w:sz w:val="24"/>
                <w:szCs w:val="24"/>
                <w:lang w:val="en-US"/>
              </w:rPr>
            </w:pPr>
            <w:r>
              <w:rPr>
                <w:rFonts w:hint="eastAsia" w:hAnsi="宋体"/>
                <w:sz w:val="24"/>
                <w:szCs w:val="24"/>
                <w:lang w:val="en-US"/>
              </w:rPr>
              <w:t>表3-4  周边地表水环境、声环境、生态环境敏感目标表</w:t>
            </w:r>
          </w:p>
          <w:tbl>
            <w:tblPr>
              <w:tblStyle w:val="75"/>
              <w:tblpPr w:leftFromText="180" w:rightFromText="180" w:vertAnchor="text" w:horzAnchor="page" w:tblpXSpec="center" w:tblpY="50"/>
              <w:tblOverlap w:val="never"/>
              <w:tblW w:w="836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14"/>
              <w:gridCol w:w="1018"/>
              <w:gridCol w:w="2078"/>
              <w:gridCol w:w="1412"/>
              <w:gridCol w:w="190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Merge w:val="restart"/>
                  <w:vAlign w:val="center"/>
                </w:tcPr>
                <w:p>
                  <w:pPr>
                    <w:pStyle w:val="40"/>
                    <w:jc w:val="center"/>
                    <w:rPr>
                      <w:rFonts w:ascii="Times New Roman" w:hAnsi="Times New Roman"/>
                      <w:b/>
                      <w:szCs w:val="21"/>
                    </w:rPr>
                  </w:pPr>
                  <w:r>
                    <w:rPr>
                      <w:rFonts w:hint="eastAsia" w:ascii="Times New Roman" w:hAnsi="Times New Roman"/>
                      <w:b/>
                      <w:szCs w:val="21"/>
                    </w:rPr>
                    <w:t>环境要素</w:t>
                  </w:r>
                </w:p>
              </w:tc>
              <w:tc>
                <w:tcPr>
                  <w:tcW w:w="1114" w:type="dxa"/>
                  <w:vMerge w:val="restart"/>
                  <w:vAlign w:val="center"/>
                </w:tcPr>
                <w:p>
                  <w:pPr>
                    <w:pStyle w:val="40"/>
                    <w:jc w:val="center"/>
                    <w:rPr>
                      <w:rFonts w:ascii="Times New Roman" w:hAnsi="Times New Roman"/>
                      <w:b/>
                      <w:szCs w:val="21"/>
                    </w:rPr>
                  </w:pPr>
                  <w:r>
                    <w:rPr>
                      <w:rFonts w:hint="eastAsia" w:ascii="Times New Roman" w:hAnsi="Times New Roman"/>
                      <w:b/>
                      <w:szCs w:val="21"/>
                    </w:rPr>
                    <w:t>环境敏感目标名称</w:t>
                  </w:r>
                </w:p>
              </w:tc>
              <w:tc>
                <w:tcPr>
                  <w:tcW w:w="1018" w:type="dxa"/>
                  <w:vMerge w:val="restart"/>
                  <w:vAlign w:val="center"/>
                </w:tcPr>
                <w:p>
                  <w:pPr>
                    <w:pStyle w:val="40"/>
                    <w:jc w:val="center"/>
                    <w:rPr>
                      <w:rFonts w:ascii="Times New Roman" w:hAnsi="Times New Roman"/>
                      <w:b/>
                      <w:szCs w:val="21"/>
                    </w:rPr>
                  </w:pPr>
                  <w:r>
                    <w:rPr>
                      <w:rFonts w:hint="eastAsia" w:ascii="Times New Roman" w:hAnsi="Times New Roman"/>
                      <w:b/>
                      <w:szCs w:val="21"/>
                    </w:rPr>
                    <w:t>方位</w:t>
                  </w:r>
                </w:p>
              </w:tc>
              <w:tc>
                <w:tcPr>
                  <w:tcW w:w="2078" w:type="dxa"/>
                  <w:vAlign w:val="center"/>
                </w:tcPr>
                <w:p>
                  <w:pPr>
                    <w:pStyle w:val="40"/>
                    <w:jc w:val="center"/>
                    <w:rPr>
                      <w:rFonts w:ascii="Times New Roman" w:hAnsi="Times New Roman"/>
                      <w:b/>
                      <w:szCs w:val="21"/>
                    </w:rPr>
                  </w:pPr>
                  <w:r>
                    <w:rPr>
                      <w:rFonts w:hint="eastAsia" w:ascii="Times New Roman" w:hAnsi="Times New Roman"/>
                      <w:b/>
                      <w:szCs w:val="21"/>
                    </w:rPr>
                    <w:t>最近距离（</w:t>
                  </w:r>
                  <w:r>
                    <w:rPr>
                      <w:rFonts w:ascii="Times New Roman" w:hAnsi="Times New Roman"/>
                      <w:b/>
                      <w:szCs w:val="21"/>
                    </w:rPr>
                    <w:t>m</w:t>
                  </w:r>
                  <w:r>
                    <w:rPr>
                      <w:rFonts w:hint="eastAsia" w:ascii="Times New Roman" w:hAnsi="Times New Roman"/>
                      <w:b/>
                      <w:szCs w:val="21"/>
                    </w:rPr>
                    <w:t>）</w:t>
                  </w:r>
                </w:p>
              </w:tc>
              <w:tc>
                <w:tcPr>
                  <w:tcW w:w="1412" w:type="dxa"/>
                  <w:vMerge w:val="restart"/>
                  <w:vAlign w:val="center"/>
                </w:tcPr>
                <w:p>
                  <w:pPr>
                    <w:pStyle w:val="40"/>
                    <w:jc w:val="center"/>
                    <w:rPr>
                      <w:rFonts w:ascii="Times New Roman" w:hAnsi="Times New Roman"/>
                      <w:b/>
                      <w:szCs w:val="21"/>
                    </w:rPr>
                  </w:pPr>
                  <w:r>
                    <w:rPr>
                      <w:rFonts w:hint="eastAsia" w:ascii="Times New Roman" w:hAnsi="Times New Roman"/>
                      <w:b/>
                      <w:szCs w:val="21"/>
                    </w:rPr>
                    <w:t>规模</w:t>
                  </w:r>
                </w:p>
                <w:p>
                  <w:pPr>
                    <w:pStyle w:val="40"/>
                    <w:jc w:val="center"/>
                    <w:rPr>
                      <w:rFonts w:ascii="Times New Roman" w:hAnsi="Times New Roman"/>
                      <w:b/>
                      <w:szCs w:val="21"/>
                    </w:rPr>
                  </w:pPr>
                  <w:r>
                    <w:rPr>
                      <w:rFonts w:hint="eastAsia" w:ascii="Times New Roman" w:hAnsi="Times New Roman"/>
                      <w:b/>
                      <w:szCs w:val="21"/>
                    </w:rPr>
                    <w:t>（户</w:t>
                  </w:r>
                  <w:r>
                    <w:rPr>
                      <w:rFonts w:ascii="Times New Roman" w:hAnsi="Times New Roman"/>
                      <w:b/>
                      <w:szCs w:val="21"/>
                    </w:rPr>
                    <w:t>/</w:t>
                  </w:r>
                  <w:r>
                    <w:rPr>
                      <w:rFonts w:hint="eastAsia" w:ascii="Times New Roman" w:hAnsi="Times New Roman"/>
                      <w:b/>
                      <w:szCs w:val="21"/>
                    </w:rPr>
                    <w:t>人）</w:t>
                  </w:r>
                </w:p>
              </w:tc>
              <w:tc>
                <w:tcPr>
                  <w:tcW w:w="1900" w:type="dxa"/>
                  <w:vMerge w:val="restart"/>
                  <w:vAlign w:val="center"/>
                </w:tcPr>
                <w:p>
                  <w:pPr>
                    <w:pStyle w:val="40"/>
                    <w:jc w:val="center"/>
                    <w:rPr>
                      <w:rFonts w:ascii="Times New Roman" w:hAnsi="Times New Roman"/>
                      <w:b/>
                      <w:szCs w:val="21"/>
                    </w:rPr>
                  </w:pPr>
                  <w:r>
                    <w:rPr>
                      <w:rFonts w:hint="eastAsia" w:ascii="Times New Roman" w:hAnsi="Times New Roman"/>
                      <w:b/>
                      <w:szCs w:val="21"/>
                    </w:rPr>
                    <w:t>环境功能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Merge w:val="continue"/>
                  <w:vAlign w:val="center"/>
                </w:tcPr>
                <w:p>
                  <w:pPr>
                    <w:pStyle w:val="40"/>
                    <w:jc w:val="center"/>
                    <w:rPr>
                      <w:rFonts w:ascii="Times New Roman" w:hAnsi="Times New Roman"/>
                      <w:b/>
                      <w:szCs w:val="21"/>
                    </w:rPr>
                  </w:pPr>
                </w:p>
              </w:tc>
              <w:tc>
                <w:tcPr>
                  <w:tcW w:w="1114" w:type="dxa"/>
                  <w:vMerge w:val="continue"/>
                  <w:vAlign w:val="center"/>
                </w:tcPr>
                <w:p>
                  <w:pPr>
                    <w:pStyle w:val="40"/>
                    <w:jc w:val="center"/>
                    <w:rPr>
                      <w:rFonts w:ascii="Times New Roman" w:hAnsi="Times New Roman"/>
                      <w:b/>
                      <w:szCs w:val="21"/>
                    </w:rPr>
                  </w:pPr>
                </w:p>
              </w:tc>
              <w:tc>
                <w:tcPr>
                  <w:tcW w:w="1018" w:type="dxa"/>
                  <w:vMerge w:val="continue"/>
                  <w:vAlign w:val="center"/>
                </w:tcPr>
                <w:p>
                  <w:pPr>
                    <w:pStyle w:val="40"/>
                    <w:jc w:val="center"/>
                    <w:rPr>
                      <w:rFonts w:ascii="Times New Roman" w:hAnsi="Times New Roman"/>
                      <w:b/>
                      <w:szCs w:val="21"/>
                    </w:rPr>
                  </w:pPr>
                </w:p>
              </w:tc>
              <w:tc>
                <w:tcPr>
                  <w:tcW w:w="2078" w:type="dxa"/>
                  <w:vAlign w:val="center"/>
                </w:tcPr>
                <w:p>
                  <w:pPr>
                    <w:pStyle w:val="40"/>
                    <w:jc w:val="center"/>
                    <w:rPr>
                      <w:rFonts w:ascii="Times New Roman" w:hAnsi="Times New Roman"/>
                      <w:b/>
                      <w:szCs w:val="21"/>
                    </w:rPr>
                  </w:pPr>
                  <w:r>
                    <w:rPr>
                      <w:rFonts w:hint="eastAsia" w:ascii="Times New Roman" w:hAnsi="Times New Roman"/>
                      <w:b/>
                      <w:szCs w:val="21"/>
                    </w:rPr>
                    <w:t>距车间</w:t>
                  </w:r>
                </w:p>
              </w:tc>
              <w:tc>
                <w:tcPr>
                  <w:tcW w:w="1412" w:type="dxa"/>
                  <w:vMerge w:val="continue"/>
                  <w:vAlign w:val="center"/>
                </w:tcPr>
                <w:p>
                  <w:pPr>
                    <w:pStyle w:val="40"/>
                    <w:jc w:val="center"/>
                    <w:rPr>
                      <w:rFonts w:ascii="Times New Roman" w:hAnsi="Times New Roman"/>
                      <w:b/>
                      <w:szCs w:val="21"/>
                    </w:rPr>
                  </w:pPr>
                </w:p>
              </w:tc>
              <w:tc>
                <w:tcPr>
                  <w:tcW w:w="1900" w:type="dxa"/>
                  <w:vMerge w:val="continue"/>
                  <w:vAlign w:val="center"/>
                </w:tcPr>
                <w:p>
                  <w:pPr>
                    <w:pStyle w:val="40"/>
                    <w:jc w:val="center"/>
                    <w:rPr>
                      <w:rFonts w:ascii="Times New Roman" w:hAnsi="Times New Roman"/>
                      <w:b/>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40" w:hRule="atLeast"/>
              </w:trPr>
              <w:tc>
                <w:tcPr>
                  <w:tcW w:w="840" w:type="dxa"/>
                  <w:vAlign w:val="center"/>
                </w:tcPr>
                <w:p>
                  <w:pPr>
                    <w:pStyle w:val="40"/>
                    <w:jc w:val="center"/>
                    <w:rPr>
                      <w:rFonts w:ascii="Times New Roman" w:hAnsi="Times New Roman"/>
                      <w:szCs w:val="21"/>
                    </w:rPr>
                  </w:pPr>
                  <w:r>
                    <w:rPr>
                      <w:rFonts w:hint="eastAsia" w:ascii="Times New Roman" w:hAnsi="Times New Roman"/>
                      <w:szCs w:val="21"/>
                    </w:rPr>
                    <w:t>水环境</w:t>
                  </w:r>
                </w:p>
              </w:tc>
              <w:tc>
                <w:tcPr>
                  <w:tcW w:w="1114" w:type="dxa"/>
                  <w:vAlign w:val="center"/>
                </w:tcPr>
                <w:p>
                  <w:pPr>
                    <w:pStyle w:val="40"/>
                    <w:jc w:val="center"/>
                    <w:rPr>
                      <w:rFonts w:hint="eastAsia" w:ascii="Times New Roman" w:hAnsi="Times New Roman" w:eastAsia="宋体"/>
                      <w:szCs w:val="21"/>
                      <w:lang w:eastAsia="zh-CN"/>
                    </w:rPr>
                  </w:pPr>
                  <w:r>
                    <w:rPr>
                      <w:rFonts w:hint="eastAsia" w:ascii="Times New Roman" w:hAnsi="Times New Roman"/>
                      <w:szCs w:val="21"/>
                      <w:lang w:val="fi-FI" w:eastAsia="zh-CN"/>
                    </w:rPr>
                    <w:t>蒋笠涧</w:t>
                  </w:r>
                </w:p>
              </w:tc>
              <w:tc>
                <w:tcPr>
                  <w:tcW w:w="1018" w:type="dxa"/>
                  <w:vAlign w:val="center"/>
                </w:tcPr>
                <w:p>
                  <w:pPr>
                    <w:jc w:val="center"/>
                    <w:rPr>
                      <w:szCs w:val="21"/>
                    </w:rPr>
                  </w:pPr>
                  <w:r>
                    <w:rPr>
                      <w:rFonts w:hint="eastAsia"/>
                      <w:szCs w:val="21"/>
                    </w:rPr>
                    <w:t>北</w:t>
                  </w:r>
                </w:p>
              </w:tc>
              <w:tc>
                <w:tcPr>
                  <w:tcW w:w="2078" w:type="dxa"/>
                  <w:vAlign w:val="center"/>
                </w:tcPr>
                <w:p>
                  <w:pPr>
                    <w:jc w:val="center"/>
                    <w:rPr>
                      <w:szCs w:val="21"/>
                    </w:rPr>
                  </w:pPr>
                  <w:r>
                    <w:rPr>
                      <w:rFonts w:hint="eastAsia"/>
                      <w:szCs w:val="21"/>
                    </w:rPr>
                    <w:t>紧邻</w:t>
                  </w:r>
                </w:p>
              </w:tc>
              <w:tc>
                <w:tcPr>
                  <w:tcW w:w="1412" w:type="dxa"/>
                  <w:vAlign w:val="center"/>
                </w:tcPr>
                <w:p>
                  <w:pPr>
                    <w:pStyle w:val="40"/>
                    <w:jc w:val="center"/>
                    <w:rPr>
                      <w:rFonts w:ascii="Times New Roman" w:hAnsi="Times New Roman"/>
                      <w:szCs w:val="21"/>
                    </w:rPr>
                  </w:pPr>
                  <w:r>
                    <w:rPr>
                      <w:rFonts w:ascii="Times New Roman" w:hAnsi="Times New Roman"/>
                      <w:szCs w:val="21"/>
                    </w:rPr>
                    <w:t>/</w:t>
                  </w:r>
                </w:p>
              </w:tc>
              <w:tc>
                <w:tcPr>
                  <w:tcW w:w="1900" w:type="dxa"/>
                  <w:vAlign w:val="center"/>
                </w:tcPr>
                <w:p>
                  <w:pPr>
                    <w:pStyle w:val="40"/>
                    <w:jc w:val="center"/>
                    <w:rPr>
                      <w:rFonts w:ascii="Times New Roman" w:hAnsi="Times New Roman"/>
                      <w:szCs w:val="21"/>
                    </w:rPr>
                  </w:pPr>
                  <w:r>
                    <w:rPr>
                      <w:rFonts w:hint="eastAsia" w:ascii="Times New Roman" w:hAnsi="Times New Roman"/>
                      <w:szCs w:val="21"/>
                    </w:rPr>
                    <w:t>《地表水环境质量标准》（</w:t>
                  </w:r>
                  <w:r>
                    <w:rPr>
                      <w:rFonts w:ascii="Times New Roman" w:hAnsi="Times New Roman"/>
                      <w:szCs w:val="21"/>
                    </w:rPr>
                    <w:t>GB3096- 2008</w:t>
                  </w:r>
                  <w:r>
                    <w:rPr>
                      <w:rFonts w:hint="eastAsia" w:ascii="Times New Roman" w:hAnsi="Times New Roman"/>
                      <w:szCs w:val="21"/>
                    </w:rPr>
                    <w:t>）中Ⅲ类标准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40" w:hRule="atLeast"/>
              </w:trPr>
              <w:tc>
                <w:tcPr>
                  <w:tcW w:w="840" w:type="dxa"/>
                  <w:vAlign w:val="center"/>
                </w:tcPr>
                <w:p>
                  <w:pPr>
                    <w:pStyle w:val="40"/>
                    <w:jc w:val="center"/>
                    <w:rPr>
                      <w:rFonts w:ascii="Times New Roman" w:hAnsi="Times New Roman"/>
                      <w:szCs w:val="21"/>
                    </w:rPr>
                  </w:pPr>
                  <w:r>
                    <w:rPr>
                      <w:rFonts w:hint="eastAsia" w:ascii="Times New Roman" w:hAnsi="Times New Roman"/>
                      <w:szCs w:val="21"/>
                    </w:rPr>
                    <w:t>声环境</w:t>
                  </w:r>
                </w:p>
              </w:tc>
              <w:tc>
                <w:tcPr>
                  <w:tcW w:w="1114" w:type="dxa"/>
                  <w:vAlign w:val="center"/>
                </w:tcPr>
                <w:p>
                  <w:pPr>
                    <w:jc w:val="center"/>
                    <w:rPr>
                      <w:rFonts w:hint="eastAsia" w:eastAsia="宋体"/>
                      <w:szCs w:val="21"/>
                      <w:lang w:eastAsia="zh-CN"/>
                    </w:rPr>
                  </w:pPr>
                  <w:r>
                    <w:rPr>
                      <w:rFonts w:hint="eastAsia"/>
                      <w:szCs w:val="21"/>
                      <w:lang w:eastAsia="zh-CN"/>
                    </w:rPr>
                    <w:t>查林村</w:t>
                  </w:r>
                </w:p>
              </w:tc>
              <w:tc>
                <w:tcPr>
                  <w:tcW w:w="1018" w:type="dxa"/>
                  <w:vAlign w:val="center"/>
                </w:tcPr>
                <w:p>
                  <w:pPr>
                    <w:pStyle w:val="107"/>
                    <w:widowControl w:val="0"/>
                    <w:rPr>
                      <w:rFonts w:hint="eastAsia" w:ascii="Times New Roman" w:hAnsi="Times New Roman" w:eastAsia="宋体"/>
                      <w:szCs w:val="21"/>
                      <w:lang w:eastAsia="zh-CN"/>
                    </w:rPr>
                  </w:pPr>
                  <w:r>
                    <w:rPr>
                      <w:rFonts w:hint="eastAsia" w:ascii="Times New Roman" w:hAnsi="Times New Roman"/>
                      <w:szCs w:val="21"/>
                      <w:lang w:eastAsia="zh-CN"/>
                    </w:rPr>
                    <w:t>北</w:t>
                  </w:r>
                </w:p>
              </w:tc>
              <w:tc>
                <w:tcPr>
                  <w:tcW w:w="2078" w:type="dxa"/>
                  <w:vAlign w:val="center"/>
                </w:tcPr>
                <w:p>
                  <w:pPr>
                    <w:ind w:firstLine="735" w:firstLineChars="350"/>
                    <w:rPr>
                      <w:rFonts w:hint="default" w:eastAsia="宋体"/>
                      <w:szCs w:val="21"/>
                      <w:lang w:val="en-US" w:eastAsia="zh-CN"/>
                    </w:rPr>
                  </w:pPr>
                  <w:r>
                    <w:rPr>
                      <w:rFonts w:hint="eastAsia"/>
                      <w:szCs w:val="21"/>
                      <w:lang w:val="en-US" w:eastAsia="zh-CN"/>
                    </w:rPr>
                    <w:t>72</w:t>
                  </w:r>
                </w:p>
              </w:tc>
              <w:tc>
                <w:tcPr>
                  <w:tcW w:w="1412" w:type="dxa"/>
                  <w:vAlign w:val="center"/>
                </w:tcPr>
                <w:p>
                  <w:pPr>
                    <w:jc w:val="center"/>
                    <w:rPr>
                      <w:szCs w:val="21"/>
                    </w:rPr>
                  </w:pPr>
                  <w:r>
                    <w:rPr>
                      <w:rFonts w:hint="eastAsia"/>
                      <w:b w:val="0"/>
                      <w:lang w:val="en-US" w:eastAsia="zh-CN"/>
                    </w:rPr>
                    <w:t>60</w:t>
                  </w:r>
                  <w:r>
                    <w:rPr>
                      <w:rFonts w:hint="eastAsia"/>
                      <w:b w:val="0"/>
                    </w:rPr>
                    <w:t>户</w:t>
                  </w:r>
                  <w:r>
                    <w:rPr>
                      <w:b w:val="0"/>
                    </w:rPr>
                    <w:t>/</w:t>
                  </w:r>
                  <w:r>
                    <w:rPr>
                      <w:rFonts w:hint="eastAsia"/>
                      <w:b w:val="0"/>
                      <w:lang w:val="en-US" w:eastAsia="zh-CN"/>
                    </w:rPr>
                    <w:t>210</w:t>
                  </w:r>
                  <w:r>
                    <w:rPr>
                      <w:rFonts w:hint="eastAsia"/>
                      <w:b w:val="0"/>
                    </w:rPr>
                    <w:t>人</w:t>
                  </w:r>
                </w:p>
              </w:tc>
              <w:tc>
                <w:tcPr>
                  <w:tcW w:w="1900" w:type="dxa"/>
                  <w:vAlign w:val="center"/>
                </w:tcPr>
                <w:p>
                  <w:pPr>
                    <w:pStyle w:val="40"/>
                    <w:jc w:val="center"/>
                    <w:rPr>
                      <w:rFonts w:ascii="Times New Roman" w:hAnsi="Times New Roman"/>
                      <w:szCs w:val="21"/>
                    </w:rPr>
                  </w:pPr>
                  <w:r>
                    <w:rPr>
                      <w:rFonts w:ascii="Times New Roman" w:hAnsi="Times New Roman"/>
                      <w:szCs w:val="21"/>
                    </w:rPr>
                    <w:t>GB 3096-2008</w:t>
                  </w:r>
                  <w:r>
                    <w:rPr>
                      <w:rFonts w:hint="eastAsia" w:ascii="Times New Roman" w:hAnsi="Times New Roman"/>
                      <w:szCs w:val="21"/>
                    </w:rPr>
                    <w:t>中2类</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vAlign w:val="center"/>
                </w:tcPr>
                <w:p>
                  <w:pPr>
                    <w:pStyle w:val="40"/>
                    <w:jc w:val="center"/>
                    <w:rPr>
                      <w:rFonts w:ascii="Times New Roman" w:hAnsi="Times New Roman"/>
                      <w:szCs w:val="21"/>
                    </w:rPr>
                  </w:pPr>
                  <w:r>
                    <w:rPr>
                      <w:rFonts w:hint="eastAsia" w:ascii="Times New Roman" w:hAnsi="Times New Roman"/>
                      <w:szCs w:val="21"/>
                    </w:rPr>
                    <w:t>生态环境</w:t>
                  </w:r>
                </w:p>
              </w:tc>
              <w:tc>
                <w:tcPr>
                  <w:tcW w:w="1114" w:type="dxa"/>
                  <w:vAlign w:val="center"/>
                </w:tcPr>
                <w:p>
                  <w:pPr>
                    <w:pStyle w:val="40"/>
                    <w:jc w:val="center"/>
                    <w:rPr>
                      <w:rFonts w:ascii="Times New Roman" w:hAnsi="Times New Roman"/>
                    </w:rPr>
                  </w:pPr>
                  <w:r>
                    <w:rPr>
                      <w:rFonts w:hint="eastAsia" w:ascii="Times New Roman" w:hAnsi="Times New Roman"/>
                    </w:rPr>
                    <w:t>太湖（宜兴市）重要保护区</w:t>
                  </w:r>
                </w:p>
              </w:tc>
              <w:tc>
                <w:tcPr>
                  <w:tcW w:w="1018" w:type="dxa"/>
                  <w:vAlign w:val="center"/>
                </w:tcPr>
                <w:p>
                  <w:pPr>
                    <w:pStyle w:val="40"/>
                    <w:jc w:val="center"/>
                    <w:rPr>
                      <w:rFonts w:ascii="Times New Roman" w:hAnsi="Times New Roman"/>
                      <w:szCs w:val="21"/>
                    </w:rPr>
                  </w:pPr>
                  <w:r>
                    <w:rPr>
                      <w:rFonts w:hint="eastAsia" w:ascii="Times New Roman" w:hAnsi="Times New Roman"/>
                      <w:szCs w:val="21"/>
                    </w:rPr>
                    <w:t>东</w:t>
                  </w:r>
                </w:p>
              </w:tc>
              <w:tc>
                <w:tcPr>
                  <w:tcW w:w="2078" w:type="dxa"/>
                  <w:vAlign w:val="center"/>
                </w:tcPr>
                <w:p>
                  <w:pPr>
                    <w:pStyle w:val="40"/>
                    <w:jc w:val="center"/>
                    <w:rPr>
                      <w:rFonts w:hint="default" w:ascii="Times New Roman" w:hAnsi="Times New Roman" w:eastAsia="宋体"/>
                      <w:szCs w:val="21"/>
                      <w:lang w:val="en-US" w:eastAsia="zh-CN"/>
                    </w:rPr>
                  </w:pPr>
                  <w:r>
                    <w:rPr>
                      <w:rFonts w:hint="eastAsia" w:ascii="Times New Roman" w:hAnsi="Times New Roman"/>
                      <w:szCs w:val="21"/>
                      <w:lang w:val="en-US" w:eastAsia="zh-CN"/>
                    </w:rPr>
                    <w:t>4200</w:t>
                  </w:r>
                </w:p>
              </w:tc>
              <w:tc>
                <w:tcPr>
                  <w:tcW w:w="1412" w:type="dxa"/>
                  <w:vAlign w:val="center"/>
                </w:tcPr>
                <w:p>
                  <w:pPr>
                    <w:pStyle w:val="40"/>
                    <w:jc w:val="center"/>
                    <w:rPr>
                      <w:rFonts w:ascii="Times New Roman" w:hAnsi="Times New Roman"/>
                      <w:szCs w:val="21"/>
                    </w:rPr>
                  </w:pPr>
                  <w:r>
                    <w:rPr>
                      <w:rFonts w:ascii="Times New Roman" w:hAnsi="Times New Roman"/>
                      <w:szCs w:val="21"/>
                      <w:lang w:val="fi-FI"/>
                    </w:rPr>
                    <w:t>/</w:t>
                  </w:r>
                </w:p>
              </w:tc>
              <w:tc>
                <w:tcPr>
                  <w:tcW w:w="1900" w:type="dxa"/>
                  <w:vAlign w:val="center"/>
                </w:tcPr>
                <w:p>
                  <w:pPr>
                    <w:pStyle w:val="40"/>
                    <w:jc w:val="center"/>
                    <w:rPr>
                      <w:rFonts w:ascii="Times New Roman" w:hAnsi="Times New Roman"/>
                      <w:szCs w:val="21"/>
                    </w:rPr>
                  </w:pPr>
                  <w:r>
                    <w:rPr>
                      <w:rFonts w:hint="eastAsia" w:ascii="Times New Roman" w:hAnsi="Times New Roman"/>
                      <w:szCs w:val="21"/>
                    </w:rPr>
                    <w:t>太湖（宜兴市）重要保护区二级管控区</w:t>
                  </w:r>
                </w:p>
              </w:tc>
            </w:tr>
          </w:tbl>
          <w:p>
            <w:pPr>
              <w:rPr>
                <w:sz w:val="24"/>
              </w:rPr>
            </w:pPr>
          </w:p>
          <w:p>
            <w:pPr>
              <w:rPr>
                <w:sz w:val="24"/>
              </w:rPr>
            </w:pPr>
          </w:p>
          <w:p>
            <w:pPr>
              <w:rPr>
                <w:sz w:val="24"/>
              </w:rPr>
            </w:pPr>
          </w:p>
          <w:p>
            <w:pPr>
              <w:rPr>
                <w:sz w:val="24"/>
              </w:rPr>
            </w:pPr>
          </w:p>
          <w:p>
            <w:pPr>
              <w:rPr>
                <w:sz w:val="24"/>
              </w:rPr>
            </w:pPr>
          </w:p>
        </w:tc>
      </w:tr>
    </w:tbl>
    <w:p>
      <w:pPr>
        <w:spacing w:beforeLines="50" w:line="360" w:lineRule="auto"/>
        <w:rPr>
          <w:bCs/>
          <w:kern w:val="0"/>
          <w:sz w:val="32"/>
          <w:szCs w:val="32"/>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7" w:name="_Toc367970827"/>
      <w:bookmarkStart w:id="28" w:name="_Toc386379876"/>
      <w:bookmarkStart w:id="29" w:name="_Toc367970388"/>
      <w:bookmarkStart w:id="30" w:name="_Toc367970633"/>
    </w:p>
    <w:p>
      <w:pPr>
        <w:pStyle w:val="4"/>
        <w:spacing w:line="240" w:lineRule="auto"/>
        <w:jc w:val="both"/>
        <w:rPr>
          <w:bCs w:val="0"/>
          <w:spacing w:val="0"/>
          <w:kern w:val="0"/>
          <w:sz w:val="32"/>
          <w:szCs w:val="32"/>
        </w:rPr>
      </w:pPr>
      <w:r>
        <w:rPr>
          <w:bCs w:val="0"/>
          <w:spacing w:val="0"/>
          <w:kern w:val="0"/>
          <w:sz w:val="32"/>
          <w:szCs w:val="32"/>
        </w:rPr>
        <w:t>4</w:t>
      </w:r>
      <w:r>
        <w:rPr>
          <w:rFonts w:hAnsi="宋体"/>
          <w:bCs w:val="0"/>
          <w:spacing w:val="0"/>
          <w:kern w:val="0"/>
          <w:sz w:val="32"/>
          <w:szCs w:val="32"/>
        </w:rPr>
        <w:t>、评价适用标准</w:t>
      </w:r>
      <w:bookmarkEnd w:id="25"/>
      <w:bookmarkEnd w:id="26"/>
      <w:bookmarkEnd w:id="27"/>
      <w:bookmarkEnd w:id="28"/>
      <w:bookmarkEnd w:id="29"/>
      <w:bookmarkEnd w:id="30"/>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56" w:type="dxa"/>
            <w:vAlign w:val="center"/>
          </w:tcPr>
          <w:p>
            <w:pPr>
              <w:pStyle w:val="156"/>
              <w:tabs>
                <w:tab w:val="left" w:pos="5400"/>
              </w:tabs>
              <w:spacing w:beforeLines="0" w:afterLines="0" w:line="360" w:lineRule="auto"/>
              <w:rPr>
                <w:rFonts w:eastAsia="宋体"/>
                <w:kern w:val="0"/>
              </w:rPr>
            </w:pPr>
            <w:r>
              <w:rPr>
                <w:rFonts w:eastAsia="宋体"/>
                <w:kern w:val="0"/>
              </w:rPr>
              <w:t>环</w:t>
            </w:r>
          </w:p>
          <w:p>
            <w:pPr>
              <w:pStyle w:val="156"/>
              <w:tabs>
                <w:tab w:val="left" w:pos="5400"/>
              </w:tabs>
              <w:spacing w:beforeLines="0" w:afterLines="0" w:line="360" w:lineRule="auto"/>
              <w:rPr>
                <w:rFonts w:eastAsia="宋体"/>
                <w:kern w:val="0"/>
              </w:rPr>
            </w:pPr>
            <w:r>
              <w:rPr>
                <w:rFonts w:eastAsia="宋体"/>
                <w:kern w:val="0"/>
              </w:rPr>
              <w:t>境</w:t>
            </w:r>
          </w:p>
          <w:p>
            <w:pPr>
              <w:pStyle w:val="156"/>
              <w:tabs>
                <w:tab w:val="left" w:pos="5400"/>
              </w:tabs>
              <w:spacing w:beforeLines="0" w:afterLines="0" w:line="360" w:lineRule="auto"/>
              <w:rPr>
                <w:rFonts w:eastAsia="宋体"/>
                <w:kern w:val="0"/>
              </w:rPr>
            </w:pPr>
            <w:r>
              <w:rPr>
                <w:rFonts w:eastAsia="宋体"/>
                <w:kern w:val="0"/>
              </w:rPr>
              <w:t>质</w:t>
            </w:r>
          </w:p>
          <w:p>
            <w:pPr>
              <w:pStyle w:val="156"/>
              <w:tabs>
                <w:tab w:val="left" w:pos="5400"/>
              </w:tabs>
              <w:spacing w:beforeLines="0" w:afterLines="0" w:line="360" w:lineRule="auto"/>
              <w:rPr>
                <w:rFonts w:eastAsia="宋体"/>
                <w:kern w:val="0"/>
              </w:rPr>
            </w:pPr>
            <w:r>
              <w:rPr>
                <w:rFonts w:eastAsia="宋体"/>
                <w:kern w:val="0"/>
              </w:rPr>
              <w:t>量</w:t>
            </w:r>
          </w:p>
          <w:p>
            <w:pPr>
              <w:pStyle w:val="156"/>
              <w:tabs>
                <w:tab w:val="left" w:pos="5400"/>
              </w:tabs>
              <w:spacing w:beforeLines="0" w:afterLines="0" w:line="360" w:lineRule="auto"/>
              <w:rPr>
                <w:rFonts w:eastAsia="宋体"/>
                <w:kern w:val="0"/>
              </w:rPr>
            </w:pPr>
            <w:r>
              <w:rPr>
                <w:rFonts w:eastAsia="宋体"/>
                <w:kern w:val="0"/>
              </w:rPr>
              <w:t>标</w:t>
            </w:r>
          </w:p>
          <w:p>
            <w:pPr>
              <w:pStyle w:val="156"/>
              <w:tabs>
                <w:tab w:val="left" w:pos="5400"/>
              </w:tabs>
              <w:spacing w:beforeLines="0" w:afterLines="0" w:line="360" w:lineRule="auto"/>
              <w:rPr>
                <w:rFonts w:eastAsia="宋体"/>
                <w:kern w:val="0"/>
                <w:highlight w:val="red"/>
              </w:rPr>
            </w:pPr>
            <w:r>
              <w:rPr>
                <w:rFonts w:eastAsia="宋体"/>
                <w:kern w:val="0"/>
              </w:rPr>
              <w:t>准</w:t>
            </w:r>
          </w:p>
        </w:tc>
        <w:tc>
          <w:tcPr>
            <w:tcW w:w="8073" w:type="dxa"/>
          </w:tcPr>
          <w:p>
            <w:pPr>
              <w:spacing w:line="360" w:lineRule="auto"/>
              <w:ind w:firstLine="482" w:firstLineChars="200"/>
              <w:rPr>
                <w:b/>
                <w:bCs/>
                <w:sz w:val="24"/>
              </w:rPr>
            </w:pPr>
            <w:r>
              <w:rPr>
                <w:b/>
                <w:bCs/>
                <w:sz w:val="24"/>
              </w:rPr>
              <w:t>1、大气</w:t>
            </w:r>
          </w:p>
          <w:p>
            <w:pPr>
              <w:spacing w:line="360" w:lineRule="auto"/>
              <w:ind w:firstLine="480" w:firstLineChars="200"/>
              <w:rPr>
                <w:bCs/>
                <w:sz w:val="24"/>
              </w:rPr>
            </w:pPr>
            <w:r>
              <w:rPr>
                <w:bCs/>
                <w:sz w:val="24"/>
              </w:rPr>
              <w:t>项目所在地附近的大气环境执行《环境空气质量标准》（GB3095-2012）</w:t>
            </w:r>
            <w:r>
              <w:rPr>
                <w:rFonts w:hint="eastAsia"/>
                <w:bCs/>
                <w:sz w:val="24"/>
                <w:lang w:val="en-US"/>
              </w:rPr>
              <w:t>及2018年修改单中二</w:t>
            </w:r>
            <w:r>
              <w:rPr>
                <w:bCs/>
                <w:sz w:val="24"/>
              </w:rPr>
              <w:t>级标准。具体标准值见表4-1。</w:t>
            </w:r>
          </w:p>
          <w:p>
            <w:pPr>
              <w:pStyle w:val="11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hAnsi="宋体"/>
                <w:sz w:val="24"/>
                <w:szCs w:val="24"/>
                <w:lang w:val="fi-FI"/>
              </w:rPr>
            </w:pPr>
            <w:r>
              <w:rPr>
                <w:rFonts w:hint="eastAsia" w:hAnsi="宋体"/>
                <w:sz w:val="24"/>
                <w:szCs w:val="24"/>
                <w:lang w:val="en-US"/>
              </w:rPr>
              <w:t>表4-1  环境空气质量标准限值表</w:t>
            </w:r>
          </w:p>
          <w:tbl>
            <w:tblPr>
              <w:tblStyle w:val="76"/>
              <w:tblW w:w="7833" w:type="dxa"/>
              <w:jc w:val="center"/>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11"/>
              <w:gridCol w:w="1586"/>
              <w:gridCol w:w="1218"/>
              <w:gridCol w:w="1341"/>
              <w:gridCol w:w="893"/>
            </w:tblGrid>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Merge w:val="restart"/>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pPr>
                    <w:pStyle w:val="59"/>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pPr>
                    <w:pStyle w:val="59"/>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4"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2011"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1586"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1218"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1小时</w:t>
                  </w:r>
                  <w:r>
                    <w:rPr>
                      <w:b/>
                      <w:color w:val="000000"/>
                      <w:sz w:val="21"/>
                      <w:szCs w:val="21"/>
                    </w:rPr>
                    <w:t>平均</w:t>
                  </w:r>
                </w:p>
              </w:tc>
              <w:tc>
                <w:tcPr>
                  <w:tcW w:w="1341"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24小时平均</w:t>
                  </w:r>
                </w:p>
              </w:tc>
              <w:tc>
                <w:tcPr>
                  <w:tcW w:w="893"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restart"/>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《环境空气质量标准》 （GB 3095–2012）二级及2018年修改单</w:t>
                  </w: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60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bCs/>
                      <w:color w:val="000000"/>
                      <w:sz w:val="21"/>
                      <w:szCs w:val="21"/>
                    </w:rPr>
                    <w:t>40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颗粒物（PM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70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颗粒物（PM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35</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50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vMerge w:val="restart"/>
                  <w:tcBorders>
                    <w:tl2br w:val="nil"/>
                    <w:tr2bl w:val="nil"/>
                  </w:tcBorders>
                  <w:vAlign w:val="center"/>
                </w:tcPr>
                <w:p>
                  <w:pPr>
                    <w:pStyle w:val="59"/>
                    <w:spacing w:after="0" w:line="240" w:lineRule="auto"/>
                    <w:ind w:left="0"/>
                    <w:jc w:val="center"/>
                    <w:rPr>
                      <w:bCs/>
                      <w:sz w:val="21"/>
                      <w:szCs w:val="21"/>
                    </w:rPr>
                  </w:pPr>
                  <w:r>
                    <w:rPr>
                      <w:rFonts w:hint="eastAsia"/>
                      <w:b/>
                      <w:sz w:val="21"/>
                      <w:szCs w:val="21"/>
                    </w:rPr>
                    <w:t>污染物</w:t>
                  </w:r>
                  <w:r>
                    <w:rPr>
                      <w:b/>
                      <w:sz w:val="21"/>
                      <w:szCs w:val="21"/>
                    </w:rPr>
                    <w:t>指标</w:t>
                  </w:r>
                </w:p>
              </w:tc>
              <w:tc>
                <w:tcPr>
                  <w:tcW w:w="3452" w:type="dxa"/>
                  <w:gridSpan w:val="3"/>
                  <w:tcBorders>
                    <w:tl2br w:val="nil"/>
                    <w:tr2bl w:val="nil"/>
                  </w:tcBorders>
                  <w:vAlign w:val="center"/>
                </w:tcPr>
                <w:p>
                  <w:pPr>
                    <w:pStyle w:val="59"/>
                    <w:spacing w:after="0" w:line="240" w:lineRule="auto"/>
                    <w:ind w:left="0"/>
                    <w:jc w:val="center"/>
                    <w:rPr>
                      <w:bCs/>
                      <w:sz w:val="21"/>
                      <w:szCs w:val="21"/>
                    </w:rPr>
                  </w:pPr>
                  <w:r>
                    <w:rPr>
                      <w:rFonts w:hint="eastAsia"/>
                      <w:b/>
                      <w:sz w:val="21"/>
                      <w:szCs w:val="21"/>
                    </w:rPr>
                    <w:t>最高容许浓度（mg/m</w:t>
                  </w:r>
                  <w:r>
                    <w:rPr>
                      <w:rFonts w:hint="eastAsia"/>
                      <w:b/>
                      <w:sz w:val="21"/>
                      <w:szCs w:val="21"/>
                      <w:vertAlign w:val="superscript"/>
                    </w:rPr>
                    <w:t>3</w:t>
                  </w:r>
                  <w:r>
                    <w:rPr>
                      <w:rFonts w:hint="eastAsia"/>
                      <w:b/>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vMerge w:val="continue"/>
                  <w:tcBorders>
                    <w:tl2br w:val="nil"/>
                    <w:tr2bl w:val="nil"/>
                  </w:tcBorders>
                  <w:vAlign w:val="center"/>
                </w:tcPr>
                <w:p>
                  <w:pPr>
                    <w:pStyle w:val="59"/>
                    <w:spacing w:after="0" w:line="240" w:lineRule="auto"/>
                    <w:ind w:left="0"/>
                    <w:jc w:val="center"/>
                    <w:rPr>
                      <w:bCs/>
                      <w:sz w:val="21"/>
                      <w:szCs w:val="21"/>
                    </w:rPr>
                  </w:pPr>
                </w:p>
              </w:tc>
              <w:tc>
                <w:tcPr>
                  <w:tcW w:w="1218"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1小时</w:t>
                  </w:r>
                  <w:r>
                    <w:rPr>
                      <w:b/>
                      <w:sz w:val="21"/>
                      <w:szCs w:val="21"/>
                    </w:rPr>
                    <w:t>平均</w:t>
                  </w:r>
                </w:p>
              </w:tc>
              <w:tc>
                <w:tcPr>
                  <w:tcW w:w="1341"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24小时平均</w:t>
                  </w:r>
                </w:p>
              </w:tc>
              <w:tc>
                <w:tcPr>
                  <w:tcW w:w="893"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年平均</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CO</w:t>
                  </w:r>
                </w:p>
              </w:tc>
              <w:tc>
                <w:tcPr>
                  <w:tcW w:w="1218"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10</w:t>
                  </w:r>
                </w:p>
              </w:tc>
              <w:tc>
                <w:tcPr>
                  <w:tcW w:w="1341"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4</w:t>
                  </w:r>
                </w:p>
              </w:tc>
              <w:tc>
                <w:tcPr>
                  <w:tcW w:w="893"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w:t>
                  </w:r>
                </w:p>
              </w:tc>
            </w:tr>
          </w:tbl>
          <w:p>
            <w:pPr>
              <w:spacing w:beforeLines="50" w:line="360" w:lineRule="auto"/>
              <w:ind w:firstLine="482" w:firstLineChars="200"/>
              <w:rPr>
                <w:b/>
                <w:bCs/>
                <w:sz w:val="24"/>
              </w:rPr>
            </w:pPr>
            <w:r>
              <w:rPr>
                <w:b/>
                <w:bCs/>
                <w:sz w:val="24"/>
              </w:rPr>
              <w:t>2、地表水</w:t>
            </w:r>
          </w:p>
          <w:p>
            <w:pPr>
              <w:spacing w:line="360" w:lineRule="auto"/>
              <w:ind w:firstLine="480" w:firstLineChars="200"/>
              <w:rPr>
                <w:bCs/>
                <w:sz w:val="24"/>
              </w:rPr>
            </w:pPr>
            <w:r>
              <w:rPr>
                <w:bCs/>
                <w:sz w:val="24"/>
              </w:rPr>
              <w:t>根据《</w:t>
            </w:r>
            <w:r>
              <w:rPr>
                <w:sz w:val="24"/>
              </w:rPr>
              <w:t>江苏省地表水环境功能区划</w:t>
            </w:r>
            <w:r>
              <w:rPr>
                <w:bCs/>
                <w:sz w:val="24"/>
              </w:rPr>
              <w:t>》，本项目周边水环境执行《地表水环境质量标准》（GB3838-2002）中的Ⅲ类标准，具体标准见表4-2</w:t>
            </w:r>
            <w:r>
              <w:rPr>
                <w:rFonts w:hint="eastAsia"/>
                <w:bCs/>
                <w:sz w:val="24"/>
              </w:rPr>
              <w:t>。</w:t>
            </w:r>
          </w:p>
          <w:p>
            <w:pPr>
              <w:pStyle w:val="13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Ansi="Times New Roman"/>
                <w:lang w:val="fi-FI"/>
              </w:rPr>
            </w:pPr>
            <w:r>
              <w:rPr>
                <w:rFonts w:hint="eastAsia" w:hAnsi="Times New Roman"/>
              </w:rPr>
              <w:t xml:space="preserve">      </w:t>
            </w:r>
            <w:r>
              <w:rPr>
                <w:rFonts w:hint="eastAsia" w:ascii="Times New Roman" w:hAnsi="宋体" w:eastAsia="宋体" w:cs="Times New Roman"/>
                <w:b/>
                <w:kern w:val="2"/>
                <w:sz w:val="24"/>
                <w:szCs w:val="24"/>
                <w:lang w:val="en-US" w:eastAsia="zh-CN" w:bidi="ar-SA"/>
              </w:rPr>
              <w:t xml:space="preserve"> 表4-2  地表水环境质量标准限值表    单位：mg/L （pH除外） </w:t>
            </w:r>
            <w:r>
              <w:rPr>
                <w:rFonts w:hint="eastAsia"/>
              </w:rPr>
              <w:t xml:space="preserve"> </w:t>
            </w:r>
          </w:p>
          <w:tbl>
            <w:tblPr>
              <w:tblStyle w:val="75"/>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44"/>
              <w:gridCol w:w="581"/>
              <w:gridCol w:w="635"/>
              <w:gridCol w:w="838"/>
              <w:gridCol w:w="811"/>
              <w:gridCol w:w="757"/>
              <w:gridCol w:w="702"/>
              <w:gridCol w:w="636"/>
              <w:gridCol w:w="851"/>
              <w:gridCol w:w="1001"/>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044" w:type="dxa"/>
                  <w:tcBorders>
                    <w:tl2br w:val="nil"/>
                    <w:tr2bl w:val="nil"/>
                  </w:tcBorders>
                  <w:noWrap w:val="0"/>
                  <w:vAlign w:val="center"/>
                </w:tcPr>
                <w:p>
                  <w:pPr>
                    <w:jc w:val="center"/>
                    <w:rPr>
                      <w:b/>
                      <w:color w:val="000000"/>
                      <w:sz w:val="21"/>
                      <w:szCs w:val="21"/>
                    </w:rPr>
                  </w:pPr>
                  <w:r>
                    <w:rPr>
                      <w:rFonts w:hAnsi="宋体"/>
                      <w:b/>
                      <w:color w:val="000000"/>
                      <w:sz w:val="21"/>
                      <w:szCs w:val="21"/>
                    </w:rPr>
                    <w:t>项目</w:t>
                  </w:r>
                </w:p>
              </w:tc>
              <w:tc>
                <w:tcPr>
                  <w:tcW w:w="581" w:type="dxa"/>
                  <w:tcBorders>
                    <w:tl2br w:val="nil"/>
                    <w:tr2bl w:val="nil"/>
                  </w:tcBorders>
                  <w:noWrap w:val="0"/>
                  <w:vAlign w:val="center"/>
                </w:tcPr>
                <w:p>
                  <w:pPr>
                    <w:jc w:val="center"/>
                    <w:rPr>
                      <w:b/>
                      <w:color w:val="000000"/>
                      <w:sz w:val="21"/>
                      <w:szCs w:val="21"/>
                    </w:rPr>
                  </w:pPr>
                  <w:r>
                    <w:rPr>
                      <w:b/>
                      <w:color w:val="000000"/>
                      <w:sz w:val="21"/>
                      <w:szCs w:val="21"/>
                    </w:rPr>
                    <w:t>pH</w:t>
                  </w:r>
                </w:p>
              </w:tc>
              <w:tc>
                <w:tcPr>
                  <w:tcW w:w="635" w:type="dxa"/>
                  <w:tcBorders>
                    <w:tl2br w:val="nil"/>
                    <w:tr2bl w:val="nil"/>
                  </w:tcBorders>
                  <w:noWrap w:val="0"/>
                  <w:vAlign w:val="center"/>
                </w:tcPr>
                <w:p>
                  <w:pPr>
                    <w:jc w:val="center"/>
                    <w:rPr>
                      <w:b/>
                      <w:color w:val="000000"/>
                      <w:sz w:val="21"/>
                      <w:szCs w:val="21"/>
                    </w:rPr>
                  </w:pPr>
                  <w:r>
                    <w:rPr>
                      <w:b/>
                      <w:color w:val="000000"/>
                      <w:sz w:val="21"/>
                      <w:szCs w:val="21"/>
                    </w:rPr>
                    <w:t>DO</w:t>
                  </w:r>
                </w:p>
              </w:tc>
              <w:tc>
                <w:tcPr>
                  <w:tcW w:w="838" w:type="dxa"/>
                  <w:tcBorders>
                    <w:tl2br w:val="nil"/>
                    <w:tr2bl w:val="nil"/>
                  </w:tcBorders>
                  <w:noWrap w:val="0"/>
                  <w:vAlign w:val="center"/>
                </w:tcPr>
                <w:p>
                  <w:pPr>
                    <w:jc w:val="center"/>
                    <w:rPr>
                      <w:b/>
                      <w:color w:val="000000"/>
                      <w:sz w:val="21"/>
                      <w:szCs w:val="21"/>
                    </w:rPr>
                  </w:pPr>
                  <w:r>
                    <w:rPr>
                      <w:b/>
                      <w:color w:val="000000"/>
                      <w:sz w:val="21"/>
                      <w:szCs w:val="21"/>
                    </w:rPr>
                    <w:t>BOD</w:t>
                  </w:r>
                  <w:r>
                    <w:rPr>
                      <w:b/>
                      <w:color w:val="000000"/>
                      <w:sz w:val="21"/>
                      <w:szCs w:val="21"/>
                      <w:vertAlign w:val="subscript"/>
                    </w:rPr>
                    <w:t>5</w:t>
                  </w:r>
                </w:p>
              </w:tc>
              <w:tc>
                <w:tcPr>
                  <w:tcW w:w="811" w:type="dxa"/>
                  <w:tcBorders>
                    <w:tl2br w:val="nil"/>
                    <w:tr2bl w:val="nil"/>
                  </w:tcBorders>
                  <w:noWrap w:val="0"/>
                  <w:vAlign w:val="center"/>
                </w:tcPr>
                <w:p>
                  <w:pPr>
                    <w:jc w:val="center"/>
                    <w:rPr>
                      <w:b/>
                      <w:color w:val="000000"/>
                      <w:sz w:val="21"/>
                      <w:szCs w:val="21"/>
                    </w:rPr>
                  </w:pPr>
                  <w:r>
                    <w:rPr>
                      <w:b/>
                      <w:color w:val="000000"/>
                      <w:sz w:val="21"/>
                      <w:szCs w:val="21"/>
                    </w:rPr>
                    <w:t>COD</w:t>
                  </w:r>
                </w:p>
              </w:tc>
              <w:tc>
                <w:tcPr>
                  <w:tcW w:w="757" w:type="dxa"/>
                  <w:tcBorders>
                    <w:tl2br w:val="nil"/>
                    <w:tr2bl w:val="nil"/>
                  </w:tcBorders>
                  <w:noWrap w:val="0"/>
                  <w:vAlign w:val="center"/>
                </w:tcPr>
                <w:p>
                  <w:pPr>
                    <w:jc w:val="center"/>
                    <w:rPr>
                      <w:b/>
                      <w:color w:val="000000"/>
                      <w:sz w:val="21"/>
                      <w:szCs w:val="21"/>
                    </w:rPr>
                  </w:pPr>
                  <w:r>
                    <w:rPr>
                      <w:rFonts w:hint="eastAsia"/>
                      <w:b/>
                      <w:color w:val="000000"/>
                      <w:sz w:val="21"/>
                      <w:szCs w:val="21"/>
                    </w:rPr>
                    <w:t>TN</w:t>
                  </w:r>
                </w:p>
              </w:tc>
              <w:tc>
                <w:tcPr>
                  <w:tcW w:w="702" w:type="dxa"/>
                  <w:tcBorders>
                    <w:tl2br w:val="nil"/>
                    <w:tr2bl w:val="nil"/>
                  </w:tcBorders>
                  <w:noWrap w:val="0"/>
                  <w:vAlign w:val="center"/>
                </w:tcPr>
                <w:p>
                  <w:pPr>
                    <w:jc w:val="center"/>
                    <w:rPr>
                      <w:b/>
                      <w:color w:val="000000"/>
                      <w:sz w:val="21"/>
                      <w:szCs w:val="21"/>
                    </w:rPr>
                  </w:pPr>
                  <w:r>
                    <w:rPr>
                      <w:rFonts w:hAnsi="宋体"/>
                      <w:b/>
                      <w:color w:val="000000"/>
                      <w:sz w:val="21"/>
                      <w:szCs w:val="21"/>
                    </w:rPr>
                    <w:t>氨氮</w:t>
                  </w:r>
                </w:p>
              </w:tc>
              <w:tc>
                <w:tcPr>
                  <w:tcW w:w="636" w:type="dxa"/>
                  <w:tcBorders>
                    <w:tl2br w:val="nil"/>
                    <w:tr2bl w:val="nil"/>
                  </w:tcBorders>
                  <w:noWrap w:val="0"/>
                  <w:vAlign w:val="center"/>
                </w:tcPr>
                <w:p>
                  <w:pPr>
                    <w:jc w:val="center"/>
                    <w:rPr>
                      <w:b/>
                      <w:color w:val="000000"/>
                      <w:sz w:val="21"/>
                      <w:szCs w:val="21"/>
                    </w:rPr>
                  </w:pPr>
                  <w:r>
                    <w:rPr>
                      <w:b/>
                      <w:color w:val="000000"/>
                      <w:sz w:val="21"/>
                      <w:szCs w:val="21"/>
                    </w:rPr>
                    <w:t>TP</w:t>
                  </w:r>
                </w:p>
              </w:tc>
              <w:tc>
                <w:tcPr>
                  <w:tcW w:w="851" w:type="dxa"/>
                  <w:tcBorders>
                    <w:tl2br w:val="nil"/>
                    <w:tr2bl w:val="nil"/>
                  </w:tcBorders>
                  <w:noWrap w:val="0"/>
                  <w:vAlign w:val="center"/>
                </w:tcPr>
                <w:p>
                  <w:pPr>
                    <w:jc w:val="center"/>
                    <w:rPr>
                      <w:b/>
                      <w:color w:val="000000"/>
                      <w:sz w:val="21"/>
                      <w:szCs w:val="21"/>
                    </w:rPr>
                  </w:pPr>
                  <w:r>
                    <w:rPr>
                      <w:rFonts w:hAnsi="宋体"/>
                      <w:b/>
                      <w:color w:val="000000"/>
                      <w:sz w:val="21"/>
                      <w:szCs w:val="21"/>
                    </w:rPr>
                    <w:t>石油类</w:t>
                  </w:r>
                </w:p>
              </w:tc>
              <w:tc>
                <w:tcPr>
                  <w:tcW w:w="1001" w:type="dxa"/>
                  <w:tcBorders>
                    <w:tl2br w:val="nil"/>
                    <w:tr2bl w:val="nil"/>
                  </w:tcBorders>
                  <w:noWrap w:val="0"/>
                  <w:vAlign w:val="center"/>
                </w:tcPr>
                <w:p>
                  <w:pPr>
                    <w:jc w:val="center"/>
                    <w:rPr>
                      <w:rFonts w:hint="eastAsia" w:hAnsi="宋体"/>
                      <w:b/>
                      <w:color w:val="000000"/>
                      <w:sz w:val="21"/>
                      <w:szCs w:val="21"/>
                    </w:rPr>
                  </w:pPr>
                  <w:r>
                    <w:rPr>
                      <w:rFonts w:hint="eastAsia" w:hAnsi="宋体"/>
                      <w:b/>
                      <w:color w:val="000000"/>
                      <w:sz w:val="21"/>
                      <w:szCs w:val="21"/>
                    </w:rPr>
                    <w:t>高锰酸盐指数</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044" w:type="dxa"/>
                  <w:tcBorders>
                    <w:tl2br w:val="nil"/>
                    <w:tr2bl w:val="nil"/>
                  </w:tcBorders>
                  <w:noWrap w:val="0"/>
                  <w:vAlign w:val="center"/>
                </w:tcPr>
                <w:p>
                  <w:pPr>
                    <w:jc w:val="center"/>
                    <w:rPr>
                      <w:color w:val="000000"/>
                      <w:sz w:val="21"/>
                      <w:szCs w:val="21"/>
                    </w:rPr>
                  </w:pPr>
                  <w:r>
                    <w:rPr>
                      <w:rFonts w:ascii="宋体" w:hAnsi="宋体"/>
                      <w:color w:val="000000"/>
                      <w:sz w:val="21"/>
                      <w:szCs w:val="21"/>
                    </w:rPr>
                    <w:t>Ⅲ</w:t>
                  </w:r>
                  <w:r>
                    <w:rPr>
                      <w:rFonts w:hAnsi="宋体"/>
                      <w:color w:val="000000"/>
                      <w:sz w:val="21"/>
                      <w:szCs w:val="21"/>
                    </w:rPr>
                    <w:t>类标准值</w:t>
                  </w:r>
                </w:p>
              </w:tc>
              <w:tc>
                <w:tcPr>
                  <w:tcW w:w="581" w:type="dxa"/>
                  <w:tcBorders>
                    <w:tl2br w:val="nil"/>
                    <w:tr2bl w:val="nil"/>
                  </w:tcBorders>
                  <w:noWrap w:val="0"/>
                  <w:vAlign w:val="center"/>
                </w:tcPr>
                <w:p>
                  <w:pPr>
                    <w:jc w:val="center"/>
                    <w:rPr>
                      <w:color w:val="000000"/>
                      <w:sz w:val="21"/>
                      <w:szCs w:val="21"/>
                    </w:rPr>
                  </w:pPr>
                  <w:r>
                    <w:rPr>
                      <w:color w:val="000000"/>
                      <w:sz w:val="21"/>
                      <w:szCs w:val="21"/>
                    </w:rPr>
                    <w:t>6-9</w:t>
                  </w:r>
                </w:p>
              </w:tc>
              <w:tc>
                <w:tcPr>
                  <w:tcW w:w="635" w:type="dxa"/>
                  <w:tcBorders>
                    <w:tl2br w:val="nil"/>
                    <w:tr2bl w:val="nil"/>
                  </w:tcBorders>
                  <w:noWrap w:val="0"/>
                  <w:vAlign w:val="center"/>
                </w:tcPr>
                <w:p>
                  <w:pPr>
                    <w:jc w:val="center"/>
                    <w:rPr>
                      <w:color w:val="000000"/>
                      <w:sz w:val="21"/>
                      <w:szCs w:val="21"/>
                    </w:rPr>
                  </w:pPr>
                  <w:r>
                    <w:rPr>
                      <w:color w:val="000000"/>
                      <w:sz w:val="21"/>
                      <w:szCs w:val="21"/>
                    </w:rPr>
                    <w:t>≥5</w:t>
                  </w:r>
                </w:p>
              </w:tc>
              <w:tc>
                <w:tcPr>
                  <w:tcW w:w="838" w:type="dxa"/>
                  <w:tcBorders>
                    <w:tl2br w:val="nil"/>
                    <w:tr2bl w:val="nil"/>
                  </w:tcBorders>
                  <w:noWrap w:val="0"/>
                  <w:vAlign w:val="center"/>
                </w:tcPr>
                <w:p>
                  <w:pPr>
                    <w:jc w:val="center"/>
                    <w:rPr>
                      <w:color w:val="000000"/>
                      <w:sz w:val="21"/>
                      <w:szCs w:val="21"/>
                    </w:rPr>
                  </w:pPr>
                  <w:r>
                    <w:rPr>
                      <w:color w:val="000000"/>
                      <w:sz w:val="21"/>
                      <w:szCs w:val="21"/>
                    </w:rPr>
                    <w:t>≤4</w:t>
                  </w:r>
                </w:p>
              </w:tc>
              <w:tc>
                <w:tcPr>
                  <w:tcW w:w="811" w:type="dxa"/>
                  <w:tcBorders>
                    <w:tl2br w:val="nil"/>
                    <w:tr2bl w:val="nil"/>
                  </w:tcBorders>
                  <w:noWrap w:val="0"/>
                  <w:vAlign w:val="center"/>
                </w:tcPr>
                <w:p>
                  <w:pPr>
                    <w:jc w:val="center"/>
                    <w:rPr>
                      <w:color w:val="000000"/>
                      <w:sz w:val="21"/>
                      <w:szCs w:val="21"/>
                    </w:rPr>
                  </w:pPr>
                  <w:r>
                    <w:rPr>
                      <w:color w:val="000000"/>
                      <w:sz w:val="21"/>
                      <w:szCs w:val="21"/>
                    </w:rPr>
                    <w:t>≤</w:t>
                  </w:r>
                  <w:r>
                    <w:rPr>
                      <w:rFonts w:hint="eastAsia"/>
                      <w:color w:val="000000"/>
                      <w:sz w:val="21"/>
                      <w:szCs w:val="21"/>
                    </w:rPr>
                    <w:t>20</w:t>
                  </w:r>
                </w:p>
              </w:tc>
              <w:tc>
                <w:tcPr>
                  <w:tcW w:w="757" w:type="dxa"/>
                  <w:tcBorders>
                    <w:tl2br w:val="nil"/>
                    <w:tr2bl w:val="nil"/>
                  </w:tcBorders>
                  <w:noWrap w:val="0"/>
                  <w:vAlign w:val="center"/>
                </w:tcPr>
                <w:p>
                  <w:pPr>
                    <w:jc w:val="center"/>
                    <w:rPr>
                      <w:color w:val="000000"/>
                      <w:sz w:val="21"/>
                      <w:szCs w:val="21"/>
                    </w:rPr>
                  </w:pPr>
                  <w:r>
                    <w:rPr>
                      <w:color w:val="000000"/>
                      <w:sz w:val="21"/>
                      <w:szCs w:val="21"/>
                    </w:rPr>
                    <w:t>≤</w:t>
                  </w:r>
                  <w:r>
                    <w:rPr>
                      <w:sz w:val="21"/>
                      <w:szCs w:val="21"/>
                    </w:rPr>
                    <w:t>1.0</w:t>
                  </w:r>
                </w:p>
              </w:tc>
              <w:tc>
                <w:tcPr>
                  <w:tcW w:w="702" w:type="dxa"/>
                  <w:tcBorders>
                    <w:tl2br w:val="nil"/>
                    <w:tr2bl w:val="nil"/>
                  </w:tcBorders>
                  <w:noWrap w:val="0"/>
                  <w:vAlign w:val="center"/>
                </w:tcPr>
                <w:p>
                  <w:pPr>
                    <w:jc w:val="center"/>
                    <w:rPr>
                      <w:color w:val="000000"/>
                      <w:sz w:val="21"/>
                      <w:szCs w:val="21"/>
                    </w:rPr>
                  </w:pPr>
                  <w:r>
                    <w:rPr>
                      <w:color w:val="000000"/>
                      <w:sz w:val="21"/>
                      <w:szCs w:val="21"/>
                    </w:rPr>
                    <w:t>≤1.0</w:t>
                  </w:r>
                </w:p>
              </w:tc>
              <w:tc>
                <w:tcPr>
                  <w:tcW w:w="636" w:type="dxa"/>
                  <w:tcBorders>
                    <w:tl2br w:val="nil"/>
                    <w:tr2bl w:val="nil"/>
                  </w:tcBorders>
                  <w:noWrap w:val="0"/>
                  <w:vAlign w:val="center"/>
                </w:tcPr>
                <w:p>
                  <w:pPr>
                    <w:jc w:val="center"/>
                    <w:rPr>
                      <w:color w:val="000000"/>
                      <w:sz w:val="21"/>
                      <w:szCs w:val="21"/>
                    </w:rPr>
                  </w:pPr>
                  <w:r>
                    <w:rPr>
                      <w:color w:val="000000"/>
                      <w:sz w:val="21"/>
                      <w:szCs w:val="21"/>
                    </w:rPr>
                    <w:t>≤0.2</w:t>
                  </w:r>
                </w:p>
              </w:tc>
              <w:tc>
                <w:tcPr>
                  <w:tcW w:w="851" w:type="dxa"/>
                  <w:tcBorders>
                    <w:tl2br w:val="nil"/>
                    <w:tr2bl w:val="nil"/>
                  </w:tcBorders>
                  <w:noWrap w:val="0"/>
                  <w:vAlign w:val="center"/>
                </w:tcPr>
                <w:p>
                  <w:pPr>
                    <w:jc w:val="center"/>
                    <w:rPr>
                      <w:color w:val="000000"/>
                      <w:sz w:val="21"/>
                      <w:szCs w:val="21"/>
                    </w:rPr>
                  </w:pPr>
                  <w:r>
                    <w:rPr>
                      <w:color w:val="000000"/>
                      <w:sz w:val="21"/>
                      <w:szCs w:val="21"/>
                    </w:rPr>
                    <w:t>≤0.</w:t>
                  </w:r>
                  <w:r>
                    <w:rPr>
                      <w:rFonts w:hint="eastAsia"/>
                      <w:color w:val="000000"/>
                      <w:sz w:val="21"/>
                      <w:szCs w:val="21"/>
                    </w:rPr>
                    <w:t>0</w:t>
                  </w:r>
                  <w:r>
                    <w:rPr>
                      <w:color w:val="000000"/>
                      <w:sz w:val="21"/>
                      <w:szCs w:val="21"/>
                    </w:rPr>
                    <w:t>5</w:t>
                  </w:r>
                </w:p>
              </w:tc>
              <w:tc>
                <w:tcPr>
                  <w:tcW w:w="1001" w:type="dxa"/>
                  <w:tcBorders>
                    <w:tl2br w:val="nil"/>
                    <w:tr2bl w:val="nil"/>
                  </w:tcBorders>
                  <w:noWrap w:val="0"/>
                  <w:vAlign w:val="center"/>
                </w:tcPr>
                <w:p>
                  <w:pPr>
                    <w:jc w:val="center"/>
                    <w:rPr>
                      <w:rFonts w:hint="eastAsia"/>
                      <w:color w:val="000000"/>
                      <w:sz w:val="21"/>
                      <w:szCs w:val="21"/>
                    </w:rPr>
                  </w:pPr>
                  <w:r>
                    <w:rPr>
                      <w:color w:val="000000"/>
                      <w:sz w:val="21"/>
                      <w:szCs w:val="21"/>
                    </w:rPr>
                    <w:t>≤</w:t>
                  </w:r>
                  <w:r>
                    <w:rPr>
                      <w:rFonts w:hint="eastAsia"/>
                      <w:color w:val="000000"/>
                      <w:sz w:val="21"/>
                      <w:szCs w:val="21"/>
                    </w:rPr>
                    <w:t>6</w:t>
                  </w:r>
                </w:p>
              </w:tc>
            </w:tr>
          </w:tbl>
          <w:p>
            <w:pPr>
              <w:spacing w:beforeLines="50" w:line="360" w:lineRule="auto"/>
              <w:ind w:firstLine="482" w:firstLineChars="200"/>
              <w:rPr>
                <w:b/>
                <w:bCs/>
                <w:sz w:val="24"/>
              </w:rPr>
            </w:pPr>
            <w:r>
              <w:rPr>
                <w:b/>
                <w:bCs/>
                <w:sz w:val="24"/>
              </w:rPr>
              <w:t>3、声环境</w:t>
            </w:r>
          </w:p>
          <w:p>
            <w:pPr>
              <w:spacing w:line="360" w:lineRule="auto"/>
              <w:ind w:firstLine="360" w:firstLineChars="150"/>
              <w:rPr>
                <w:sz w:val="24"/>
              </w:rPr>
            </w:pPr>
            <w:r>
              <w:rPr>
                <w:rFonts w:hint="eastAsia"/>
                <w:sz w:val="24"/>
              </w:rPr>
              <w:t>本项目</w:t>
            </w:r>
            <w:r>
              <w:rPr>
                <w:sz w:val="24"/>
              </w:rPr>
              <w:t>所在地声环境执行</w:t>
            </w:r>
            <w:r>
              <w:rPr>
                <w:rFonts w:hint="eastAsia"/>
                <w:sz w:val="24"/>
              </w:rPr>
              <w:t>《声环境质量标准》（</w:t>
            </w:r>
            <w:r>
              <w:rPr>
                <w:sz w:val="24"/>
              </w:rPr>
              <w:t>GB 3096-2008）中3类标准</w:t>
            </w:r>
            <w:r>
              <w:rPr>
                <w:rFonts w:hint="eastAsia"/>
                <w:sz w:val="24"/>
              </w:rPr>
              <w:t>，</w:t>
            </w:r>
            <w:r>
              <w:rPr>
                <w:rFonts w:hint="eastAsia"/>
                <w:sz w:val="24"/>
                <w:lang w:eastAsia="zh-CN"/>
              </w:rPr>
              <w:t>周边敏感点声环境</w:t>
            </w:r>
            <w:r>
              <w:rPr>
                <w:sz w:val="24"/>
              </w:rPr>
              <w:t>执行</w:t>
            </w:r>
            <w:r>
              <w:rPr>
                <w:rFonts w:hint="eastAsia"/>
                <w:sz w:val="24"/>
              </w:rPr>
              <w:t>《声环境质量标准》（</w:t>
            </w:r>
            <w:r>
              <w:rPr>
                <w:sz w:val="24"/>
              </w:rPr>
              <w:t>GB 3096-2008）中</w:t>
            </w:r>
            <w:r>
              <w:rPr>
                <w:rFonts w:hint="eastAsia"/>
                <w:sz w:val="24"/>
                <w:lang w:val="en-US" w:eastAsia="zh-CN"/>
              </w:rPr>
              <w:t>2</w:t>
            </w:r>
            <w:r>
              <w:rPr>
                <w:sz w:val="24"/>
              </w:rPr>
              <w:t>类标准</w:t>
            </w:r>
            <w:r>
              <w:rPr>
                <w:rFonts w:hint="eastAsia"/>
                <w:sz w:val="24"/>
                <w:lang w:eastAsia="zh-CN"/>
              </w:rPr>
              <w:t>，</w:t>
            </w:r>
            <w:r>
              <w:rPr>
                <w:kern w:val="0"/>
                <w:sz w:val="24"/>
                <w:szCs w:val="24"/>
                <w:lang w:val="en-US"/>
              </w:rPr>
              <w:t>具体详见表4-3。</w:t>
            </w:r>
          </w:p>
          <w:p>
            <w:pPr>
              <w:pStyle w:val="13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宋体" w:eastAsia="宋体" w:cs="Times New Roman"/>
                <w:b/>
                <w:kern w:val="2"/>
                <w:sz w:val="24"/>
                <w:szCs w:val="24"/>
                <w:lang w:val="fi-FI" w:eastAsia="zh-CN" w:bidi="ar-SA"/>
              </w:rPr>
            </w:pPr>
            <w:r>
              <w:rPr>
                <w:rFonts w:hint="eastAsia" w:ascii="Times New Roman" w:hAnsi="宋体" w:eastAsia="宋体" w:cs="Times New Roman"/>
                <w:b/>
                <w:kern w:val="2"/>
                <w:sz w:val="24"/>
                <w:szCs w:val="24"/>
                <w:lang w:val="en-US" w:eastAsia="zh-CN" w:bidi="ar-SA"/>
              </w:rPr>
              <w:t>表4-3  区域噪声标准限值表  单位：dB（A）</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656"/>
              <w:gridCol w:w="2654"/>
              <w:gridCol w:w="2627"/>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rPr>
                      <w:b/>
                    </w:rPr>
                  </w:pPr>
                  <w:r>
                    <w:rPr>
                      <w:rFonts w:hint="eastAsia"/>
                      <w:b/>
                    </w:rPr>
                    <w:t>执行</w:t>
                  </w:r>
                  <w:r>
                    <w:rPr>
                      <w:b/>
                    </w:rPr>
                    <w:t>标准</w:t>
                  </w:r>
                </w:p>
              </w:tc>
              <w:tc>
                <w:tcPr>
                  <w:tcW w:w="2654" w:type="dxa"/>
                  <w:vAlign w:val="center"/>
                </w:tcPr>
                <w:p>
                  <w:pPr>
                    <w:jc w:val="center"/>
                    <w:rPr>
                      <w:b/>
                    </w:rPr>
                  </w:pPr>
                  <w:r>
                    <w:rPr>
                      <w:b/>
                    </w:rPr>
                    <w:t>昼间</w:t>
                  </w:r>
                </w:p>
              </w:tc>
              <w:tc>
                <w:tcPr>
                  <w:tcW w:w="2627" w:type="dxa"/>
                  <w:vAlign w:val="center"/>
                </w:tcPr>
                <w:p>
                  <w:pPr>
                    <w:jc w:val="center"/>
                    <w:rPr>
                      <w:b/>
                    </w:rPr>
                  </w:pPr>
                  <w:r>
                    <w:rPr>
                      <w:b/>
                    </w:rPr>
                    <w:t>夜间</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pPr>
                  <w:r>
                    <w:rPr>
                      <w:lang w:val="en-US"/>
                    </w:rPr>
                    <w:t>3</w:t>
                  </w:r>
                  <w:r>
                    <w:t>类</w:t>
                  </w:r>
                </w:p>
              </w:tc>
              <w:tc>
                <w:tcPr>
                  <w:tcW w:w="2654" w:type="dxa"/>
                  <w:vAlign w:val="center"/>
                </w:tcPr>
                <w:p>
                  <w:pPr>
                    <w:jc w:val="center"/>
                  </w:pPr>
                  <w:r>
                    <w:rPr>
                      <w:rFonts w:hint="eastAsia"/>
                    </w:rPr>
                    <w:t>6</w:t>
                  </w:r>
                  <w:r>
                    <w:rPr>
                      <w:rFonts w:hint="eastAsia"/>
                      <w:lang w:val="en-US"/>
                    </w:rPr>
                    <w:t>5</w:t>
                  </w:r>
                </w:p>
              </w:tc>
              <w:tc>
                <w:tcPr>
                  <w:tcW w:w="2627" w:type="dxa"/>
                  <w:vAlign w:val="center"/>
                </w:tcPr>
                <w:p>
                  <w:pPr>
                    <w:jc w:val="center"/>
                  </w:pPr>
                  <w:r>
                    <w:rPr>
                      <w:rFonts w:hint="eastAsia"/>
                    </w:rPr>
                    <w:t>5</w:t>
                  </w:r>
                  <w:r>
                    <w:rPr>
                      <w:rFonts w:hint="eastAsia"/>
                      <w:lang w:val="en-US"/>
                    </w:rPr>
                    <w:t>5</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PrEx>
              <w:trPr>
                <w:trHeight w:val="283" w:hRule="atLeast"/>
                <w:jc w:val="center"/>
              </w:trPr>
              <w:tc>
                <w:tcPr>
                  <w:tcW w:w="2656" w:type="dxa"/>
                  <w:vAlign w:val="center"/>
                </w:tcPr>
                <w:p>
                  <w:pPr>
                    <w:jc w:val="center"/>
                    <w:rPr>
                      <w:rFonts w:hint="eastAsia"/>
                      <w:lang w:val="en-US"/>
                    </w:rPr>
                  </w:pPr>
                  <w:r>
                    <w:rPr>
                      <w:rFonts w:hint="eastAsia"/>
                      <w:lang w:val="en-US" w:eastAsia="zh-CN"/>
                    </w:rPr>
                    <w:t>2</w:t>
                  </w:r>
                  <w:r>
                    <w:t>类</w:t>
                  </w:r>
                </w:p>
              </w:tc>
              <w:tc>
                <w:tcPr>
                  <w:tcW w:w="2654" w:type="dxa"/>
                  <w:vAlign w:val="center"/>
                </w:tcPr>
                <w:p>
                  <w:pPr>
                    <w:jc w:val="center"/>
                    <w:rPr>
                      <w:rFonts w:hint="default" w:eastAsia="宋体"/>
                      <w:lang w:val="en-US" w:eastAsia="zh-CN"/>
                    </w:rPr>
                  </w:pPr>
                  <w:r>
                    <w:rPr>
                      <w:rFonts w:hint="eastAsia"/>
                      <w:lang w:val="en-US" w:eastAsia="zh-CN"/>
                    </w:rPr>
                    <w:t>60</w:t>
                  </w:r>
                </w:p>
              </w:tc>
              <w:tc>
                <w:tcPr>
                  <w:tcW w:w="2627" w:type="dxa"/>
                  <w:vAlign w:val="center"/>
                </w:tcPr>
                <w:p>
                  <w:pPr>
                    <w:jc w:val="center"/>
                    <w:rPr>
                      <w:rFonts w:hint="default" w:eastAsia="宋体"/>
                      <w:lang w:val="en-US" w:eastAsia="zh-CN"/>
                    </w:rPr>
                  </w:pPr>
                  <w:r>
                    <w:rPr>
                      <w:rFonts w:hint="eastAsia"/>
                      <w:lang w:val="en-US" w:eastAsia="zh-CN"/>
                    </w:rPr>
                    <w:t>50</w:t>
                  </w:r>
                </w:p>
              </w:tc>
            </w:tr>
          </w:tbl>
          <w:p>
            <w:pPr>
              <w:snapToGrid w:val="0"/>
              <w:spacing w:line="36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456" w:type="dxa"/>
            <w:vAlign w:val="center"/>
          </w:tcPr>
          <w:p>
            <w:pPr>
              <w:pStyle w:val="156"/>
              <w:tabs>
                <w:tab w:val="left" w:pos="5400"/>
              </w:tabs>
              <w:spacing w:beforeLines="0" w:afterLines="0" w:line="312" w:lineRule="auto"/>
              <w:rPr>
                <w:rFonts w:eastAsia="宋体"/>
                <w:kern w:val="0"/>
              </w:rPr>
            </w:pPr>
            <w:r>
              <w:rPr>
                <w:rFonts w:eastAsia="宋体"/>
                <w:kern w:val="0"/>
              </w:rPr>
              <w:t>污</w:t>
            </w:r>
          </w:p>
          <w:p>
            <w:pPr>
              <w:pStyle w:val="156"/>
              <w:tabs>
                <w:tab w:val="left" w:pos="5400"/>
              </w:tabs>
              <w:spacing w:beforeLines="0" w:afterLines="0" w:line="312" w:lineRule="auto"/>
              <w:rPr>
                <w:rFonts w:eastAsia="宋体"/>
                <w:kern w:val="0"/>
              </w:rPr>
            </w:pPr>
            <w:r>
              <w:rPr>
                <w:rFonts w:eastAsia="宋体"/>
                <w:kern w:val="0"/>
              </w:rPr>
              <w:t>染</w:t>
            </w:r>
          </w:p>
          <w:p>
            <w:pPr>
              <w:pStyle w:val="156"/>
              <w:tabs>
                <w:tab w:val="left" w:pos="5400"/>
              </w:tabs>
              <w:spacing w:beforeLines="0" w:afterLines="0" w:line="312" w:lineRule="auto"/>
              <w:rPr>
                <w:rFonts w:eastAsia="宋体"/>
                <w:kern w:val="0"/>
              </w:rPr>
            </w:pPr>
            <w:r>
              <w:rPr>
                <w:rFonts w:eastAsia="宋体"/>
                <w:kern w:val="0"/>
              </w:rPr>
              <w:t>物</w:t>
            </w:r>
          </w:p>
          <w:p>
            <w:pPr>
              <w:pStyle w:val="156"/>
              <w:tabs>
                <w:tab w:val="left" w:pos="5400"/>
              </w:tabs>
              <w:spacing w:beforeLines="0" w:afterLines="0" w:line="312" w:lineRule="auto"/>
              <w:rPr>
                <w:rFonts w:eastAsia="宋体"/>
                <w:kern w:val="0"/>
              </w:rPr>
            </w:pPr>
            <w:r>
              <w:rPr>
                <w:rFonts w:eastAsia="宋体"/>
                <w:kern w:val="0"/>
              </w:rPr>
              <w:t>排</w:t>
            </w:r>
          </w:p>
          <w:p>
            <w:pPr>
              <w:pStyle w:val="156"/>
              <w:tabs>
                <w:tab w:val="left" w:pos="5400"/>
              </w:tabs>
              <w:spacing w:beforeLines="0" w:afterLines="0" w:line="312" w:lineRule="auto"/>
              <w:rPr>
                <w:rFonts w:eastAsia="宋体"/>
                <w:kern w:val="0"/>
              </w:rPr>
            </w:pPr>
            <w:r>
              <w:rPr>
                <w:rFonts w:eastAsia="宋体"/>
                <w:kern w:val="0"/>
              </w:rPr>
              <w:t>放</w:t>
            </w:r>
          </w:p>
          <w:p>
            <w:pPr>
              <w:pStyle w:val="156"/>
              <w:tabs>
                <w:tab w:val="left" w:pos="5400"/>
              </w:tabs>
              <w:spacing w:beforeLines="0" w:afterLines="0" w:line="312" w:lineRule="auto"/>
              <w:rPr>
                <w:rFonts w:eastAsia="宋体"/>
                <w:kern w:val="0"/>
              </w:rPr>
            </w:pPr>
            <w:r>
              <w:rPr>
                <w:rFonts w:eastAsia="宋体"/>
                <w:kern w:val="0"/>
              </w:rPr>
              <w:t>标</w:t>
            </w:r>
          </w:p>
          <w:p>
            <w:pPr>
              <w:pStyle w:val="156"/>
              <w:tabs>
                <w:tab w:val="left" w:pos="5400"/>
              </w:tabs>
              <w:spacing w:beforeLines="0" w:afterLines="0" w:line="360" w:lineRule="auto"/>
              <w:rPr>
                <w:rFonts w:eastAsia="宋体"/>
                <w:kern w:val="0"/>
              </w:rPr>
            </w:pPr>
            <w:r>
              <w:rPr>
                <w:rFonts w:eastAsia="宋体"/>
                <w:kern w:val="0"/>
              </w:rPr>
              <w:t>准</w:t>
            </w:r>
          </w:p>
        </w:tc>
        <w:tc>
          <w:tcPr>
            <w:tcW w:w="8073" w:type="dxa"/>
          </w:tcPr>
          <w:p>
            <w:pPr>
              <w:autoSpaceDE w:val="0"/>
              <w:autoSpaceDN w:val="0"/>
              <w:adjustRightInd w:val="0"/>
              <w:spacing w:line="360" w:lineRule="auto"/>
              <w:ind w:left="480"/>
              <w:jc w:val="left"/>
              <w:rPr>
                <w:rFonts w:ascii="Calibri" w:hAnsi="Calibri" w:eastAsiaTheme="minorEastAsia"/>
                <w:b/>
                <w:bCs/>
                <w:kern w:val="0"/>
                <w:sz w:val="24"/>
                <w:szCs w:val="24"/>
              </w:rPr>
            </w:pPr>
            <w:r>
              <w:rPr>
                <w:rFonts w:hint="eastAsia" w:eastAsiaTheme="minorEastAsia"/>
                <w:b/>
                <w:bCs/>
                <w:kern w:val="0"/>
                <w:sz w:val="24"/>
                <w:szCs w:val="24"/>
              </w:rPr>
              <w:t>1、废气</w:t>
            </w:r>
          </w:p>
          <w:p>
            <w:pPr>
              <w:spacing w:line="360" w:lineRule="auto"/>
              <w:ind w:firstLine="480" w:firstLineChars="200"/>
              <w:rPr>
                <w:sz w:val="24"/>
                <w:szCs w:val="24"/>
              </w:rPr>
            </w:pPr>
            <w:r>
              <w:rPr>
                <w:rFonts w:hint="eastAsia"/>
                <w:sz w:val="24"/>
                <w:szCs w:val="24"/>
                <w:lang w:val="en-US"/>
              </w:rPr>
              <w:t>营运期</w:t>
            </w:r>
            <w:r>
              <w:rPr>
                <w:b/>
                <w:sz w:val="24"/>
                <w:szCs w:val="24"/>
                <w:lang w:val="en-US"/>
              </w:rPr>
              <w:t>:</w:t>
            </w:r>
            <w:r>
              <w:rPr>
                <w:rFonts w:hint="eastAsia"/>
                <w:sz w:val="24"/>
                <w:szCs w:val="24"/>
                <w:lang w:val="en-US"/>
              </w:rPr>
              <w:t>本项目</w:t>
            </w:r>
            <w:r>
              <w:rPr>
                <w:rFonts w:hint="eastAsia"/>
                <w:sz w:val="24"/>
                <w:szCs w:val="24"/>
              </w:rPr>
              <w:t>喷雾造粒</w:t>
            </w:r>
            <w:r>
              <w:rPr>
                <w:rFonts w:hint="eastAsia"/>
                <w:sz w:val="24"/>
                <w:szCs w:val="24"/>
                <w:lang w:eastAsia="zh-CN"/>
              </w:rPr>
              <w:t>及辊道窑</w:t>
            </w:r>
            <w:r>
              <w:rPr>
                <w:rFonts w:hint="eastAsia"/>
                <w:sz w:val="24"/>
                <w:szCs w:val="24"/>
              </w:rPr>
              <w:t>使用天然气作燃料，</w:t>
            </w:r>
            <w:r>
              <w:rPr>
                <w:sz w:val="24"/>
                <w:szCs w:val="24"/>
              </w:rPr>
              <w:t>燃烧废气</w:t>
            </w:r>
            <w:r>
              <w:rPr>
                <w:rFonts w:hint="eastAsia"/>
                <w:sz w:val="24"/>
                <w:szCs w:val="24"/>
              </w:rPr>
              <w:t>（NO</w:t>
            </w:r>
            <w:r>
              <w:rPr>
                <w:sz w:val="24"/>
                <w:szCs w:val="24"/>
                <w:vertAlign w:val="subscript"/>
              </w:rPr>
              <w:t>X</w:t>
            </w:r>
            <w:r>
              <w:rPr>
                <w:rFonts w:hint="eastAsia"/>
                <w:sz w:val="24"/>
                <w:szCs w:val="24"/>
              </w:rPr>
              <w:t>、SO</w:t>
            </w:r>
            <w:r>
              <w:rPr>
                <w:sz w:val="24"/>
                <w:szCs w:val="24"/>
                <w:vertAlign w:val="subscript"/>
              </w:rPr>
              <w:t>2</w:t>
            </w:r>
            <w:r>
              <w:rPr>
                <w:rFonts w:hint="eastAsia"/>
                <w:sz w:val="24"/>
                <w:szCs w:val="24"/>
              </w:rPr>
              <w:t>）参照执行</w:t>
            </w:r>
            <w:r>
              <w:rPr>
                <w:sz w:val="24"/>
                <w:szCs w:val="24"/>
              </w:rPr>
              <w:t>《陶瓷工业污染物排放标准》（GB25464-2010）及《陶瓷工业污染物排放标准》（GB25464-2010）修改单（2014 年第 83 号文）</w:t>
            </w:r>
            <w:r>
              <w:rPr>
                <w:rFonts w:hint="eastAsia"/>
                <w:sz w:val="24"/>
                <w:szCs w:val="24"/>
              </w:rPr>
              <w:t>；</w:t>
            </w:r>
            <w:r>
              <w:rPr>
                <w:sz w:val="24"/>
                <w:szCs w:val="24"/>
              </w:rPr>
              <w:t>燃烧废气</w:t>
            </w:r>
            <w:r>
              <w:rPr>
                <w:rFonts w:hint="eastAsia"/>
                <w:sz w:val="24"/>
                <w:szCs w:val="24"/>
              </w:rPr>
              <w:t>（颗粒物）排放限值参照执行江苏省</w:t>
            </w:r>
            <w:r>
              <w:rPr>
                <w:sz w:val="24"/>
                <w:szCs w:val="24"/>
              </w:rPr>
              <w:t>《工业</w:t>
            </w:r>
            <w:r>
              <w:rPr>
                <w:rFonts w:hint="eastAsia"/>
                <w:sz w:val="24"/>
                <w:szCs w:val="24"/>
              </w:rPr>
              <w:t>炉窑大气</w:t>
            </w:r>
            <w:r>
              <w:rPr>
                <w:sz w:val="24"/>
                <w:szCs w:val="24"/>
              </w:rPr>
              <w:t>污染物排放标准》（</w:t>
            </w:r>
            <w:r>
              <w:rPr>
                <w:rFonts w:hint="eastAsia"/>
                <w:sz w:val="24"/>
                <w:szCs w:val="24"/>
              </w:rPr>
              <w:t>D</w:t>
            </w:r>
            <w:r>
              <w:rPr>
                <w:sz w:val="24"/>
                <w:szCs w:val="24"/>
              </w:rPr>
              <w:t>B</w:t>
            </w:r>
            <w:r>
              <w:rPr>
                <w:rFonts w:hint="eastAsia"/>
                <w:sz w:val="24"/>
                <w:szCs w:val="24"/>
              </w:rPr>
              <w:t>32/3728</w:t>
            </w:r>
            <w:r>
              <w:rPr>
                <w:sz w:val="24"/>
                <w:szCs w:val="24"/>
              </w:rPr>
              <w:t>-201</w:t>
            </w:r>
            <w:r>
              <w:rPr>
                <w:rFonts w:hint="eastAsia"/>
                <w:sz w:val="24"/>
                <w:szCs w:val="24"/>
              </w:rPr>
              <w:t>9</w:t>
            </w:r>
            <w:r>
              <w:rPr>
                <w:sz w:val="24"/>
                <w:szCs w:val="24"/>
              </w:rPr>
              <w:t>）</w:t>
            </w:r>
            <w:r>
              <w:rPr>
                <w:rFonts w:hint="eastAsia"/>
                <w:sz w:val="24"/>
                <w:szCs w:val="24"/>
              </w:rPr>
              <w:t>表1限值，</w:t>
            </w:r>
            <w:r>
              <w:rPr>
                <w:sz w:val="24"/>
                <w:szCs w:val="24"/>
              </w:rPr>
              <w:t>具体数值见表4-</w:t>
            </w:r>
            <w:r>
              <w:rPr>
                <w:rFonts w:hint="eastAsia"/>
                <w:sz w:val="24"/>
                <w:szCs w:val="24"/>
              </w:rPr>
              <w:t>4。</w:t>
            </w:r>
          </w:p>
          <w:p>
            <w:pPr>
              <w:pStyle w:val="134"/>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宋体" w:eastAsia="宋体" w:cs="Times New Roman"/>
                <w:b/>
                <w:kern w:val="2"/>
                <w:sz w:val="24"/>
                <w:szCs w:val="24"/>
                <w:lang w:val="en-US" w:eastAsia="zh-CN" w:bidi="ar-SA"/>
              </w:rPr>
            </w:pPr>
            <w:r>
              <w:rPr>
                <w:rFonts w:hint="eastAsia" w:ascii="Times New Roman" w:hAnsi="宋体" w:eastAsia="宋体" w:cs="Times New Roman"/>
                <w:b/>
                <w:kern w:val="2"/>
                <w:sz w:val="24"/>
                <w:szCs w:val="24"/>
                <w:lang w:val="en-US" w:eastAsia="zh-CN" w:bidi="ar-SA"/>
              </w:rPr>
              <w:t>表4-4  企业大气污染物排放浓度限值  单位：mg/m</w:t>
            </w:r>
            <w:r>
              <w:rPr>
                <w:rFonts w:hint="eastAsia" w:ascii="Times New Roman" w:hAnsi="宋体" w:eastAsia="宋体" w:cs="Times New Roman"/>
                <w:b/>
                <w:kern w:val="2"/>
                <w:sz w:val="24"/>
                <w:szCs w:val="24"/>
                <w:vertAlign w:val="superscript"/>
                <w:lang w:val="en-US" w:eastAsia="zh-CN" w:bidi="ar-SA"/>
              </w:rPr>
              <w:t>3</w:t>
            </w:r>
          </w:p>
          <w:tbl>
            <w:tblPr>
              <w:tblStyle w:val="75"/>
              <w:tblW w:w="782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4253"/>
              <w:gridCol w:w="163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b/>
                      <w:szCs w:val="21"/>
                    </w:rPr>
                  </w:pPr>
                  <w:r>
                    <w:rPr>
                      <w:rFonts w:hint="eastAsia"/>
                      <w:b/>
                      <w:szCs w:val="21"/>
                    </w:rPr>
                    <w:t>生产工序</w:t>
                  </w:r>
                </w:p>
              </w:tc>
              <w:tc>
                <w:tcPr>
                  <w:tcW w:w="4253" w:type="dxa"/>
                  <w:vAlign w:val="center"/>
                </w:tcPr>
                <w:p>
                  <w:pPr>
                    <w:jc w:val="center"/>
                    <w:rPr>
                      <w:b/>
                      <w:szCs w:val="21"/>
                    </w:rPr>
                  </w:pPr>
                  <w:r>
                    <w:rPr>
                      <w:rFonts w:hint="eastAsia"/>
                      <w:b/>
                      <w:szCs w:val="21"/>
                    </w:rPr>
                    <w:t>烧成</w:t>
                  </w:r>
                </w:p>
              </w:tc>
              <w:tc>
                <w:tcPr>
                  <w:tcW w:w="1633" w:type="dxa"/>
                  <w:vAlign w:val="center"/>
                </w:tcPr>
                <w:p>
                  <w:pPr>
                    <w:jc w:val="center"/>
                    <w:rPr>
                      <w:b/>
                      <w:szCs w:val="21"/>
                    </w:rPr>
                  </w:pPr>
                  <w:r>
                    <w:rPr>
                      <w:rFonts w:hint="eastAsia"/>
                      <w:b/>
                      <w:szCs w:val="21"/>
                    </w:rPr>
                    <w:t>排气筒高度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b/>
                      <w:szCs w:val="21"/>
                    </w:rPr>
                  </w:pPr>
                  <w:r>
                    <w:rPr>
                      <w:rFonts w:hint="eastAsia"/>
                      <w:b/>
                      <w:szCs w:val="21"/>
                    </w:rPr>
                    <w:t>生产设备</w:t>
                  </w:r>
                </w:p>
              </w:tc>
              <w:tc>
                <w:tcPr>
                  <w:tcW w:w="4253" w:type="dxa"/>
                  <w:vAlign w:val="center"/>
                </w:tcPr>
                <w:p>
                  <w:pPr>
                    <w:jc w:val="center"/>
                    <w:rPr>
                      <w:szCs w:val="21"/>
                    </w:rPr>
                  </w:pPr>
                  <w:r>
                    <w:rPr>
                      <w:rFonts w:hint="eastAsia"/>
                      <w:szCs w:val="21"/>
                    </w:rPr>
                    <w:t>喷雾造粒干燥机</w:t>
                  </w:r>
                </w:p>
              </w:tc>
              <w:tc>
                <w:tcPr>
                  <w:tcW w:w="1633" w:type="dxa"/>
                  <w:vMerge w:val="restart"/>
                  <w:vAlign w:val="center"/>
                </w:tcPr>
                <w:p>
                  <w:pPr>
                    <w:jc w:val="center"/>
                    <w:rPr>
                      <w:b/>
                      <w:szCs w:val="21"/>
                    </w:rPr>
                  </w:pPr>
                  <w:r>
                    <w:rPr>
                      <w:rFonts w:hint="eastAsia"/>
                      <w:szCs w:val="21"/>
                    </w:rPr>
                    <w:t>15m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b/>
                      <w:szCs w:val="21"/>
                    </w:rPr>
                  </w:pPr>
                  <w:r>
                    <w:rPr>
                      <w:rFonts w:hint="eastAsia"/>
                      <w:b/>
                      <w:szCs w:val="21"/>
                    </w:rPr>
                    <w:t>燃料类型</w:t>
                  </w:r>
                </w:p>
              </w:tc>
              <w:tc>
                <w:tcPr>
                  <w:tcW w:w="4253" w:type="dxa"/>
                  <w:vAlign w:val="center"/>
                </w:tcPr>
                <w:p>
                  <w:pPr>
                    <w:jc w:val="center"/>
                    <w:rPr>
                      <w:b/>
                      <w:szCs w:val="21"/>
                    </w:rPr>
                  </w:pPr>
                  <w:r>
                    <w:rPr>
                      <w:rFonts w:hint="eastAsia"/>
                      <w:szCs w:val="21"/>
                    </w:rPr>
                    <w:t>油、气</w:t>
                  </w:r>
                </w:p>
              </w:tc>
              <w:tc>
                <w:tcPr>
                  <w:tcW w:w="1633" w:type="dxa"/>
                  <w:vMerge w:val="continue"/>
                  <w:vAlign w:val="center"/>
                </w:tcPr>
                <w:p>
                  <w:pP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b/>
                      <w:szCs w:val="21"/>
                    </w:rPr>
                  </w:pPr>
                  <w:r>
                    <w:rPr>
                      <w:rFonts w:hint="eastAsia"/>
                      <w:b/>
                      <w:szCs w:val="21"/>
                    </w:rPr>
                    <w:t>污染物项目</w:t>
                  </w:r>
                </w:p>
              </w:tc>
              <w:tc>
                <w:tcPr>
                  <w:tcW w:w="4253" w:type="dxa"/>
                  <w:vAlign w:val="center"/>
                </w:tcPr>
                <w:p>
                  <w:pPr>
                    <w:jc w:val="center"/>
                    <w:rPr>
                      <w:b/>
                      <w:szCs w:val="21"/>
                    </w:rPr>
                  </w:pPr>
                  <w:r>
                    <w:rPr>
                      <w:rFonts w:hint="eastAsia"/>
                      <w:b/>
                      <w:szCs w:val="21"/>
                    </w:rPr>
                    <w:t>有组织排放限值</w:t>
                  </w:r>
                </w:p>
              </w:tc>
              <w:tc>
                <w:tcPr>
                  <w:tcW w:w="1633" w:type="dxa"/>
                  <w:vMerge w:val="continue"/>
                  <w:vAlign w:val="center"/>
                </w:tcPr>
                <w:p>
                  <w:pP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szCs w:val="21"/>
                    </w:rPr>
                  </w:pPr>
                  <w:r>
                    <w:rPr>
                      <w:rFonts w:hint="eastAsia"/>
                      <w:b/>
                      <w:szCs w:val="21"/>
                    </w:rPr>
                    <w:t>二氧化硫</w:t>
                  </w:r>
                </w:p>
              </w:tc>
              <w:tc>
                <w:tcPr>
                  <w:tcW w:w="4253" w:type="dxa"/>
                  <w:vAlign w:val="center"/>
                </w:tcPr>
                <w:p>
                  <w:pPr>
                    <w:jc w:val="center"/>
                    <w:rPr>
                      <w:szCs w:val="21"/>
                    </w:rPr>
                  </w:pPr>
                  <w:r>
                    <w:rPr>
                      <w:szCs w:val="21"/>
                    </w:rPr>
                    <w:t>50</w:t>
                  </w:r>
                </w:p>
              </w:tc>
              <w:tc>
                <w:tcPr>
                  <w:tcW w:w="1633"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szCs w:val="21"/>
                    </w:rPr>
                  </w:pPr>
                  <w:r>
                    <w:rPr>
                      <w:rFonts w:hint="eastAsia"/>
                      <w:b/>
                      <w:szCs w:val="21"/>
                    </w:rPr>
                    <w:t>氮氧化物</w:t>
                  </w:r>
                </w:p>
              </w:tc>
              <w:tc>
                <w:tcPr>
                  <w:tcW w:w="4253" w:type="dxa"/>
                  <w:vAlign w:val="center"/>
                </w:tcPr>
                <w:p>
                  <w:pPr>
                    <w:jc w:val="center"/>
                    <w:rPr>
                      <w:szCs w:val="21"/>
                    </w:rPr>
                  </w:pPr>
                  <w:r>
                    <w:rPr>
                      <w:rFonts w:hint="eastAsia"/>
                      <w:szCs w:val="21"/>
                    </w:rPr>
                    <w:t>180</w:t>
                  </w:r>
                </w:p>
              </w:tc>
              <w:tc>
                <w:tcPr>
                  <w:tcW w:w="1633"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37" w:type="dxa"/>
                  <w:vAlign w:val="center"/>
                </w:tcPr>
                <w:p>
                  <w:pPr>
                    <w:jc w:val="center"/>
                    <w:rPr>
                      <w:b/>
                      <w:szCs w:val="21"/>
                    </w:rPr>
                  </w:pPr>
                  <w:r>
                    <w:rPr>
                      <w:rFonts w:hint="eastAsia"/>
                      <w:b/>
                      <w:szCs w:val="21"/>
                    </w:rPr>
                    <w:t>颗粒物</w:t>
                  </w:r>
                </w:p>
              </w:tc>
              <w:tc>
                <w:tcPr>
                  <w:tcW w:w="4253" w:type="dxa"/>
                  <w:vAlign w:val="center"/>
                </w:tcPr>
                <w:p>
                  <w:pPr>
                    <w:jc w:val="center"/>
                    <w:rPr>
                      <w:szCs w:val="21"/>
                    </w:rPr>
                  </w:pPr>
                  <w:r>
                    <w:rPr>
                      <w:rFonts w:hint="eastAsia"/>
                      <w:szCs w:val="21"/>
                    </w:rPr>
                    <w:t>20</w:t>
                  </w:r>
                </w:p>
              </w:tc>
              <w:tc>
                <w:tcPr>
                  <w:tcW w:w="1633" w:type="dxa"/>
                  <w:vMerge w:val="continue"/>
                  <w:vAlign w:val="center"/>
                </w:tcPr>
                <w:p>
                  <w:pPr>
                    <w:jc w:val="center"/>
                    <w:rPr>
                      <w:szCs w:val="21"/>
                    </w:rPr>
                  </w:pPr>
                </w:p>
              </w:tc>
            </w:tr>
          </w:tbl>
          <w:p>
            <w:pPr>
              <w:snapToGrid w:val="0"/>
              <w:spacing w:beforeLines="50" w:line="360" w:lineRule="auto"/>
              <w:ind w:firstLine="480" w:firstLineChars="200"/>
              <w:rPr>
                <w:rFonts w:hAnsi="宋体"/>
                <w:bCs/>
                <w:sz w:val="24"/>
                <w:lang w:val="en-US"/>
              </w:rPr>
            </w:pPr>
            <w:r>
              <w:rPr>
                <w:rFonts w:hint="eastAsia" w:ascii="宋体" w:hAnsi="宋体" w:cs="宋体"/>
                <w:kern w:val="0"/>
                <w:sz w:val="24"/>
                <w:szCs w:val="24"/>
              </w:rPr>
              <w:t>本项目投料工序产生的有组织排放、无组织的</w:t>
            </w:r>
            <w:r>
              <w:rPr>
                <w:rFonts w:hint="eastAsia" w:ascii="宋体" w:hAnsi="宋体" w:cs="宋体"/>
                <w:sz w:val="24"/>
                <w:szCs w:val="24"/>
              </w:rPr>
              <w:t>颗粒物执行</w:t>
            </w:r>
            <w:r>
              <w:rPr>
                <w:rFonts w:hint="eastAsia" w:hAnsi="宋体"/>
                <w:bCs/>
                <w:sz w:val="24"/>
              </w:rPr>
              <w:t>《大气污染物综合排放标准》（GB16297-1996）二级标准，</w:t>
            </w:r>
            <w:r>
              <w:rPr>
                <w:rFonts w:hint="eastAsia" w:hAnsi="宋体"/>
                <w:bCs/>
                <w:sz w:val="24"/>
                <w:lang w:val="en-US"/>
              </w:rPr>
              <w:t>详见表 4-5。</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宋体" w:eastAsia="宋体" w:cs="Times New Roman"/>
                <w:b/>
                <w:kern w:val="2"/>
                <w:sz w:val="24"/>
                <w:szCs w:val="24"/>
                <w:lang w:val="en-US" w:eastAsia="zh-CN" w:bidi="ar-SA"/>
              </w:rPr>
            </w:pPr>
            <w:r>
              <w:rPr>
                <w:rFonts w:hint="eastAsia" w:ascii="Times New Roman" w:hAnsi="宋体" w:eastAsia="宋体" w:cs="Times New Roman"/>
                <w:b/>
                <w:kern w:val="2"/>
                <w:sz w:val="24"/>
                <w:szCs w:val="24"/>
                <w:lang w:val="en-US" w:eastAsia="zh-CN" w:bidi="ar-SA"/>
              </w:rPr>
              <w:t>表4-5  生产工艺废气大气污染物有组织、无组织排放限值</w:t>
            </w:r>
          </w:p>
          <w:tbl>
            <w:tblPr>
              <w:tblStyle w:val="75"/>
              <w:tblW w:w="780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701"/>
              <w:gridCol w:w="1701"/>
              <w:gridCol w:w="1559"/>
              <w:gridCol w:w="134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505" w:type="dxa"/>
                  <w:vAlign w:val="center"/>
                </w:tcPr>
                <w:p>
                  <w:pPr>
                    <w:jc w:val="center"/>
                    <w:rPr>
                      <w:b/>
                    </w:rPr>
                  </w:pPr>
                  <w:r>
                    <w:rPr>
                      <w:rFonts w:hAnsi="宋体"/>
                      <w:b/>
                    </w:rPr>
                    <w:t>污染物名称</w:t>
                  </w:r>
                </w:p>
              </w:tc>
              <w:tc>
                <w:tcPr>
                  <w:tcW w:w="1701" w:type="dxa"/>
                  <w:vAlign w:val="center"/>
                </w:tcPr>
                <w:p>
                  <w:pPr>
                    <w:jc w:val="center"/>
                    <w:rPr>
                      <w:rFonts w:hAnsi="宋体"/>
                      <w:b/>
                    </w:rPr>
                  </w:pPr>
                  <w:r>
                    <w:rPr>
                      <w:rFonts w:hAnsi="宋体"/>
                      <w:b/>
                      <w:szCs w:val="21"/>
                    </w:rPr>
                    <w:t>最高允许排放浓度</w:t>
                  </w:r>
                  <w:r>
                    <w:rPr>
                      <w:b/>
                      <w:szCs w:val="21"/>
                    </w:rPr>
                    <w:t>（mg/m</w:t>
                  </w:r>
                  <w:r>
                    <w:rPr>
                      <w:b/>
                      <w:szCs w:val="21"/>
                      <w:vertAlign w:val="superscript"/>
                    </w:rPr>
                    <w:t>3</w:t>
                  </w:r>
                  <w:r>
                    <w:rPr>
                      <w:b/>
                      <w:szCs w:val="21"/>
                    </w:rPr>
                    <w:t>）</w:t>
                  </w:r>
                </w:p>
              </w:tc>
              <w:tc>
                <w:tcPr>
                  <w:tcW w:w="1701" w:type="dxa"/>
                  <w:vAlign w:val="center"/>
                </w:tcPr>
                <w:p>
                  <w:pPr>
                    <w:jc w:val="center"/>
                    <w:rPr>
                      <w:b/>
                    </w:rPr>
                  </w:pPr>
                  <w:r>
                    <w:rPr>
                      <w:rFonts w:hAnsi="宋体"/>
                      <w:b/>
                    </w:rPr>
                    <w:t>无组织排放监控浓度</w:t>
                  </w:r>
                  <w:r>
                    <w:rPr>
                      <w:rFonts w:hint="eastAsia" w:hAnsi="宋体"/>
                      <w:b/>
                    </w:rPr>
                    <w:t>限值</w:t>
                  </w:r>
                  <w:r>
                    <w:rPr>
                      <w:rFonts w:hAnsi="宋体"/>
                      <w:b/>
                    </w:rPr>
                    <w:t>（</w:t>
                  </w:r>
                  <w:r>
                    <w:rPr>
                      <w:b/>
                    </w:rPr>
                    <w:t>mg/m</w:t>
                  </w:r>
                  <w:r>
                    <w:rPr>
                      <w:b/>
                      <w:szCs w:val="21"/>
                      <w:vertAlign w:val="superscript"/>
                    </w:rPr>
                    <w:t>3</w:t>
                  </w:r>
                  <w:r>
                    <w:rPr>
                      <w:rFonts w:hAnsi="宋体"/>
                      <w:b/>
                    </w:rPr>
                    <w:t>）</w:t>
                  </w:r>
                </w:p>
              </w:tc>
              <w:tc>
                <w:tcPr>
                  <w:tcW w:w="1559" w:type="dxa"/>
                  <w:vAlign w:val="center"/>
                </w:tcPr>
                <w:p>
                  <w:pPr>
                    <w:jc w:val="center"/>
                    <w:rPr>
                      <w:rFonts w:hAnsi="宋体"/>
                      <w:b/>
                    </w:rPr>
                  </w:pPr>
                  <w:r>
                    <w:rPr>
                      <w:rFonts w:hint="eastAsia" w:hAnsi="宋体"/>
                      <w:b/>
                    </w:rPr>
                    <w:t>排</w:t>
                  </w:r>
                  <w:r>
                    <w:rPr>
                      <w:rFonts w:hAnsi="宋体"/>
                      <w:b/>
                    </w:rPr>
                    <w:t>放速率</w:t>
                  </w:r>
                </w:p>
                <w:p>
                  <w:pPr>
                    <w:jc w:val="center"/>
                    <w:rPr>
                      <w:rFonts w:hAnsi="宋体"/>
                      <w:b/>
                    </w:rPr>
                  </w:pPr>
                  <w:r>
                    <w:rPr>
                      <w:rFonts w:hint="eastAsia" w:hAnsi="宋体"/>
                      <w:b/>
                    </w:rPr>
                    <w:t>（kg/h）</w:t>
                  </w:r>
                </w:p>
              </w:tc>
              <w:tc>
                <w:tcPr>
                  <w:tcW w:w="1343" w:type="dxa"/>
                  <w:vAlign w:val="center"/>
                </w:tcPr>
                <w:p>
                  <w:pPr>
                    <w:jc w:val="center"/>
                    <w:rPr>
                      <w:rFonts w:hAnsi="宋体"/>
                      <w:b/>
                    </w:rPr>
                  </w:pPr>
                  <w:r>
                    <w:rPr>
                      <w:rFonts w:hAnsi="宋体"/>
                      <w:b/>
                    </w:rPr>
                    <w:t>排气筒高度</w:t>
                  </w:r>
                </w:p>
                <w:p>
                  <w:pPr>
                    <w:jc w:val="center"/>
                    <w:rPr>
                      <w:rFonts w:hAnsi="宋体"/>
                      <w:b/>
                    </w:rPr>
                  </w:pPr>
                  <w:r>
                    <w:rPr>
                      <w:rFonts w:hint="eastAsia" w:hAnsi="宋体"/>
                      <w:b/>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05" w:type="dxa"/>
                  <w:vAlign w:val="center"/>
                </w:tcPr>
                <w:p>
                  <w:pPr>
                    <w:jc w:val="center"/>
                  </w:pPr>
                  <w:r>
                    <w:rPr>
                      <w:rFonts w:hAnsi="宋体"/>
                    </w:rPr>
                    <w:t>颗粒物</w:t>
                  </w:r>
                </w:p>
              </w:tc>
              <w:tc>
                <w:tcPr>
                  <w:tcW w:w="1701" w:type="dxa"/>
                  <w:vAlign w:val="center"/>
                </w:tcPr>
                <w:p>
                  <w:pPr>
                    <w:jc w:val="center"/>
                    <w:rPr>
                      <w:szCs w:val="21"/>
                      <w:lang w:val="en-US"/>
                    </w:rPr>
                  </w:pPr>
                  <w:r>
                    <w:rPr>
                      <w:rFonts w:hint="eastAsia"/>
                      <w:szCs w:val="21"/>
                      <w:lang w:val="en-US"/>
                    </w:rPr>
                    <w:t>120</w:t>
                  </w:r>
                </w:p>
              </w:tc>
              <w:tc>
                <w:tcPr>
                  <w:tcW w:w="1701" w:type="dxa"/>
                  <w:vAlign w:val="center"/>
                </w:tcPr>
                <w:p>
                  <w:pPr>
                    <w:jc w:val="center"/>
                  </w:pPr>
                  <w:r>
                    <w:t>1.0</w:t>
                  </w:r>
                </w:p>
              </w:tc>
              <w:tc>
                <w:tcPr>
                  <w:tcW w:w="1559" w:type="dxa"/>
                  <w:vAlign w:val="center"/>
                </w:tcPr>
                <w:p>
                  <w:pPr>
                    <w:jc w:val="center"/>
                  </w:pPr>
                  <w:r>
                    <w:rPr>
                      <w:rFonts w:hint="eastAsia"/>
                    </w:rPr>
                    <w:t>3.5</w:t>
                  </w:r>
                </w:p>
              </w:tc>
              <w:tc>
                <w:tcPr>
                  <w:tcW w:w="1343" w:type="dxa"/>
                  <w:vAlign w:val="center"/>
                </w:tcPr>
                <w:p>
                  <w:pPr>
                    <w:jc w:val="center"/>
                  </w:pPr>
                  <w:r>
                    <w:rPr>
                      <w:rFonts w:hint="eastAsia"/>
                    </w:rPr>
                    <w:t>15</w:t>
                  </w:r>
                </w:p>
              </w:tc>
            </w:tr>
          </w:tbl>
          <w:p>
            <w:pPr>
              <w:spacing w:beforeLines="50" w:line="360" w:lineRule="auto"/>
              <w:ind w:firstLine="482" w:firstLineChars="200"/>
              <w:rPr>
                <w:b/>
                <w:bCs/>
                <w:sz w:val="24"/>
                <w:szCs w:val="24"/>
              </w:rPr>
            </w:pPr>
            <w:r>
              <w:rPr>
                <w:rFonts w:hint="eastAsia"/>
                <w:b/>
                <w:bCs/>
                <w:sz w:val="24"/>
                <w:szCs w:val="24"/>
              </w:rPr>
              <w:t>2</w:t>
            </w:r>
            <w:r>
              <w:rPr>
                <w:b/>
                <w:bCs/>
                <w:sz w:val="24"/>
                <w:szCs w:val="24"/>
              </w:rPr>
              <w:t>、废水</w:t>
            </w:r>
          </w:p>
          <w:p>
            <w:pPr>
              <w:snapToGrid w:val="0"/>
              <w:spacing w:line="360" w:lineRule="auto"/>
              <w:ind w:firstLine="480" w:firstLineChars="200"/>
              <w:rPr>
                <w:bCs/>
                <w:sz w:val="24"/>
              </w:rPr>
            </w:pPr>
            <w:r>
              <w:rPr>
                <w:kern w:val="0"/>
                <w:sz w:val="24"/>
                <w:szCs w:val="24"/>
                <w:lang w:val="en-US"/>
              </w:rPr>
              <w:t>本项目</w:t>
            </w:r>
            <w:r>
              <w:rPr>
                <w:rFonts w:hint="eastAsia"/>
                <w:bCs/>
                <w:sz w:val="24"/>
              </w:rPr>
              <w:t>生活污水经化粪池预处理后接入宜兴市华骐污水处理有限公司集中处理，尾水达标后排入蠡河，污水排放执行《污水综合排放标准》（</w:t>
            </w:r>
            <w:r>
              <w:rPr>
                <w:bCs/>
                <w:sz w:val="24"/>
              </w:rPr>
              <w:t>GB8978-1996</w:t>
            </w:r>
            <w:r>
              <w:rPr>
                <w:rFonts w:hint="eastAsia"/>
                <w:bCs/>
                <w:sz w:val="24"/>
              </w:rPr>
              <w:t>）表</w:t>
            </w:r>
            <w:r>
              <w:rPr>
                <w:bCs/>
                <w:sz w:val="24"/>
              </w:rPr>
              <w:t xml:space="preserve">4 </w:t>
            </w:r>
            <w:r>
              <w:rPr>
                <w:rFonts w:hint="eastAsia"/>
                <w:bCs/>
                <w:sz w:val="24"/>
              </w:rPr>
              <w:t>中三级标准，标准中无规定的氨氮、总磷指标执行《污水排入城镇下水道水质标准》（</w:t>
            </w:r>
            <w:r>
              <w:rPr>
                <w:bCs/>
                <w:sz w:val="24"/>
              </w:rPr>
              <w:t>GB/T31962- 2015</w:t>
            </w:r>
            <w:r>
              <w:rPr>
                <w:rFonts w:hint="eastAsia"/>
                <w:bCs/>
                <w:sz w:val="24"/>
              </w:rPr>
              <w:t>）表</w:t>
            </w:r>
            <w:r>
              <w:rPr>
                <w:bCs/>
                <w:sz w:val="24"/>
              </w:rPr>
              <w:t xml:space="preserve">1 </w:t>
            </w:r>
            <w:r>
              <w:rPr>
                <w:rFonts w:hint="eastAsia"/>
                <w:bCs/>
                <w:sz w:val="24"/>
              </w:rPr>
              <w:t>中</w:t>
            </w:r>
            <w:r>
              <w:rPr>
                <w:bCs/>
                <w:sz w:val="24"/>
              </w:rPr>
              <w:t xml:space="preserve">B </w:t>
            </w:r>
            <w:r>
              <w:rPr>
                <w:rFonts w:hint="eastAsia"/>
                <w:bCs/>
                <w:sz w:val="24"/>
              </w:rPr>
              <w:t>等级标准要求。污水处理厂尾水中</w:t>
            </w:r>
            <w:r>
              <w:rPr>
                <w:bCs/>
                <w:sz w:val="24"/>
              </w:rPr>
              <w:t>COD</w:t>
            </w:r>
            <w:r>
              <w:rPr>
                <w:rFonts w:hint="eastAsia"/>
                <w:bCs/>
                <w:sz w:val="24"/>
              </w:rPr>
              <w:t>、氨氮、</w:t>
            </w:r>
            <w:r>
              <w:rPr>
                <w:bCs/>
                <w:sz w:val="24"/>
              </w:rPr>
              <w:t>TP</w:t>
            </w:r>
            <w:r>
              <w:rPr>
                <w:rFonts w:hint="eastAsia"/>
                <w:bCs/>
                <w:sz w:val="24"/>
              </w:rPr>
              <w:t>与</w:t>
            </w:r>
            <w:r>
              <w:rPr>
                <w:bCs/>
                <w:sz w:val="24"/>
              </w:rPr>
              <w:t>TN</w:t>
            </w:r>
            <w:r>
              <w:rPr>
                <w:rFonts w:hint="eastAsia"/>
                <w:bCs/>
                <w:sz w:val="24"/>
              </w:rPr>
              <w:t>因子</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号前执行《太湖地区城镇污水处理厂及重点工业行业主要水污染物排放限值》</w:t>
            </w:r>
            <w:r>
              <w:rPr>
                <w:bCs/>
                <w:sz w:val="24"/>
              </w:rPr>
              <w:t>(DB32/1072-2007)</w:t>
            </w:r>
            <w:r>
              <w:rPr>
                <w:rFonts w:hint="eastAsia"/>
                <w:bCs/>
                <w:sz w:val="24"/>
              </w:rPr>
              <w:t>标准、</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号后执行《太湖地区城镇污水处理厂及重点工业行业主要水污染物排放限值》</w:t>
            </w:r>
            <w:r>
              <w:rPr>
                <w:bCs/>
                <w:sz w:val="24"/>
              </w:rPr>
              <w:t>(DB32/1072</w:t>
            </w:r>
            <w:r>
              <w:rPr>
                <w:rFonts w:hint="eastAsia"/>
                <w:bCs/>
                <w:sz w:val="24"/>
              </w:rPr>
              <w:t>－</w:t>
            </w:r>
            <w:r>
              <w:rPr>
                <w:bCs/>
                <w:sz w:val="24"/>
              </w:rPr>
              <w:t>2018)</w:t>
            </w:r>
            <w:r>
              <w:rPr>
                <w:rFonts w:hint="eastAsia"/>
                <w:bCs/>
                <w:sz w:val="24"/>
              </w:rPr>
              <w:t>标准</w:t>
            </w:r>
            <w:r>
              <w:rPr>
                <w:rFonts w:hint="eastAsia"/>
                <w:bCs/>
                <w:sz w:val="24"/>
                <w:lang w:val="en-US"/>
              </w:rPr>
              <w:t>。</w:t>
            </w:r>
            <w:r>
              <w:rPr>
                <w:bCs/>
                <w:sz w:val="24"/>
              </w:rPr>
              <w:t>pH</w:t>
            </w:r>
            <w:r>
              <w:rPr>
                <w:rFonts w:hint="eastAsia"/>
                <w:bCs/>
                <w:sz w:val="24"/>
              </w:rPr>
              <w:t>、</w:t>
            </w:r>
            <w:r>
              <w:rPr>
                <w:bCs/>
                <w:sz w:val="24"/>
              </w:rPr>
              <w:t>SS</w:t>
            </w:r>
            <w:r>
              <w:rPr>
                <w:rFonts w:hint="eastAsia"/>
                <w:bCs/>
                <w:sz w:val="24"/>
              </w:rPr>
              <w:t>指标执行《城镇污水处理厂污染物排放标准》（</w:t>
            </w:r>
            <w:r>
              <w:rPr>
                <w:bCs/>
                <w:sz w:val="24"/>
              </w:rPr>
              <w:t>GB18918-2002</w:t>
            </w:r>
            <w:r>
              <w:rPr>
                <w:rFonts w:hint="eastAsia"/>
                <w:bCs/>
                <w:sz w:val="24"/>
              </w:rPr>
              <w:t>）表</w:t>
            </w:r>
            <w:r>
              <w:rPr>
                <w:bCs/>
                <w:sz w:val="24"/>
              </w:rPr>
              <w:t xml:space="preserve"> 1 </w:t>
            </w:r>
            <w:r>
              <w:rPr>
                <w:rFonts w:hint="eastAsia"/>
                <w:bCs/>
                <w:sz w:val="24"/>
              </w:rPr>
              <w:t>一级</w:t>
            </w:r>
            <w:r>
              <w:rPr>
                <w:bCs/>
                <w:sz w:val="24"/>
              </w:rPr>
              <w:t xml:space="preserve">A </w:t>
            </w:r>
            <w:r>
              <w:rPr>
                <w:rFonts w:hint="eastAsia"/>
                <w:bCs/>
                <w:sz w:val="24"/>
              </w:rPr>
              <w:t>标准，</w:t>
            </w:r>
            <w:r>
              <w:rPr>
                <w:bCs/>
                <w:sz w:val="24"/>
              </w:rPr>
              <w:t>主要指标见下表4-</w:t>
            </w:r>
            <w:r>
              <w:rPr>
                <w:rFonts w:hint="eastAsia"/>
                <w:bCs/>
                <w:sz w:val="24"/>
                <w:lang w:val="en-US"/>
              </w:rPr>
              <w:t>6</w:t>
            </w:r>
            <w:r>
              <w:rPr>
                <w:bCs/>
                <w:sz w:val="24"/>
              </w:rPr>
              <w:t>。</w:t>
            </w:r>
            <w:r>
              <w:rPr>
                <w:rFonts w:hint="eastAsia"/>
                <w:bCs/>
                <w:sz w:val="24"/>
              </w:rPr>
              <w:t>（</w:t>
            </w:r>
            <w:r>
              <w:rPr>
                <w:rFonts w:hint="eastAsia" w:asciiTheme="minorEastAsia" w:hAnsiTheme="minorEastAsia" w:eastAsiaTheme="minorEastAsia" w:cstheme="minorEastAsia"/>
                <w:bCs/>
                <w:color w:val="000000"/>
                <w:sz w:val="24"/>
              </w:rPr>
              <w:t>根据生态环境部部长信箱回复《关于行业标准中生活污水执行问题的回复》中明确，“若生活与生产废水完全隔绝，且采取了有效措施防止二者混排等风险，这类生活污水可按一般生活污水管理。”本项目废水为员工生活污水，无生产废水产生，且生产用水和生活污水无接触，故废水排放不执</w:t>
            </w:r>
            <w:r>
              <w:rPr>
                <w:rFonts w:hint="eastAsia" w:asciiTheme="minorEastAsia" w:hAnsiTheme="minorEastAsia" w:eastAsiaTheme="minorEastAsia" w:cstheme="minorEastAsia"/>
                <w:bCs/>
                <w:color w:val="000000" w:themeColor="text1"/>
                <w:sz w:val="24"/>
                <w:szCs w:val="22"/>
              </w:rPr>
              <w:t>行《陶瓷工业污染物排放标准 》</w:t>
            </w:r>
            <w:r>
              <w:rPr>
                <w:rFonts w:eastAsiaTheme="minorEastAsia"/>
                <w:bCs/>
                <w:color w:val="000000" w:themeColor="text1"/>
                <w:sz w:val="24"/>
                <w:szCs w:val="22"/>
              </w:rPr>
              <w:t>GB25464-2010</w:t>
            </w:r>
            <w:r>
              <w:rPr>
                <w:rFonts w:hint="eastAsia" w:asciiTheme="minorEastAsia" w:hAnsiTheme="minorEastAsia" w:eastAsiaTheme="minorEastAsia" w:cstheme="minorEastAsia"/>
                <w:bCs/>
                <w:color w:val="000000" w:themeColor="text1"/>
                <w:sz w:val="24"/>
                <w:szCs w:val="22"/>
              </w:rPr>
              <w:t>。</w:t>
            </w:r>
            <w:r>
              <w:rPr>
                <w:rFonts w:hint="eastAsia"/>
                <w:bCs/>
                <w:sz w:val="24"/>
              </w:rPr>
              <w:t>）</w:t>
            </w:r>
          </w:p>
          <w:p>
            <w:pPr>
              <w:pStyle w:val="13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Ansi="Times New Roman"/>
                <w:bCs/>
                <w:lang w:val="fi-FI"/>
              </w:rPr>
            </w:pPr>
            <w:r>
              <w:rPr>
                <w:rFonts w:hint="eastAsia" w:hAnsi="Times New Roman"/>
                <w:bCs/>
              </w:rPr>
              <w:t xml:space="preserve"> </w:t>
            </w:r>
            <w:r>
              <w:rPr>
                <w:rFonts w:hint="eastAsia" w:ascii="Times New Roman" w:hAnsi="宋体" w:eastAsia="宋体" w:cs="Times New Roman"/>
                <w:b/>
                <w:kern w:val="2"/>
                <w:sz w:val="24"/>
                <w:szCs w:val="24"/>
                <w:lang w:val="en-US" w:eastAsia="zh-CN" w:bidi="ar-SA"/>
              </w:rPr>
              <w:t xml:space="preserve">表4-6  </w:t>
            </w:r>
            <w:r>
              <w:rPr>
                <w:rFonts w:hint="eastAsia" w:ascii="Times New Roman" w:hAnsi="宋体" w:eastAsia="宋体" w:cs="Times New Roman"/>
                <w:b/>
                <w:kern w:val="2"/>
                <w:sz w:val="24"/>
                <w:szCs w:val="24"/>
                <w:lang w:val="fi-FI" w:eastAsia="zh-CN" w:bidi="ar-SA"/>
              </w:rPr>
              <w:t>生产废水接管标准及污水处理厂出水标准值  单位：mg/L（除pH值）</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23"/>
              <w:gridCol w:w="1088"/>
              <w:gridCol w:w="1451"/>
              <w:gridCol w:w="1345"/>
              <w:gridCol w:w="1281"/>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rPr>
                      <w:b/>
                      <w:bCs/>
                    </w:rPr>
                  </w:pPr>
                  <w:r>
                    <w:rPr>
                      <w:rFonts w:hint="eastAsia"/>
                      <w:b/>
                      <w:bCs/>
                    </w:rPr>
                    <w:t>排放口名称</w:t>
                  </w:r>
                </w:p>
              </w:tc>
              <w:tc>
                <w:tcPr>
                  <w:tcW w:w="1923" w:type="dxa"/>
                  <w:vMerge w:val="restart"/>
                  <w:vAlign w:val="center"/>
                </w:tcPr>
                <w:p>
                  <w:pPr>
                    <w:jc w:val="center"/>
                    <w:rPr>
                      <w:b/>
                      <w:bCs/>
                    </w:rPr>
                  </w:pPr>
                  <w:r>
                    <w:rPr>
                      <w:rFonts w:hint="eastAsia"/>
                      <w:b/>
                      <w:bCs/>
                    </w:rPr>
                    <w:t>执行标准</w:t>
                  </w:r>
                </w:p>
              </w:tc>
              <w:tc>
                <w:tcPr>
                  <w:tcW w:w="1088" w:type="dxa"/>
                  <w:vMerge w:val="restart"/>
                  <w:vAlign w:val="center"/>
                </w:tcPr>
                <w:p>
                  <w:pPr>
                    <w:jc w:val="center"/>
                    <w:rPr>
                      <w:b/>
                      <w:bCs/>
                    </w:rPr>
                  </w:pPr>
                  <w:r>
                    <w:rPr>
                      <w:rFonts w:hint="eastAsia"/>
                      <w:b/>
                      <w:bCs/>
                    </w:rPr>
                    <w:t>取值表号级别</w:t>
                  </w:r>
                </w:p>
              </w:tc>
              <w:tc>
                <w:tcPr>
                  <w:tcW w:w="1451" w:type="dxa"/>
                  <w:vMerge w:val="restart"/>
                  <w:vAlign w:val="center"/>
                </w:tcPr>
                <w:p>
                  <w:pPr>
                    <w:jc w:val="center"/>
                    <w:rPr>
                      <w:b/>
                      <w:bCs/>
                    </w:rPr>
                  </w:pPr>
                  <w:r>
                    <w:rPr>
                      <w:rFonts w:hint="eastAsia"/>
                      <w:b/>
                      <w:bCs/>
                    </w:rPr>
                    <w:t>污染物指标</w:t>
                  </w:r>
                </w:p>
              </w:tc>
              <w:tc>
                <w:tcPr>
                  <w:tcW w:w="2626" w:type="dxa"/>
                  <w:gridSpan w:val="2"/>
                  <w:vAlign w:val="center"/>
                </w:tcPr>
                <w:p>
                  <w:pPr>
                    <w:jc w:val="center"/>
                    <w:rPr>
                      <w:b/>
                      <w:bCs/>
                    </w:rPr>
                  </w:pPr>
                  <w:r>
                    <w:rPr>
                      <w:rFonts w:hint="eastAsia"/>
                      <w:b/>
                      <w:bCs/>
                    </w:rPr>
                    <w:t>标准限值</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b/>
                      <w:bCs/>
                    </w:rPr>
                  </w:pPr>
                </w:p>
              </w:tc>
              <w:tc>
                <w:tcPr>
                  <w:tcW w:w="1923" w:type="dxa"/>
                  <w:vMerge w:val="continue"/>
                  <w:vAlign w:val="center"/>
                </w:tcPr>
                <w:p>
                  <w:pPr>
                    <w:jc w:val="center"/>
                    <w:rPr>
                      <w:b/>
                      <w:bCs/>
                    </w:rPr>
                  </w:pPr>
                </w:p>
              </w:tc>
              <w:tc>
                <w:tcPr>
                  <w:tcW w:w="1088" w:type="dxa"/>
                  <w:vMerge w:val="continue"/>
                  <w:vAlign w:val="center"/>
                </w:tcPr>
                <w:p>
                  <w:pPr>
                    <w:jc w:val="center"/>
                    <w:rPr>
                      <w:b/>
                      <w:bCs/>
                    </w:rPr>
                  </w:pPr>
                </w:p>
              </w:tc>
              <w:tc>
                <w:tcPr>
                  <w:tcW w:w="1451" w:type="dxa"/>
                  <w:vMerge w:val="continue"/>
                  <w:vAlign w:val="center"/>
                </w:tcPr>
                <w:p>
                  <w:pPr>
                    <w:jc w:val="center"/>
                    <w:rPr>
                      <w:b/>
                      <w:bCs/>
                    </w:rPr>
                  </w:pPr>
                </w:p>
              </w:tc>
              <w:tc>
                <w:tcPr>
                  <w:tcW w:w="1345" w:type="dxa"/>
                  <w:vAlign w:val="center"/>
                </w:tcPr>
                <w:p>
                  <w:pPr>
                    <w:jc w:val="center"/>
                    <w:rPr>
                      <w:b/>
                      <w:bCs/>
                    </w:rPr>
                  </w:pPr>
                  <w:r>
                    <w:rPr>
                      <w:b/>
                      <w:bCs/>
                    </w:rPr>
                    <w:t xml:space="preserve">2021.1.1前 </w:t>
                  </w:r>
                </w:p>
              </w:tc>
              <w:tc>
                <w:tcPr>
                  <w:tcW w:w="1281" w:type="dxa"/>
                  <w:vAlign w:val="center"/>
                </w:tcPr>
                <w:p>
                  <w:pPr>
                    <w:jc w:val="center"/>
                    <w:rPr>
                      <w:b/>
                      <w:bCs/>
                    </w:rPr>
                  </w:pPr>
                  <w:r>
                    <w:rPr>
                      <w:b/>
                      <w:bCs/>
                    </w:rPr>
                    <w:t xml:space="preserve">2021.1.1 </w:t>
                  </w:r>
                  <w:r>
                    <w:rPr>
                      <w:rFonts w:hint="eastAsia"/>
                      <w:b/>
                      <w:bCs/>
                    </w:rPr>
                    <w:t>后</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pPr>
                  <w:r>
                    <w:rPr>
                      <w:rFonts w:hint="eastAsia"/>
                    </w:rPr>
                    <w:t>厂排口</w:t>
                  </w:r>
                </w:p>
              </w:tc>
              <w:tc>
                <w:tcPr>
                  <w:tcW w:w="1923" w:type="dxa"/>
                  <w:vMerge w:val="restart"/>
                  <w:vAlign w:val="center"/>
                </w:tcPr>
                <w:p>
                  <w:pPr>
                    <w:jc w:val="center"/>
                  </w:pPr>
                  <w:r>
                    <w:rPr>
                      <w:rFonts w:hint="eastAsia"/>
                    </w:rPr>
                    <w:t>《污水综合排放标准》</w:t>
                  </w:r>
                </w:p>
                <w:p>
                  <w:pPr>
                    <w:jc w:val="center"/>
                  </w:pPr>
                  <w:r>
                    <w:rPr>
                      <w:rFonts w:hint="eastAsia"/>
                    </w:rPr>
                    <w:t>（</w:t>
                  </w:r>
                  <w:r>
                    <w:t>GB8978－1996）</w:t>
                  </w:r>
                </w:p>
              </w:tc>
              <w:tc>
                <w:tcPr>
                  <w:tcW w:w="1088" w:type="dxa"/>
                  <w:vMerge w:val="restart"/>
                  <w:vAlign w:val="center"/>
                </w:tcPr>
                <w:p>
                  <w:pPr>
                    <w:jc w:val="center"/>
                  </w:pPr>
                  <w:r>
                    <w:rPr>
                      <w:rFonts w:hint="eastAsia"/>
                    </w:rPr>
                    <w:t>表</w:t>
                  </w:r>
                  <w:r>
                    <w:t>4三级标准</w:t>
                  </w:r>
                </w:p>
              </w:tc>
              <w:tc>
                <w:tcPr>
                  <w:tcW w:w="1451" w:type="dxa"/>
                  <w:vAlign w:val="center"/>
                </w:tcPr>
                <w:p>
                  <w:pPr>
                    <w:jc w:val="center"/>
                  </w:pPr>
                  <w:r>
                    <w:t>pH</w:t>
                  </w:r>
                </w:p>
              </w:tc>
              <w:tc>
                <w:tcPr>
                  <w:tcW w:w="2626" w:type="dxa"/>
                  <w:gridSpan w:val="2"/>
                  <w:vAlign w:val="center"/>
                </w:tcPr>
                <w:p>
                  <w:pPr>
                    <w:jc w:val="center"/>
                  </w:pPr>
                  <w: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COD</w:t>
                  </w:r>
                </w:p>
              </w:tc>
              <w:tc>
                <w:tcPr>
                  <w:tcW w:w="2626" w:type="dxa"/>
                  <w:gridSpan w:val="2"/>
                  <w:vAlign w:val="center"/>
                </w:tcPr>
                <w:p>
                  <w:pPr>
                    <w:jc w:val="center"/>
                  </w:pPr>
                  <w:r>
                    <w:t>500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SS</w:t>
                  </w:r>
                </w:p>
              </w:tc>
              <w:tc>
                <w:tcPr>
                  <w:tcW w:w="2626" w:type="dxa"/>
                  <w:gridSpan w:val="2"/>
                  <w:vAlign w:val="center"/>
                </w:tcPr>
                <w:p>
                  <w:pPr>
                    <w:jc w:val="center"/>
                  </w:pPr>
                  <w:r>
                    <w:t>400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49" w:type="dxa"/>
                  <w:vMerge w:val="continue"/>
                  <w:vAlign w:val="center"/>
                </w:tcPr>
                <w:p>
                  <w:pPr>
                    <w:jc w:val="center"/>
                  </w:pPr>
                </w:p>
              </w:tc>
              <w:tc>
                <w:tcPr>
                  <w:tcW w:w="1923" w:type="dxa"/>
                  <w:vMerge w:val="restart"/>
                  <w:vAlign w:val="center"/>
                </w:tcPr>
                <w:p>
                  <w:pPr>
                    <w:jc w:val="center"/>
                  </w:pPr>
                  <w:r>
                    <w:rPr>
                      <w:rFonts w:hint="eastAsia"/>
                    </w:rPr>
                    <w:t>《污水排入城镇下水道水质标准》</w:t>
                  </w:r>
                </w:p>
                <w:p>
                  <w:pPr>
                    <w:jc w:val="center"/>
                  </w:pPr>
                  <w:r>
                    <w:rPr>
                      <w:rFonts w:hint="eastAsia"/>
                    </w:rPr>
                    <w:t>（</w:t>
                  </w:r>
                  <w:r>
                    <w:t>GB/T31962-2015）</w:t>
                  </w:r>
                </w:p>
              </w:tc>
              <w:tc>
                <w:tcPr>
                  <w:tcW w:w="1088" w:type="dxa"/>
                  <w:vMerge w:val="restart"/>
                  <w:vAlign w:val="center"/>
                </w:tcPr>
                <w:p>
                  <w:pPr>
                    <w:jc w:val="center"/>
                  </w:pPr>
                  <w:r>
                    <w:rPr>
                      <w:rFonts w:hint="eastAsia"/>
                    </w:rPr>
                    <w:t>表</w:t>
                  </w:r>
                  <w:r>
                    <w:t>1</w:t>
                  </w:r>
                  <w:r>
                    <w:rPr>
                      <w:rFonts w:hint="eastAsia"/>
                      <w:lang w:val="en-US"/>
                    </w:rPr>
                    <w:t xml:space="preserve"> </w:t>
                  </w:r>
                  <w:r>
                    <w:t>B</w:t>
                  </w:r>
                  <w:r>
                    <w:rPr>
                      <w:rFonts w:hint="eastAsia"/>
                    </w:rPr>
                    <w:t>级</w:t>
                  </w:r>
                </w:p>
              </w:tc>
              <w:tc>
                <w:tcPr>
                  <w:tcW w:w="1451" w:type="dxa"/>
                  <w:vAlign w:val="center"/>
                </w:tcPr>
                <w:p>
                  <w:pPr>
                    <w:jc w:val="center"/>
                  </w:pPr>
                  <w:r>
                    <w:t>NH</w:t>
                  </w:r>
                  <w:r>
                    <w:rPr>
                      <w:vertAlign w:val="subscript"/>
                    </w:rPr>
                    <w:t>3</w:t>
                  </w:r>
                  <w:r>
                    <w:t>-H</w:t>
                  </w:r>
                </w:p>
              </w:tc>
              <w:tc>
                <w:tcPr>
                  <w:tcW w:w="2626" w:type="dxa"/>
                  <w:gridSpan w:val="2"/>
                  <w:vAlign w:val="center"/>
                </w:tcPr>
                <w:p>
                  <w:pPr>
                    <w:jc w:val="center"/>
                  </w:pPr>
                  <w:r>
                    <w:t>45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TP</w:t>
                  </w:r>
                </w:p>
              </w:tc>
              <w:tc>
                <w:tcPr>
                  <w:tcW w:w="2626" w:type="dxa"/>
                  <w:gridSpan w:val="2"/>
                  <w:vAlign w:val="center"/>
                </w:tcPr>
                <w:p>
                  <w:pPr>
                    <w:jc w:val="center"/>
                  </w:pPr>
                  <w:r>
                    <w:t>8</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TN</w:t>
                  </w:r>
                </w:p>
              </w:tc>
              <w:tc>
                <w:tcPr>
                  <w:tcW w:w="2626" w:type="dxa"/>
                  <w:gridSpan w:val="2"/>
                  <w:vAlign w:val="center"/>
                </w:tcPr>
                <w:p>
                  <w:pPr>
                    <w:jc w:val="center"/>
                  </w:pPr>
                  <w:r>
                    <w:t>70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49" w:type="dxa"/>
                  <w:vMerge w:val="restart"/>
                  <w:vAlign w:val="center"/>
                </w:tcPr>
                <w:p>
                  <w:pPr>
                    <w:jc w:val="center"/>
                  </w:pPr>
                  <w:r>
                    <w:rPr>
                      <w:rFonts w:hint="eastAsia"/>
                    </w:rPr>
                    <w:t>污水厂排口</w:t>
                  </w:r>
                </w:p>
              </w:tc>
              <w:tc>
                <w:tcPr>
                  <w:tcW w:w="1923" w:type="dxa"/>
                  <w:vMerge w:val="restart"/>
                  <w:vAlign w:val="center"/>
                </w:tcPr>
                <w:p>
                  <w:pPr>
                    <w:jc w:val="center"/>
                  </w:pPr>
                  <w:r>
                    <w:rPr>
                      <w:rFonts w:hint="eastAsia"/>
                    </w:rPr>
                    <w:t>太湖地区城镇污水处理厂及重点工业行业水污染物排放限值</w:t>
                  </w:r>
                </w:p>
                <w:p>
                  <w:pPr>
                    <w:jc w:val="center"/>
                  </w:pPr>
                  <w:r>
                    <w:t>(DB32/1072-2018)</w:t>
                  </w:r>
                </w:p>
              </w:tc>
              <w:tc>
                <w:tcPr>
                  <w:tcW w:w="1088" w:type="dxa"/>
                  <w:vMerge w:val="restart"/>
                  <w:vAlign w:val="center"/>
                </w:tcPr>
                <w:p>
                  <w:pPr>
                    <w:jc w:val="center"/>
                  </w:pPr>
                  <w:r>
                    <w:rPr>
                      <w:rFonts w:hint="eastAsia"/>
                    </w:rPr>
                    <w:t>表</w:t>
                  </w:r>
                  <w:r>
                    <w:t xml:space="preserve">2 </w:t>
                  </w:r>
                </w:p>
              </w:tc>
              <w:tc>
                <w:tcPr>
                  <w:tcW w:w="1451" w:type="dxa"/>
                  <w:vAlign w:val="center"/>
                </w:tcPr>
                <w:p>
                  <w:pPr>
                    <w:jc w:val="center"/>
                  </w:pPr>
                  <w:r>
                    <w:t>COD</w:t>
                  </w:r>
                </w:p>
              </w:tc>
              <w:tc>
                <w:tcPr>
                  <w:tcW w:w="1345" w:type="dxa"/>
                  <w:vAlign w:val="center"/>
                </w:tcPr>
                <w:p>
                  <w:pPr>
                    <w:jc w:val="center"/>
                  </w:pPr>
                  <w:r>
                    <w:rPr>
                      <w:szCs w:val="21"/>
                    </w:rPr>
                    <w:t>5</w:t>
                  </w:r>
                  <w:r>
                    <w:rPr>
                      <w:rFonts w:hint="eastAsia"/>
                      <w:szCs w:val="21"/>
                    </w:rPr>
                    <w:t>0</w:t>
                  </w:r>
                </w:p>
              </w:tc>
              <w:tc>
                <w:tcPr>
                  <w:tcW w:w="1281" w:type="dxa"/>
                  <w:vAlign w:val="center"/>
                </w:tcPr>
                <w:p>
                  <w:pPr>
                    <w:jc w:val="center"/>
                  </w:pPr>
                  <w:r>
                    <w:rPr>
                      <w:szCs w:val="21"/>
                    </w:rPr>
                    <w:t>40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NH</w:t>
                  </w:r>
                  <w:r>
                    <w:rPr>
                      <w:vertAlign w:val="subscript"/>
                    </w:rPr>
                    <w:t>3</w:t>
                  </w:r>
                  <w:r>
                    <w:t>-H</w:t>
                  </w:r>
                </w:p>
              </w:tc>
              <w:tc>
                <w:tcPr>
                  <w:tcW w:w="1345" w:type="dxa"/>
                  <w:vAlign w:val="center"/>
                </w:tcPr>
                <w:p>
                  <w:pPr>
                    <w:jc w:val="center"/>
                  </w:pPr>
                  <w:r>
                    <w:rPr>
                      <w:szCs w:val="21"/>
                    </w:rPr>
                    <w:t>5（8）*</w:t>
                  </w:r>
                </w:p>
              </w:tc>
              <w:tc>
                <w:tcPr>
                  <w:tcW w:w="1281" w:type="dxa"/>
                  <w:vAlign w:val="center"/>
                </w:tcPr>
                <w:p>
                  <w:pPr>
                    <w:jc w:val="center"/>
                  </w:pPr>
                  <w:r>
                    <w:rPr>
                      <w:szCs w:val="21"/>
                    </w:rPr>
                    <w:t>3（5）*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TP</w:t>
                  </w:r>
                </w:p>
              </w:tc>
              <w:tc>
                <w:tcPr>
                  <w:tcW w:w="1345" w:type="dxa"/>
                  <w:vAlign w:val="center"/>
                </w:tcPr>
                <w:p>
                  <w:pPr>
                    <w:jc w:val="center"/>
                  </w:pPr>
                  <w:r>
                    <w:t>0.5</w:t>
                  </w:r>
                </w:p>
              </w:tc>
              <w:tc>
                <w:tcPr>
                  <w:tcW w:w="1281" w:type="dxa"/>
                  <w:vAlign w:val="center"/>
                </w:tcPr>
                <w:p>
                  <w:pPr>
                    <w:jc w:val="center"/>
                  </w:pPr>
                  <w:r>
                    <w:t>0.</w:t>
                  </w:r>
                  <w:r>
                    <w:rPr>
                      <w:rFonts w:hint="eastAsia"/>
                    </w:rPr>
                    <w:t>3</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TN</w:t>
                  </w:r>
                </w:p>
              </w:tc>
              <w:tc>
                <w:tcPr>
                  <w:tcW w:w="1345" w:type="dxa"/>
                  <w:vAlign w:val="center"/>
                </w:tcPr>
                <w:p>
                  <w:pPr>
                    <w:jc w:val="center"/>
                  </w:pPr>
                  <w:r>
                    <w:t>15</w:t>
                  </w:r>
                </w:p>
              </w:tc>
              <w:tc>
                <w:tcPr>
                  <w:tcW w:w="1281" w:type="dxa"/>
                  <w:vAlign w:val="center"/>
                </w:tcPr>
                <w:p>
                  <w:pPr>
                    <w:jc w:val="center"/>
                  </w:pPr>
                  <w:r>
                    <w:t>1</w:t>
                  </w:r>
                  <w:r>
                    <w:rPr>
                      <w:rFonts w:hint="eastAsia"/>
                    </w:rPr>
                    <w:t>0</w:t>
                  </w:r>
                  <w:r>
                    <w:t>（1</w:t>
                  </w:r>
                  <w:r>
                    <w:rPr>
                      <w:rFonts w:hint="eastAsia"/>
                    </w:rPr>
                    <w:t>2</w:t>
                  </w:r>
                  <w:r>
                    <w:t>）</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9" w:type="dxa"/>
                  <w:vMerge w:val="continue"/>
                  <w:vAlign w:val="center"/>
                </w:tcPr>
                <w:p>
                  <w:pPr>
                    <w:jc w:val="center"/>
                  </w:pPr>
                </w:p>
              </w:tc>
              <w:tc>
                <w:tcPr>
                  <w:tcW w:w="1923" w:type="dxa"/>
                  <w:vMerge w:val="restart"/>
                  <w:vAlign w:val="center"/>
                </w:tcPr>
                <w:p>
                  <w:pPr>
                    <w:jc w:val="center"/>
                  </w:pPr>
                  <w:r>
                    <w:rPr>
                      <w:rFonts w:hint="eastAsia"/>
                    </w:rPr>
                    <w:t>《城镇污水处理厂污染物排放标准》</w:t>
                  </w:r>
                </w:p>
                <w:p>
                  <w:pPr>
                    <w:jc w:val="center"/>
                  </w:pPr>
                  <w:r>
                    <w:rPr>
                      <w:rFonts w:hint="eastAsia"/>
                    </w:rPr>
                    <w:t>（</w:t>
                  </w:r>
                  <w:r>
                    <w:t>GB18918-2002）</w:t>
                  </w:r>
                </w:p>
              </w:tc>
              <w:tc>
                <w:tcPr>
                  <w:tcW w:w="1088" w:type="dxa"/>
                  <w:vMerge w:val="restart"/>
                  <w:vAlign w:val="center"/>
                </w:tcPr>
                <w:p>
                  <w:pPr>
                    <w:jc w:val="center"/>
                  </w:pPr>
                  <w:r>
                    <w:rPr>
                      <w:rFonts w:hint="eastAsia"/>
                    </w:rPr>
                    <w:t>表</w:t>
                  </w:r>
                  <w:r>
                    <w:t>1</w:t>
                  </w:r>
                  <w:r>
                    <w:rPr>
                      <w:rFonts w:hint="eastAsia"/>
                    </w:rPr>
                    <w:t>一级</w:t>
                  </w:r>
                </w:p>
                <w:p>
                  <w:pPr>
                    <w:jc w:val="center"/>
                  </w:pPr>
                  <w:r>
                    <w:t>A</w:t>
                  </w:r>
                  <w:r>
                    <w:rPr>
                      <w:rFonts w:hint="eastAsia"/>
                    </w:rPr>
                    <w:t>标准</w:t>
                  </w:r>
                </w:p>
              </w:tc>
              <w:tc>
                <w:tcPr>
                  <w:tcW w:w="1451" w:type="dxa"/>
                  <w:vAlign w:val="center"/>
                </w:tcPr>
                <w:p>
                  <w:pPr>
                    <w:jc w:val="center"/>
                  </w:pPr>
                  <w:r>
                    <w:t>pH</w:t>
                  </w:r>
                </w:p>
              </w:tc>
              <w:tc>
                <w:tcPr>
                  <w:tcW w:w="2626" w:type="dxa"/>
                  <w:gridSpan w:val="2"/>
                  <w:vAlign w:val="center"/>
                </w:tcPr>
                <w:p>
                  <w:pPr>
                    <w:jc w:val="center"/>
                  </w:pPr>
                  <w: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SS</w:t>
                  </w:r>
                </w:p>
              </w:tc>
              <w:tc>
                <w:tcPr>
                  <w:tcW w:w="2626" w:type="dxa"/>
                  <w:gridSpan w:val="2"/>
                  <w:vAlign w:val="center"/>
                </w:tcPr>
                <w:p>
                  <w:pPr>
                    <w:jc w:val="center"/>
                  </w:pPr>
                  <w:r>
                    <w:t>10</w:t>
                  </w:r>
                </w:p>
              </w:tc>
            </w:tr>
          </w:tbl>
          <w:p>
            <w:pPr>
              <w:ind w:firstLine="316" w:firstLineChars="150"/>
              <w:rPr>
                <w:bCs/>
                <w:szCs w:val="21"/>
              </w:rPr>
            </w:pPr>
            <w:r>
              <w:rPr>
                <w:b/>
                <w:kern w:val="0"/>
                <w:szCs w:val="21"/>
                <w:lang w:val="en-US"/>
              </w:rPr>
              <w:t>注：</w:t>
            </w:r>
            <w:r>
              <w:rPr>
                <w:kern w:val="0"/>
                <w:szCs w:val="21"/>
                <w:lang w:val="en-US"/>
              </w:rPr>
              <w:t>括号外数值为水温</w:t>
            </w:r>
            <w:r>
              <w:rPr>
                <w:rFonts w:hint="eastAsia"/>
                <w:kern w:val="0"/>
                <w:szCs w:val="21"/>
                <w:lang w:val="en-US"/>
              </w:rPr>
              <w:t>＞12℃</w:t>
            </w:r>
            <w:r>
              <w:rPr>
                <w:kern w:val="0"/>
                <w:szCs w:val="21"/>
                <w:lang w:val="en-US"/>
              </w:rPr>
              <w:t>时的控制指标，括号内数值为水温≤12</w:t>
            </w:r>
            <w:r>
              <w:rPr>
                <w:rFonts w:hint="eastAsia" w:ascii="宋体" w:hAnsi="宋体" w:cs="宋体"/>
                <w:kern w:val="0"/>
                <w:szCs w:val="21"/>
                <w:lang w:val="en-US"/>
              </w:rPr>
              <w:t>℃</w:t>
            </w:r>
            <w:r>
              <w:rPr>
                <w:kern w:val="0"/>
                <w:szCs w:val="21"/>
                <w:lang w:val="en-US"/>
              </w:rPr>
              <w:t>时的控制指标。</w:t>
            </w:r>
          </w:p>
          <w:p>
            <w:pPr>
              <w:spacing w:line="360" w:lineRule="auto"/>
              <w:ind w:firstLine="482" w:firstLineChars="200"/>
              <w:rPr>
                <w:b/>
                <w:bCs/>
                <w:sz w:val="24"/>
              </w:rPr>
            </w:pPr>
            <w:r>
              <w:rPr>
                <w:rFonts w:hint="eastAsia"/>
                <w:b/>
                <w:bCs/>
                <w:sz w:val="24"/>
              </w:rPr>
              <w:t>3</w:t>
            </w:r>
            <w:r>
              <w:rPr>
                <w:b/>
                <w:bCs/>
                <w:sz w:val="24"/>
              </w:rPr>
              <w:t>、噪声</w:t>
            </w:r>
          </w:p>
          <w:p>
            <w:pPr>
              <w:snapToGrid w:val="0"/>
              <w:spacing w:line="360" w:lineRule="auto"/>
              <w:ind w:firstLine="480" w:firstLineChars="200"/>
              <w:rPr>
                <w:sz w:val="24"/>
                <w:lang w:val="en-US"/>
              </w:rPr>
            </w:pPr>
            <w:r>
              <w:rPr>
                <w:rFonts w:hint="eastAsia"/>
                <w:sz w:val="24"/>
              </w:rPr>
              <w:t>运营期厂界噪声执行《工业企业厂界环境噪声排放标准》（</w:t>
            </w:r>
            <w:r>
              <w:rPr>
                <w:sz w:val="24"/>
              </w:rPr>
              <w:t>GB12348—2008）中3类标准，即昼间65dB(A)</w:t>
            </w:r>
            <w:r>
              <w:rPr>
                <w:rFonts w:hint="eastAsia"/>
                <w:sz w:val="24"/>
              </w:rPr>
              <w:t>、夜</w:t>
            </w:r>
            <w:r>
              <w:rPr>
                <w:sz w:val="24"/>
              </w:rPr>
              <w:t>间</w:t>
            </w:r>
            <w:r>
              <w:rPr>
                <w:rFonts w:hint="eastAsia"/>
                <w:sz w:val="24"/>
              </w:rPr>
              <w:t>55</w:t>
            </w:r>
            <w:r>
              <w:rPr>
                <w:sz w:val="24"/>
              </w:rPr>
              <w:t xml:space="preserve"> dB(A)</w:t>
            </w:r>
            <w:r>
              <w:rPr>
                <w:rFonts w:hint="eastAsia"/>
                <w:bCs/>
                <w:sz w:val="24"/>
              </w:rPr>
              <w:t>。</w:t>
            </w:r>
            <w:r>
              <w:rPr>
                <w:bCs/>
                <w:sz w:val="24"/>
              </w:rPr>
              <w:t>具体指标见表4-</w:t>
            </w:r>
            <w:r>
              <w:rPr>
                <w:rFonts w:hint="eastAsia"/>
                <w:bCs/>
                <w:sz w:val="24"/>
                <w:lang w:val="en-US"/>
              </w:rPr>
              <w:t>7</w:t>
            </w:r>
            <w:r>
              <w:rPr>
                <w:bCs/>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Theme="minorEastAsia"/>
                <w:b/>
                <w:sz w:val="24"/>
                <w:szCs w:val="24"/>
              </w:rPr>
            </w:pPr>
            <w:r>
              <w:rPr>
                <w:rFonts w:eastAsiaTheme="minorEastAsia"/>
                <w:b/>
                <w:bCs/>
                <w:sz w:val="24"/>
                <w:szCs w:val="24"/>
              </w:rPr>
              <w:t>表4-</w:t>
            </w:r>
            <w:r>
              <w:rPr>
                <w:rFonts w:hint="eastAsia" w:eastAsiaTheme="minorEastAsia"/>
                <w:b/>
                <w:bCs/>
                <w:sz w:val="24"/>
                <w:szCs w:val="24"/>
                <w:lang w:val="en-US"/>
              </w:rPr>
              <w:t>7</w:t>
            </w:r>
            <w:r>
              <w:rPr>
                <w:rFonts w:hint="eastAsia" w:eastAsiaTheme="minorEastAsia"/>
                <w:b/>
                <w:bCs/>
                <w:sz w:val="24"/>
                <w:szCs w:val="24"/>
              </w:rPr>
              <w:t xml:space="preserve">  </w:t>
            </w:r>
            <w:r>
              <w:rPr>
                <w:rFonts w:eastAsiaTheme="minorEastAsia"/>
                <w:b/>
                <w:sz w:val="24"/>
                <w:szCs w:val="24"/>
              </w:rPr>
              <w:t>《工业企业厂界环境噪声排放标准》(GB12348-2008)</w:t>
            </w:r>
          </w:p>
          <w:tbl>
            <w:tblPr>
              <w:tblStyle w:val="75"/>
              <w:tblW w:w="789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079"/>
              <w:gridCol w:w="2306"/>
              <w:gridCol w:w="230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286" w:type="dxa"/>
                  <w:gridSpan w:val="2"/>
                  <w:vMerge w:val="restart"/>
                  <w:vAlign w:val="center"/>
                </w:tcPr>
                <w:p>
                  <w:pPr>
                    <w:adjustRightInd w:val="0"/>
                    <w:snapToGrid w:val="0"/>
                    <w:jc w:val="center"/>
                    <w:rPr>
                      <w:b/>
                      <w:szCs w:val="21"/>
                    </w:rPr>
                  </w:pPr>
                  <w:r>
                    <w:rPr>
                      <w:b/>
                      <w:szCs w:val="21"/>
                    </w:rPr>
                    <w:t>执行标准</w:t>
                  </w:r>
                </w:p>
              </w:tc>
              <w:tc>
                <w:tcPr>
                  <w:tcW w:w="4612" w:type="dxa"/>
                  <w:gridSpan w:val="2"/>
                  <w:vAlign w:val="center"/>
                </w:tcPr>
                <w:p>
                  <w:pPr>
                    <w:adjustRightInd w:val="0"/>
                    <w:snapToGrid w:val="0"/>
                    <w:jc w:val="center"/>
                    <w:rPr>
                      <w:b/>
                      <w:szCs w:val="21"/>
                    </w:rPr>
                  </w:pPr>
                  <w:r>
                    <w:rPr>
                      <w:b/>
                      <w:szCs w:val="21"/>
                    </w:rPr>
                    <w:t>标准值  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286" w:type="dxa"/>
                  <w:gridSpan w:val="2"/>
                  <w:vMerge w:val="continue"/>
                  <w:vAlign w:val="center"/>
                </w:tcPr>
                <w:p>
                  <w:pPr>
                    <w:adjustRightInd w:val="0"/>
                    <w:snapToGrid w:val="0"/>
                    <w:jc w:val="center"/>
                    <w:rPr>
                      <w:b/>
                      <w:szCs w:val="21"/>
                    </w:rPr>
                  </w:pPr>
                </w:p>
              </w:tc>
              <w:tc>
                <w:tcPr>
                  <w:tcW w:w="2306" w:type="dxa"/>
                  <w:vAlign w:val="center"/>
                </w:tcPr>
                <w:p>
                  <w:pPr>
                    <w:adjustRightInd w:val="0"/>
                    <w:snapToGrid w:val="0"/>
                    <w:jc w:val="center"/>
                    <w:rPr>
                      <w:b/>
                      <w:szCs w:val="21"/>
                    </w:rPr>
                  </w:pPr>
                  <w:r>
                    <w:rPr>
                      <w:b/>
                      <w:szCs w:val="21"/>
                    </w:rPr>
                    <w:t>昼间</w:t>
                  </w:r>
                </w:p>
              </w:tc>
              <w:tc>
                <w:tcPr>
                  <w:tcW w:w="2306" w:type="dxa"/>
                  <w:vAlign w:val="center"/>
                </w:tcPr>
                <w:p>
                  <w:pPr>
                    <w:adjustRightInd w:val="0"/>
                    <w:snapToGrid w:val="0"/>
                    <w:jc w:val="center"/>
                    <w:rPr>
                      <w:b/>
                      <w:szCs w:val="21"/>
                    </w:rPr>
                  </w:pPr>
                  <w:r>
                    <w:rPr>
                      <w:rFonts w:hint="eastAsia"/>
                      <w:b/>
                      <w:szCs w:val="21"/>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07" w:type="dxa"/>
                  <w:vAlign w:val="center"/>
                </w:tcPr>
                <w:p>
                  <w:pPr>
                    <w:adjustRightInd w:val="0"/>
                    <w:snapToGrid w:val="0"/>
                    <w:jc w:val="center"/>
                    <w:rPr>
                      <w:szCs w:val="21"/>
                    </w:rPr>
                  </w:pPr>
                  <w:r>
                    <w:rPr>
                      <w:szCs w:val="21"/>
                    </w:rPr>
                    <w:t>《工业企业厂界环境噪声排放标准》(GB12348-2008)</w:t>
                  </w:r>
                </w:p>
              </w:tc>
              <w:tc>
                <w:tcPr>
                  <w:tcW w:w="1079" w:type="dxa"/>
                  <w:vAlign w:val="center"/>
                </w:tcPr>
                <w:p>
                  <w:pPr>
                    <w:adjustRightInd w:val="0"/>
                    <w:snapToGrid w:val="0"/>
                    <w:jc w:val="center"/>
                    <w:rPr>
                      <w:szCs w:val="21"/>
                    </w:rPr>
                  </w:pPr>
                  <w:r>
                    <w:rPr>
                      <w:rFonts w:hint="eastAsia"/>
                      <w:szCs w:val="21"/>
                    </w:rPr>
                    <w:t>3</w:t>
                  </w:r>
                  <w:r>
                    <w:rPr>
                      <w:szCs w:val="21"/>
                    </w:rPr>
                    <w:t>类区标准</w:t>
                  </w:r>
                </w:p>
              </w:tc>
              <w:tc>
                <w:tcPr>
                  <w:tcW w:w="2306" w:type="dxa"/>
                  <w:vAlign w:val="center"/>
                </w:tcPr>
                <w:p>
                  <w:pPr>
                    <w:adjustRightInd w:val="0"/>
                    <w:snapToGrid w:val="0"/>
                    <w:jc w:val="center"/>
                    <w:rPr>
                      <w:szCs w:val="21"/>
                    </w:rPr>
                  </w:pPr>
                  <w:r>
                    <w:rPr>
                      <w:szCs w:val="21"/>
                    </w:rPr>
                    <w:t>6</w:t>
                  </w:r>
                  <w:r>
                    <w:rPr>
                      <w:rFonts w:hint="eastAsia"/>
                      <w:szCs w:val="21"/>
                    </w:rPr>
                    <w:t>5</w:t>
                  </w:r>
                </w:p>
              </w:tc>
              <w:tc>
                <w:tcPr>
                  <w:tcW w:w="2306" w:type="dxa"/>
                  <w:vAlign w:val="center"/>
                </w:tcPr>
                <w:p>
                  <w:pPr>
                    <w:adjustRightInd w:val="0"/>
                    <w:snapToGrid w:val="0"/>
                    <w:jc w:val="center"/>
                    <w:rPr>
                      <w:szCs w:val="21"/>
                    </w:rPr>
                  </w:pPr>
                  <w:r>
                    <w:rPr>
                      <w:szCs w:val="21"/>
                    </w:rPr>
                    <w:t>55</w:t>
                  </w:r>
                </w:p>
              </w:tc>
            </w:tr>
          </w:tbl>
          <w:p>
            <w:pPr>
              <w:autoSpaceDE w:val="0"/>
              <w:autoSpaceDN w:val="0"/>
              <w:adjustRightInd w:val="0"/>
              <w:spacing w:afterLines="50"/>
              <w:jc w:val="left"/>
              <w:rPr>
                <w:rFonts w:eastAsiaTheme="minorEastAsia"/>
                <w:b/>
                <w:bCs/>
                <w:kern w:val="0"/>
                <w:sz w:val="18"/>
                <w:szCs w:val="18"/>
              </w:rPr>
            </w:pPr>
            <w:r>
              <w:rPr>
                <w:b/>
                <w:kern w:val="0"/>
                <w:sz w:val="18"/>
                <w:szCs w:val="18"/>
                <w:lang w:val="en-US"/>
              </w:rPr>
              <w:t>注：“昼间”是指6:00至22:00之间的时段，“夜间”是指22:00至次日6:00之间的时段。夜间噪声最大声级超过限值的幅度不得高于15dB（A）。</w:t>
            </w:r>
          </w:p>
          <w:p>
            <w:pPr>
              <w:autoSpaceDE w:val="0"/>
              <w:autoSpaceDN w:val="0"/>
              <w:adjustRightInd w:val="0"/>
              <w:spacing w:line="360" w:lineRule="auto"/>
              <w:ind w:left="480"/>
              <w:rPr>
                <w:rFonts w:eastAsiaTheme="minorEastAsia"/>
                <w:b/>
                <w:bCs/>
                <w:kern w:val="0"/>
                <w:sz w:val="24"/>
                <w:szCs w:val="24"/>
                <w:lang w:val="en-US"/>
              </w:rPr>
            </w:pPr>
            <w:r>
              <w:rPr>
                <w:rFonts w:hint="eastAsia" w:eastAsiaTheme="minorEastAsia"/>
                <w:b/>
                <w:bCs/>
                <w:kern w:val="0"/>
                <w:sz w:val="24"/>
                <w:szCs w:val="24"/>
                <w:lang w:val="en-US"/>
              </w:rPr>
              <w:t>4、固废</w:t>
            </w: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r>
              <w:rPr>
                <w:rFonts w:hint="eastAsia" w:eastAsiaTheme="minorEastAsia"/>
                <w:bCs/>
                <w:kern w:val="0"/>
                <w:sz w:val="24"/>
                <w:szCs w:val="24"/>
                <w:lang w:val="en-US"/>
              </w:rPr>
              <w:t>一般工业固体废物临时堆场应满足《一般工业固体废物贮存、处置场污染控制标准》（GB18599-2001）及2013年修改单要求（环境保护部公告2013年第36号）。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6" w:type="dxa"/>
            <w:vAlign w:val="center"/>
          </w:tcPr>
          <w:p>
            <w:pPr>
              <w:pStyle w:val="156"/>
              <w:tabs>
                <w:tab w:val="left" w:pos="5400"/>
              </w:tabs>
              <w:spacing w:beforeLines="0" w:afterLines="0" w:line="360" w:lineRule="auto"/>
              <w:rPr>
                <w:rFonts w:eastAsia="宋体"/>
                <w:kern w:val="0"/>
              </w:rPr>
            </w:pPr>
            <w:r>
              <w:rPr>
                <w:rFonts w:eastAsia="宋体"/>
                <w:kern w:val="0"/>
              </w:rPr>
              <w:t>总</w:t>
            </w:r>
          </w:p>
          <w:p>
            <w:pPr>
              <w:pStyle w:val="156"/>
              <w:tabs>
                <w:tab w:val="left" w:pos="5400"/>
              </w:tabs>
              <w:spacing w:beforeLines="0" w:afterLines="0" w:line="360" w:lineRule="auto"/>
              <w:rPr>
                <w:rFonts w:eastAsia="宋体"/>
                <w:kern w:val="0"/>
              </w:rPr>
            </w:pPr>
            <w:r>
              <w:rPr>
                <w:rFonts w:eastAsia="宋体"/>
                <w:kern w:val="0"/>
              </w:rPr>
              <w:t>量</w:t>
            </w:r>
          </w:p>
          <w:p>
            <w:pPr>
              <w:pStyle w:val="156"/>
              <w:tabs>
                <w:tab w:val="left" w:pos="5400"/>
              </w:tabs>
              <w:spacing w:beforeLines="0" w:afterLines="0" w:line="360" w:lineRule="auto"/>
              <w:rPr>
                <w:rFonts w:eastAsia="宋体"/>
                <w:kern w:val="0"/>
              </w:rPr>
            </w:pPr>
            <w:r>
              <w:rPr>
                <w:rFonts w:eastAsia="宋体"/>
                <w:kern w:val="0"/>
              </w:rPr>
              <w:t>控</w:t>
            </w:r>
          </w:p>
          <w:p>
            <w:pPr>
              <w:pStyle w:val="156"/>
              <w:tabs>
                <w:tab w:val="left" w:pos="5400"/>
              </w:tabs>
              <w:spacing w:beforeLines="0" w:afterLines="0" w:line="360" w:lineRule="auto"/>
              <w:rPr>
                <w:rFonts w:eastAsia="宋体"/>
                <w:kern w:val="0"/>
              </w:rPr>
            </w:pPr>
            <w:r>
              <w:rPr>
                <w:rFonts w:eastAsia="宋体"/>
                <w:kern w:val="0"/>
              </w:rPr>
              <w:t>制</w:t>
            </w:r>
          </w:p>
          <w:p>
            <w:pPr>
              <w:pStyle w:val="156"/>
              <w:tabs>
                <w:tab w:val="left" w:pos="5400"/>
              </w:tabs>
              <w:spacing w:beforeLines="0" w:afterLines="0" w:line="360" w:lineRule="auto"/>
              <w:rPr>
                <w:rFonts w:eastAsia="宋体"/>
                <w:kern w:val="0"/>
              </w:rPr>
            </w:pPr>
            <w:r>
              <w:rPr>
                <w:rFonts w:eastAsia="宋体"/>
                <w:kern w:val="0"/>
              </w:rPr>
              <w:t>指</w:t>
            </w:r>
          </w:p>
          <w:p>
            <w:pPr>
              <w:pStyle w:val="156"/>
              <w:tabs>
                <w:tab w:val="left" w:pos="5400"/>
              </w:tabs>
              <w:spacing w:beforeLines="0" w:afterLines="0" w:line="360" w:lineRule="auto"/>
              <w:rPr>
                <w:rFonts w:eastAsia="宋体"/>
                <w:kern w:val="0"/>
              </w:rPr>
            </w:pPr>
            <w:r>
              <w:rPr>
                <w:rFonts w:eastAsia="宋体"/>
                <w:kern w:val="0"/>
              </w:rPr>
              <w:t>标</w:t>
            </w:r>
          </w:p>
        </w:tc>
        <w:tc>
          <w:tcPr>
            <w:tcW w:w="8073" w:type="dxa"/>
          </w:tcPr>
          <w:p>
            <w:pPr>
              <w:spacing w:line="360" w:lineRule="auto"/>
              <w:rPr>
                <w:b/>
                <w:sz w:val="24"/>
                <w:szCs w:val="24"/>
              </w:rPr>
            </w:pPr>
            <w:r>
              <w:rPr>
                <w:rFonts w:hint="eastAsia"/>
                <w:b/>
                <w:sz w:val="24"/>
                <w:szCs w:val="24"/>
              </w:rPr>
              <w:t>一</w:t>
            </w:r>
            <w:r>
              <w:rPr>
                <w:b/>
                <w:sz w:val="24"/>
                <w:szCs w:val="24"/>
              </w:rPr>
              <w:t>、总量控制原则</w:t>
            </w:r>
          </w:p>
          <w:p>
            <w:pPr>
              <w:spacing w:line="360" w:lineRule="auto"/>
              <w:ind w:firstLine="480" w:firstLineChars="200"/>
              <w:rPr>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pPr>
              <w:spacing w:line="360" w:lineRule="auto"/>
              <w:ind w:firstLine="480" w:firstLineChars="200"/>
              <w:rPr>
                <w:bCs/>
                <w:sz w:val="24"/>
                <w:szCs w:val="24"/>
              </w:rPr>
            </w:pPr>
            <w:r>
              <w:rPr>
                <w:rFonts w:hint="eastAsia"/>
                <w:sz w:val="24"/>
                <w:szCs w:val="24"/>
              </w:rPr>
              <w:t>根据《国务院关于印发“十三五”生态环境保护规划的通知》（国发〔2016〕65号），“十三五”期间国家对二氧化硫、化学需氧量、氨氮、氮氧化物四种主要污染物实行排放总量控制计划管理。在重点地区、重点行业推进挥发性有机物总量控制，对沿海56个城市及29个富营养化湖库实施总氮总量控制，总磷超标的控制单元以及上游相关地区实施总磷总量控制。</w:t>
            </w:r>
          </w:p>
          <w:p>
            <w:pPr>
              <w:spacing w:line="360" w:lineRule="auto"/>
              <w:rPr>
                <w:b/>
                <w:sz w:val="24"/>
                <w:szCs w:val="24"/>
              </w:rPr>
            </w:pPr>
            <w:r>
              <w:rPr>
                <w:rFonts w:hint="eastAsia"/>
                <w:b/>
                <w:sz w:val="24"/>
                <w:szCs w:val="24"/>
              </w:rPr>
              <w:t>二</w:t>
            </w:r>
            <w:r>
              <w:rPr>
                <w:b/>
                <w:sz w:val="24"/>
                <w:szCs w:val="24"/>
              </w:rPr>
              <w:t>、总量控制建议值</w:t>
            </w:r>
          </w:p>
          <w:p>
            <w:pPr>
              <w:snapToGrid w:val="0"/>
              <w:spacing w:line="360" w:lineRule="auto"/>
              <w:ind w:firstLine="480" w:firstLineChars="200"/>
              <w:rPr>
                <w:kern w:val="0"/>
                <w:sz w:val="24"/>
                <w:szCs w:val="24"/>
              </w:rPr>
            </w:pPr>
            <w:r>
              <w:rPr>
                <w:rFonts w:hint="eastAsia"/>
                <w:kern w:val="0"/>
                <w:sz w:val="24"/>
                <w:szCs w:val="24"/>
              </w:rPr>
              <w:t>本项目所在区域属于“双控区”中的酸雨控制区和太湖流域二级保护区。</w:t>
            </w:r>
          </w:p>
          <w:p>
            <w:pPr>
              <w:snapToGrid w:val="0"/>
              <w:spacing w:line="360" w:lineRule="auto"/>
              <w:ind w:firstLine="482" w:firstLineChars="200"/>
              <w:rPr>
                <w:rFonts w:hint="eastAsia"/>
                <w:kern w:val="0"/>
                <w:sz w:val="24"/>
                <w:szCs w:val="24"/>
                <w:lang w:eastAsia="zh-CN"/>
              </w:rPr>
            </w:pPr>
            <w:r>
              <w:rPr>
                <w:rFonts w:hint="eastAsia"/>
                <w:b/>
                <w:bCs/>
                <w:color w:val="000000" w:themeColor="text1"/>
                <w:kern w:val="0"/>
                <w:sz w:val="24"/>
                <w:szCs w:val="24"/>
              </w:rPr>
              <w:t>废气：</w:t>
            </w:r>
            <w:r>
              <w:rPr>
                <w:rFonts w:hint="eastAsia"/>
                <w:kern w:val="0"/>
                <w:sz w:val="24"/>
                <w:szCs w:val="24"/>
                <w:lang w:eastAsia="zh-CN"/>
              </w:rPr>
              <w:t>本项目</w:t>
            </w:r>
            <w:r>
              <w:rPr>
                <w:rFonts w:hint="eastAsia"/>
                <w:kern w:val="0"/>
                <w:sz w:val="24"/>
                <w:szCs w:val="24"/>
              </w:rPr>
              <w:t>颗粒物有组织排放量</w:t>
            </w:r>
            <w:r>
              <w:rPr>
                <w:kern w:val="0"/>
                <w:sz w:val="24"/>
                <w:szCs w:val="24"/>
              </w:rPr>
              <w:t>0.</w:t>
            </w:r>
            <w:r>
              <w:rPr>
                <w:rFonts w:hint="eastAsia"/>
                <w:kern w:val="0"/>
                <w:sz w:val="24"/>
                <w:szCs w:val="24"/>
                <w:lang w:val="en-US" w:eastAsia="zh-CN"/>
              </w:rPr>
              <w:t>113</w:t>
            </w:r>
            <w:r>
              <w:rPr>
                <w:kern w:val="0"/>
                <w:sz w:val="24"/>
                <w:szCs w:val="24"/>
              </w:rPr>
              <w:t>t/a</w:t>
            </w:r>
            <w:r>
              <w:rPr>
                <w:rFonts w:hint="eastAsia"/>
                <w:kern w:val="0"/>
                <w:sz w:val="24"/>
                <w:szCs w:val="24"/>
              </w:rPr>
              <w:t>，</w:t>
            </w:r>
            <w:r>
              <w:rPr>
                <w:kern w:val="0"/>
                <w:sz w:val="24"/>
                <w:szCs w:val="24"/>
              </w:rPr>
              <w:t>NO</w:t>
            </w:r>
            <w:r>
              <w:rPr>
                <w:kern w:val="0"/>
                <w:sz w:val="24"/>
                <w:szCs w:val="24"/>
                <w:vertAlign w:val="subscript"/>
              </w:rPr>
              <w:t>X</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0.75</w:t>
            </w:r>
            <w:r>
              <w:rPr>
                <w:kern w:val="0"/>
                <w:sz w:val="24"/>
                <w:szCs w:val="24"/>
              </w:rPr>
              <w:t xml:space="preserve">t/a </w:t>
            </w:r>
            <w:r>
              <w:rPr>
                <w:rFonts w:hint="eastAsia"/>
                <w:kern w:val="0"/>
                <w:sz w:val="24"/>
                <w:szCs w:val="24"/>
              </w:rPr>
              <w:t>、</w:t>
            </w:r>
            <w:r>
              <w:rPr>
                <w:kern w:val="0"/>
                <w:sz w:val="24"/>
                <w:szCs w:val="24"/>
              </w:rPr>
              <w:t>SO</w:t>
            </w:r>
            <w:r>
              <w:rPr>
                <w:kern w:val="0"/>
                <w:sz w:val="24"/>
                <w:szCs w:val="24"/>
                <w:vertAlign w:val="subscript"/>
              </w:rPr>
              <w:t>2</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0.16</w:t>
            </w:r>
            <w:r>
              <w:rPr>
                <w:kern w:val="0"/>
                <w:sz w:val="24"/>
                <w:szCs w:val="24"/>
              </w:rPr>
              <w:t xml:space="preserve"> t/a</w:t>
            </w:r>
            <w:r>
              <w:rPr>
                <w:rFonts w:hint="eastAsia"/>
                <w:kern w:val="0"/>
                <w:sz w:val="24"/>
                <w:szCs w:val="24"/>
              </w:rPr>
              <w:t>、颗粒物无组织排放量</w:t>
            </w:r>
            <w:r>
              <w:rPr>
                <w:kern w:val="0"/>
                <w:sz w:val="24"/>
                <w:szCs w:val="24"/>
              </w:rPr>
              <w:t>0.</w:t>
            </w:r>
            <w:r>
              <w:rPr>
                <w:rFonts w:hint="eastAsia"/>
                <w:kern w:val="0"/>
                <w:sz w:val="24"/>
                <w:szCs w:val="24"/>
                <w:lang w:val="en-US" w:eastAsia="zh-CN"/>
              </w:rPr>
              <w:t>11</w:t>
            </w:r>
            <w:r>
              <w:rPr>
                <w:kern w:val="0"/>
                <w:sz w:val="24"/>
                <w:szCs w:val="24"/>
              </w:rPr>
              <w:t xml:space="preserve"> t/a</w:t>
            </w:r>
            <w:r>
              <w:rPr>
                <w:rFonts w:hint="eastAsia"/>
                <w:kern w:val="0"/>
                <w:sz w:val="24"/>
                <w:szCs w:val="24"/>
                <w:lang w:eastAsia="zh-CN"/>
              </w:rPr>
              <w:t>。</w:t>
            </w:r>
          </w:p>
          <w:p>
            <w:pPr>
              <w:snapToGrid w:val="0"/>
              <w:spacing w:line="360" w:lineRule="auto"/>
              <w:ind w:firstLine="480" w:firstLineChars="200"/>
              <w:rPr>
                <w:rFonts w:hint="eastAsia" w:eastAsia="宋体"/>
                <w:kern w:val="0"/>
                <w:sz w:val="24"/>
                <w:szCs w:val="24"/>
                <w:lang w:eastAsia="zh-CN"/>
              </w:rPr>
            </w:pPr>
            <w:r>
              <w:rPr>
                <w:rFonts w:hint="eastAsia"/>
                <w:kern w:val="0"/>
                <w:sz w:val="24"/>
                <w:szCs w:val="24"/>
                <w:lang w:eastAsia="zh-CN"/>
              </w:rPr>
              <w:t>改建后全厂</w:t>
            </w:r>
            <w:r>
              <w:rPr>
                <w:rFonts w:hint="eastAsia"/>
                <w:kern w:val="0"/>
                <w:sz w:val="24"/>
                <w:szCs w:val="24"/>
              </w:rPr>
              <w:t>颗粒物有组织排放量</w:t>
            </w:r>
            <w:r>
              <w:rPr>
                <w:kern w:val="0"/>
                <w:sz w:val="24"/>
                <w:szCs w:val="24"/>
              </w:rPr>
              <w:t>0.</w:t>
            </w:r>
            <w:r>
              <w:rPr>
                <w:rFonts w:hint="eastAsia"/>
                <w:kern w:val="0"/>
                <w:sz w:val="24"/>
                <w:szCs w:val="24"/>
                <w:lang w:val="en-US" w:eastAsia="zh-CN"/>
              </w:rPr>
              <w:t>155</w:t>
            </w:r>
            <w:r>
              <w:rPr>
                <w:kern w:val="0"/>
                <w:sz w:val="24"/>
                <w:szCs w:val="24"/>
              </w:rPr>
              <w:t>t/a</w:t>
            </w:r>
            <w:r>
              <w:rPr>
                <w:rFonts w:hint="eastAsia"/>
                <w:kern w:val="0"/>
                <w:sz w:val="24"/>
                <w:szCs w:val="24"/>
              </w:rPr>
              <w:t>，</w:t>
            </w:r>
            <w:r>
              <w:rPr>
                <w:kern w:val="0"/>
                <w:sz w:val="24"/>
                <w:szCs w:val="24"/>
              </w:rPr>
              <w:t>NO</w:t>
            </w:r>
            <w:r>
              <w:rPr>
                <w:kern w:val="0"/>
                <w:sz w:val="24"/>
                <w:szCs w:val="24"/>
                <w:vertAlign w:val="subscript"/>
              </w:rPr>
              <w:t>X</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1.278</w:t>
            </w:r>
            <w:r>
              <w:rPr>
                <w:kern w:val="0"/>
                <w:sz w:val="24"/>
                <w:szCs w:val="24"/>
              </w:rPr>
              <w:t xml:space="preserve">t/a </w:t>
            </w:r>
            <w:r>
              <w:rPr>
                <w:rFonts w:hint="eastAsia"/>
                <w:kern w:val="0"/>
                <w:sz w:val="24"/>
                <w:szCs w:val="24"/>
              </w:rPr>
              <w:t>、</w:t>
            </w:r>
            <w:r>
              <w:rPr>
                <w:kern w:val="0"/>
                <w:sz w:val="24"/>
                <w:szCs w:val="24"/>
              </w:rPr>
              <w:t>SO</w:t>
            </w:r>
            <w:r>
              <w:rPr>
                <w:kern w:val="0"/>
                <w:sz w:val="24"/>
                <w:szCs w:val="24"/>
                <w:vertAlign w:val="subscript"/>
              </w:rPr>
              <w:t>2</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0.172</w:t>
            </w:r>
            <w:r>
              <w:rPr>
                <w:kern w:val="0"/>
                <w:sz w:val="24"/>
                <w:szCs w:val="24"/>
              </w:rPr>
              <w:t xml:space="preserve"> t/a</w:t>
            </w:r>
            <w:r>
              <w:rPr>
                <w:rFonts w:hint="eastAsia"/>
                <w:kern w:val="0"/>
                <w:sz w:val="24"/>
                <w:szCs w:val="24"/>
              </w:rPr>
              <w:t>、颗粒物无组织排放量</w:t>
            </w:r>
            <w:r>
              <w:rPr>
                <w:kern w:val="0"/>
                <w:sz w:val="24"/>
                <w:szCs w:val="24"/>
              </w:rPr>
              <w:t>0.</w:t>
            </w:r>
            <w:r>
              <w:rPr>
                <w:rFonts w:hint="eastAsia"/>
                <w:kern w:val="0"/>
                <w:sz w:val="24"/>
                <w:szCs w:val="24"/>
                <w:lang w:val="en-US" w:eastAsia="zh-CN"/>
              </w:rPr>
              <w:t>11</w:t>
            </w:r>
            <w:r>
              <w:rPr>
                <w:kern w:val="0"/>
                <w:sz w:val="24"/>
                <w:szCs w:val="24"/>
              </w:rPr>
              <w:t xml:space="preserve"> t/a</w:t>
            </w:r>
            <w:r>
              <w:rPr>
                <w:rFonts w:hint="eastAsia"/>
                <w:kern w:val="0"/>
                <w:sz w:val="24"/>
                <w:szCs w:val="24"/>
              </w:rPr>
              <w:t>。</w:t>
            </w:r>
          </w:p>
          <w:p>
            <w:pPr>
              <w:snapToGrid w:val="0"/>
              <w:spacing w:line="360" w:lineRule="auto"/>
              <w:ind w:firstLine="482" w:firstLineChars="200"/>
              <w:rPr>
                <w:rFonts w:hint="eastAsia"/>
                <w:kern w:val="0"/>
                <w:sz w:val="24"/>
                <w:szCs w:val="24"/>
              </w:rPr>
            </w:pPr>
            <w:r>
              <w:rPr>
                <w:rFonts w:hint="eastAsia"/>
                <w:b/>
                <w:bCs/>
                <w:kern w:val="0"/>
                <w:sz w:val="24"/>
                <w:szCs w:val="24"/>
                <w:lang w:eastAsia="zh-CN"/>
              </w:rPr>
              <w:t>废水</w:t>
            </w:r>
            <w:r>
              <w:rPr>
                <w:rFonts w:hint="eastAsia"/>
                <w:kern w:val="0"/>
                <w:sz w:val="24"/>
                <w:szCs w:val="24"/>
                <w:lang w:eastAsia="zh-CN"/>
              </w:rPr>
              <w:t>：本项目</w:t>
            </w:r>
            <w:r>
              <w:rPr>
                <w:rFonts w:hint="eastAsia"/>
                <w:kern w:val="0"/>
                <w:sz w:val="24"/>
                <w:szCs w:val="24"/>
              </w:rPr>
              <w:t>纳管考核指标分别为：</w:t>
            </w:r>
            <w:r>
              <w:rPr>
                <w:rFonts w:hint="eastAsia"/>
                <w:kern w:val="0"/>
                <w:sz w:val="24"/>
                <w:szCs w:val="24"/>
                <w:lang w:eastAsia="zh-CN"/>
              </w:rPr>
              <w:t>废</w:t>
            </w:r>
            <w:r>
              <w:rPr>
                <w:rFonts w:hint="eastAsia"/>
                <w:kern w:val="0"/>
                <w:sz w:val="24"/>
                <w:szCs w:val="24"/>
              </w:rPr>
              <w:t>水量</w:t>
            </w:r>
            <w:r>
              <w:rPr>
                <w:rFonts w:hint="eastAsia"/>
                <w:kern w:val="0"/>
                <w:sz w:val="24"/>
                <w:szCs w:val="24"/>
                <w:lang w:val="en-US" w:eastAsia="zh-CN"/>
              </w:rPr>
              <w:t>99.84</w:t>
            </w:r>
            <w:r>
              <w:rPr>
                <w:rFonts w:hint="eastAsia"/>
                <w:kern w:val="0"/>
                <w:sz w:val="24"/>
                <w:szCs w:val="24"/>
              </w:rPr>
              <w:t>t/a，CODCr：</w:t>
            </w:r>
            <w:r>
              <w:rPr>
                <w:rFonts w:hint="eastAsia"/>
                <w:kern w:val="0"/>
                <w:sz w:val="24"/>
                <w:szCs w:val="24"/>
                <w:lang w:val="en-US" w:eastAsia="zh-CN"/>
              </w:rPr>
              <w:t>0.035</w:t>
            </w:r>
            <w:r>
              <w:rPr>
                <w:rFonts w:hint="eastAsia"/>
                <w:kern w:val="0"/>
                <w:sz w:val="24"/>
                <w:szCs w:val="24"/>
              </w:rPr>
              <w:t>t/a</w:t>
            </w:r>
            <w:r>
              <w:rPr>
                <w:rFonts w:hint="eastAsia"/>
                <w:kern w:val="0"/>
                <w:sz w:val="24"/>
                <w:szCs w:val="24"/>
                <w:lang w:val="en-US"/>
              </w:rPr>
              <w:t>、</w:t>
            </w:r>
            <w:r>
              <w:rPr>
                <w:rFonts w:hint="eastAsia"/>
                <w:kern w:val="0"/>
                <w:sz w:val="24"/>
                <w:szCs w:val="24"/>
              </w:rPr>
              <w:t>SS 0.</w:t>
            </w:r>
            <w:r>
              <w:rPr>
                <w:rFonts w:hint="eastAsia"/>
                <w:kern w:val="0"/>
                <w:sz w:val="24"/>
                <w:szCs w:val="24"/>
                <w:lang w:val="en-US" w:eastAsia="zh-CN"/>
              </w:rPr>
              <w:t>02</w:t>
            </w:r>
            <w:r>
              <w:rPr>
                <w:rFonts w:hint="eastAsia"/>
                <w:kern w:val="0"/>
                <w:sz w:val="24"/>
                <w:szCs w:val="24"/>
              </w:rPr>
              <w:t>t/a</w:t>
            </w:r>
            <w:r>
              <w:rPr>
                <w:rFonts w:hint="eastAsia"/>
                <w:kern w:val="0"/>
                <w:sz w:val="24"/>
                <w:szCs w:val="24"/>
                <w:lang w:val="en-US"/>
              </w:rPr>
              <w:t>、</w:t>
            </w:r>
            <w:r>
              <w:rPr>
                <w:rFonts w:hint="eastAsia"/>
                <w:kern w:val="0"/>
                <w:sz w:val="24"/>
                <w:szCs w:val="24"/>
              </w:rPr>
              <w:t>NH3-N</w:t>
            </w:r>
            <w:r>
              <w:rPr>
                <w:rFonts w:hint="eastAsia"/>
                <w:kern w:val="0"/>
                <w:sz w:val="24"/>
                <w:szCs w:val="24"/>
                <w:lang w:val="en-US" w:eastAsia="zh-CN"/>
              </w:rPr>
              <w:t xml:space="preserve"> 0.0035</w:t>
            </w:r>
            <w:r>
              <w:rPr>
                <w:rFonts w:hint="eastAsia"/>
                <w:kern w:val="0"/>
                <w:sz w:val="24"/>
                <w:szCs w:val="24"/>
              </w:rPr>
              <w:t>t/a</w:t>
            </w:r>
            <w:r>
              <w:rPr>
                <w:rFonts w:hint="eastAsia"/>
                <w:kern w:val="0"/>
                <w:sz w:val="24"/>
                <w:szCs w:val="24"/>
                <w:lang w:val="en-US"/>
              </w:rPr>
              <w:t>、</w:t>
            </w:r>
            <w:r>
              <w:rPr>
                <w:rFonts w:hint="eastAsia"/>
                <w:kern w:val="0"/>
                <w:sz w:val="24"/>
                <w:szCs w:val="24"/>
              </w:rPr>
              <w:t>TP 0.00</w:t>
            </w:r>
            <w:r>
              <w:rPr>
                <w:rFonts w:hint="eastAsia"/>
                <w:kern w:val="0"/>
                <w:sz w:val="24"/>
                <w:szCs w:val="24"/>
                <w:lang w:val="en-US" w:eastAsia="zh-CN"/>
              </w:rPr>
              <w:t>05</w:t>
            </w:r>
            <w:r>
              <w:rPr>
                <w:rFonts w:hint="eastAsia"/>
                <w:kern w:val="0"/>
                <w:sz w:val="24"/>
                <w:szCs w:val="24"/>
              </w:rPr>
              <w:t>t/a，TN</w:t>
            </w:r>
            <w:r>
              <w:rPr>
                <w:rFonts w:hint="eastAsia"/>
                <w:kern w:val="0"/>
                <w:sz w:val="24"/>
                <w:szCs w:val="24"/>
                <w:lang w:val="en-US" w:eastAsia="zh-CN"/>
              </w:rPr>
              <w:t xml:space="preserve"> </w:t>
            </w:r>
            <w:r>
              <w:rPr>
                <w:rFonts w:hint="eastAsia"/>
                <w:kern w:val="0"/>
                <w:sz w:val="24"/>
                <w:szCs w:val="24"/>
              </w:rPr>
              <w:t>0.00</w:t>
            </w:r>
            <w:r>
              <w:rPr>
                <w:rFonts w:hint="eastAsia"/>
                <w:kern w:val="0"/>
                <w:sz w:val="24"/>
                <w:szCs w:val="24"/>
                <w:lang w:val="en-US" w:eastAsia="zh-CN"/>
              </w:rPr>
              <w:t>45</w:t>
            </w:r>
            <w:r>
              <w:rPr>
                <w:rFonts w:hint="eastAsia"/>
                <w:kern w:val="0"/>
                <w:sz w:val="24"/>
                <w:szCs w:val="24"/>
              </w:rPr>
              <w:t>t/a；最终排放量指标分别为：</w:t>
            </w:r>
            <w:r>
              <w:rPr>
                <w:rFonts w:hint="eastAsia"/>
                <w:kern w:val="0"/>
                <w:sz w:val="24"/>
                <w:szCs w:val="24"/>
                <w:lang w:val="en-US"/>
              </w:rPr>
              <w:t>污水量</w:t>
            </w:r>
            <w:r>
              <w:rPr>
                <w:rFonts w:hint="eastAsia"/>
                <w:kern w:val="0"/>
                <w:sz w:val="24"/>
                <w:szCs w:val="24"/>
              </w:rPr>
              <w:t xml:space="preserve">COD </w:t>
            </w:r>
            <w:r>
              <w:rPr>
                <w:rFonts w:hint="eastAsia"/>
                <w:kern w:val="0"/>
                <w:sz w:val="24"/>
                <w:szCs w:val="24"/>
                <w:lang w:val="en-US" w:eastAsia="zh-CN"/>
              </w:rPr>
              <w:t>0.005</w:t>
            </w:r>
            <w:r>
              <w:rPr>
                <w:rFonts w:hint="eastAsia"/>
                <w:kern w:val="0"/>
                <w:sz w:val="24"/>
                <w:szCs w:val="24"/>
              </w:rPr>
              <w:t>t/a</w:t>
            </w:r>
            <w:r>
              <w:rPr>
                <w:rFonts w:hint="eastAsia"/>
                <w:kern w:val="0"/>
                <w:sz w:val="24"/>
                <w:szCs w:val="24"/>
                <w:lang w:val="en-US"/>
              </w:rPr>
              <w:t>、</w:t>
            </w:r>
            <w:r>
              <w:rPr>
                <w:rFonts w:hint="eastAsia"/>
                <w:kern w:val="0"/>
                <w:sz w:val="24"/>
                <w:szCs w:val="24"/>
              </w:rPr>
              <w:t>SS 0.00</w:t>
            </w:r>
            <w:r>
              <w:rPr>
                <w:rFonts w:hint="eastAsia"/>
                <w:kern w:val="0"/>
                <w:sz w:val="24"/>
                <w:szCs w:val="24"/>
                <w:lang w:val="en-US" w:eastAsia="zh-CN"/>
              </w:rPr>
              <w:t>1</w:t>
            </w:r>
            <w:r>
              <w:rPr>
                <w:rFonts w:hint="eastAsia"/>
                <w:kern w:val="0"/>
                <w:sz w:val="24"/>
                <w:szCs w:val="24"/>
              </w:rPr>
              <w:t>t/a</w:t>
            </w:r>
            <w:r>
              <w:rPr>
                <w:rFonts w:hint="eastAsia"/>
                <w:kern w:val="0"/>
                <w:sz w:val="24"/>
                <w:szCs w:val="24"/>
                <w:lang w:val="en-US"/>
              </w:rPr>
              <w:t>、</w:t>
            </w:r>
            <w:r>
              <w:rPr>
                <w:rFonts w:hint="eastAsia"/>
                <w:kern w:val="0"/>
                <w:sz w:val="24"/>
                <w:szCs w:val="24"/>
              </w:rPr>
              <w:t>NH3-N 0.00</w:t>
            </w:r>
            <w:r>
              <w:rPr>
                <w:rFonts w:hint="eastAsia"/>
                <w:kern w:val="0"/>
                <w:sz w:val="24"/>
                <w:szCs w:val="24"/>
                <w:lang w:val="en-US" w:eastAsia="zh-CN"/>
              </w:rPr>
              <w:t>05</w:t>
            </w:r>
            <w:r>
              <w:rPr>
                <w:rFonts w:hint="eastAsia"/>
                <w:kern w:val="0"/>
                <w:sz w:val="24"/>
                <w:szCs w:val="24"/>
              </w:rPr>
              <w:t>t/a</w:t>
            </w:r>
            <w:r>
              <w:rPr>
                <w:rFonts w:hint="eastAsia"/>
                <w:kern w:val="0"/>
                <w:sz w:val="24"/>
                <w:szCs w:val="24"/>
                <w:lang w:val="en-US"/>
              </w:rPr>
              <w:t>、</w:t>
            </w:r>
            <w:r>
              <w:rPr>
                <w:rFonts w:hint="eastAsia"/>
                <w:kern w:val="0"/>
                <w:sz w:val="24"/>
                <w:szCs w:val="24"/>
              </w:rPr>
              <w:t>TP 0.000</w:t>
            </w:r>
            <w:r>
              <w:rPr>
                <w:rFonts w:hint="eastAsia"/>
                <w:kern w:val="0"/>
                <w:sz w:val="24"/>
                <w:szCs w:val="24"/>
                <w:lang w:val="en-US" w:eastAsia="zh-CN"/>
              </w:rPr>
              <w:t>05</w:t>
            </w:r>
            <w:r>
              <w:rPr>
                <w:rFonts w:hint="eastAsia"/>
                <w:kern w:val="0"/>
                <w:sz w:val="24"/>
                <w:szCs w:val="24"/>
              </w:rPr>
              <w:t>t/a、TN0.00</w:t>
            </w:r>
            <w:r>
              <w:rPr>
                <w:rFonts w:hint="eastAsia"/>
                <w:kern w:val="0"/>
                <w:sz w:val="24"/>
                <w:szCs w:val="24"/>
                <w:lang w:val="en-US" w:eastAsia="zh-CN"/>
              </w:rPr>
              <w:t>15</w:t>
            </w:r>
            <w:r>
              <w:rPr>
                <w:rFonts w:hint="eastAsia"/>
                <w:kern w:val="0"/>
                <w:sz w:val="24"/>
                <w:szCs w:val="24"/>
              </w:rPr>
              <w:t xml:space="preserve"> t/a。</w:t>
            </w:r>
          </w:p>
          <w:p>
            <w:pPr>
              <w:snapToGrid w:val="0"/>
              <w:spacing w:line="360" w:lineRule="auto"/>
              <w:ind w:firstLine="480" w:firstLineChars="200"/>
              <w:rPr>
                <w:kern w:val="0"/>
                <w:sz w:val="24"/>
                <w:szCs w:val="24"/>
              </w:rPr>
            </w:pPr>
            <w:r>
              <w:rPr>
                <w:rFonts w:hint="eastAsia"/>
                <w:kern w:val="0"/>
                <w:sz w:val="24"/>
                <w:szCs w:val="24"/>
                <w:lang w:eastAsia="zh-CN"/>
              </w:rPr>
              <w:t>改建后全厂废</w:t>
            </w:r>
            <w:r>
              <w:rPr>
                <w:rFonts w:hint="eastAsia"/>
                <w:kern w:val="0"/>
                <w:sz w:val="24"/>
                <w:szCs w:val="24"/>
              </w:rPr>
              <w:t>水量</w:t>
            </w:r>
            <w:r>
              <w:rPr>
                <w:rFonts w:hint="eastAsia"/>
                <w:kern w:val="0"/>
                <w:sz w:val="24"/>
                <w:szCs w:val="24"/>
                <w:lang w:val="en-US" w:eastAsia="zh-CN"/>
              </w:rPr>
              <w:t>243.84</w:t>
            </w:r>
            <w:r>
              <w:rPr>
                <w:rFonts w:hint="eastAsia"/>
                <w:kern w:val="0"/>
                <w:sz w:val="24"/>
                <w:szCs w:val="24"/>
              </w:rPr>
              <w:t>t/a，CODCr：</w:t>
            </w:r>
            <w:r>
              <w:rPr>
                <w:rFonts w:hint="eastAsia"/>
                <w:kern w:val="0"/>
                <w:sz w:val="24"/>
                <w:szCs w:val="24"/>
                <w:lang w:val="en-US" w:eastAsia="zh-CN"/>
              </w:rPr>
              <w:t>0.085</w:t>
            </w:r>
            <w:r>
              <w:rPr>
                <w:rFonts w:hint="eastAsia"/>
                <w:kern w:val="0"/>
                <w:sz w:val="24"/>
                <w:szCs w:val="24"/>
              </w:rPr>
              <w:t>t/a</w:t>
            </w:r>
            <w:r>
              <w:rPr>
                <w:rFonts w:hint="eastAsia"/>
                <w:kern w:val="0"/>
                <w:sz w:val="24"/>
                <w:szCs w:val="24"/>
                <w:lang w:val="en-US"/>
              </w:rPr>
              <w:t>、</w:t>
            </w:r>
            <w:r>
              <w:rPr>
                <w:rFonts w:hint="eastAsia"/>
                <w:kern w:val="0"/>
                <w:sz w:val="24"/>
                <w:szCs w:val="24"/>
              </w:rPr>
              <w:t>SS 0.</w:t>
            </w:r>
            <w:r>
              <w:rPr>
                <w:rFonts w:hint="eastAsia"/>
                <w:kern w:val="0"/>
                <w:sz w:val="24"/>
                <w:szCs w:val="24"/>
                <w:lang w:val="en-US" w:eastAsia="zh-CN"/>
              </w:rPr>
              <w:t>049</w:t>
            </w:r>
            <w:r>
              <w:rPr>
                <w:rFonts w:hint="eastAsia"/>
                <w:kern w:val="0"/>
                <w:sz w:val="24"/>
                <w:szCs w:val="24"/>
              </w:rPr>
              <w:t>t/a</w:t>
            </w:r>
            <w:r>
              <w:rPr>
                <w:rFonts w:hint="eastAsia"/>
                <w:kern w:val="0"/>
                <w:sz w:val="24"/>
                <w:szCs w:val="24"/>
                <w:lang w:val="en-US"/>
              </w:rPr>
              <w:t>、</w:t>
            </w:r>
            <w:r>
              <w:rPr>
                <w:rFonts w:hint="eastAsia"/>
                <w:kern w:val="0"/>
                <w:sz w:val="24"/>
                <w:szCs w:val="24"/>
              </w:rPr>
              <w:t>NH3-N</w:t>
            </w:r>
            <w:r>
              <w:rPr>
                <w:rFonts w:hint="eastAsia"/>
                <w:kern w:val="0"/>
                <w:sz w:val="24"/>
                <w:szCs w:val="24"/>
                <w:lang w:val="en-US" w:eastAsia="zh-CN"/>
              </w:rPr>
              <w:t xml:space="preserve"> 0.0085</w:t>
            </w:r>
            <w:r>
              <w:rPr>
                <w:rFonts w:hint="eastAsia"/>
                <w:kern w:val="0"/>
                <w:sz w:val="24"/>
                <w:szCs w:val="24"/>
              </w:rPr>
              <w:t>t/a</w:t>
            </w:r>
            <w:r>
              <w:rPr>
                <w:rFonts w:hint="eastAsia"/>
                <w:kern w:val="0"/>
                <w:sz w:val="24"/>
                <w:szCs w:val="24"/>
                <w:lang w:val="en-US"/>
              </w:rPr>
              <w:t>、</w:t>
            </w:r>
            <w:r>
              <w:rPr>
                <w:rFonts w:hint="eastAsia"/>
                <w:kern w:val="0"/>
                <w:sz w:val="24"/>
                <w:szCs w:val="24"/>
              </w:rPr>
              <w:t>TP 0.00</w:t>
            </w:r>
            <w:r>
              <w:rPr>
                <w:rFonts w:hint="eastAsia"/>
                <w:kern w:val="0"/>
                <w:sz w:val="24"/>
                <w:szCs w:val="24"/>
                <w:lang w:val="en-US" w:eastAsia="zh-CN"/>
              </w:rPr>
              <w:t>12</w:t>
            </w:r>
            <w:r>
              <w:rPr>
                <w:rFonts w:hint="eastAsia"/>
                <w:kern w:val="0"/>
                <w:sz w:val="24"/>
                <w:szCs w:val="24"/>
              </w:rPr>
              <w:t>t/a，TN</w:t>
            </w:r>
            <w:r>
              <w:rPr>
                <w:rFonts w:hint="eastAsia"/>
                <w:kern w:val="0"/>
                <w:sz w:val="24"/>
                <w:szCs w:val="24"/>
                <w:lang w:val="en-US" w:eastAsia="zh-CN"/>
              </w:rPr>
              <w:t xml:space="preserve"> 0.011</w:t>
            </w:r>
            <w:r>
              <w:rPr>
                <w:rFonts w:hint="eastAsia"/>
                <w:kern w:val="0"/>
                <w:sz w:val="24"/>
                <w:szCs w:val="24"/>
              </w:rPr>
              <w:t xml:space="preserve">t/a；最终排放量指标分别为：COD </w:t>
            </w:r>
            <w:r>
              <w:rPr>
                <w:rFonts w:hint="eastAsia"/>
                <w:kern w:val="0"/>
                <w:sz w:val="24"/>
                <w:szCs w:val="24"/>
                <w:lang w:val="en-US" w:eastAsia="zh-CN"/>
              </w:rPr>
              <w:t>0.012</w:t>
            </w:r>
            <w:r>
              <w:rPr>
                <w:rFonts w:hint="eastAsia"/>
                <w:kern w:val="0"/>
                <w:sz w:val="24"/>
                <w:szCs w:val="24"/>
              </w:rPr>
              <w:t>t/a</w:t>
            </w:r>
            <w:r>
              <w:rPr>
                <w:rFonts w:hint="eastAsia"/>
                <w:kern w:val="0"/>
                <w:sz w:val="24"/>
                <w:szCs w:val="24"/>
                <w:lang w:val="en-US"/>
              </w:rPr>
              <w:t>、</w:t>
            </w:r>
            <w:r>
              <w:rPr>
                <w:rFonts w:hint="eastAsia"/>
                <w:kern w:val="0"/>
                <w:sz w:val="24"/>
                <w:szCs w:val="24"/>
              </w:rPr>
              <w:t xml:space="preserve">SS </w:t>
            </w:r>
            <w:r>
              <w:rPr>
                <w:rFonts w:hint="eastAsia"/>
                <w:kern w:val="0"/>
                <w:sz w:val="24"/>
                <w:szCs w:val="24"/>
                <w:lang w:val="en-US" w:eastAsia="zh-CN"/>
              </w:rPr>
              <w:t>0.0022</w:t>
            </w:r>
            <w:r>
              <w:rPr>
                <w:rFonts w:hint="eastAsia"/>
                <w:kern w:val="0"/>
                <w:sz w:val="24"/>
                <w:szCs w:val="24"/>
              </w:rPr>
              <w:t>t/a</w:t>
            </w:r>
            <w:r>
              <w:rPr>
                <w:rFonts w:hint="eastAsia"/>
                <w:kern w:val="0"/>
                <w:sz w:val="24"/>
                <w:szCs w:val="24"/>
                <w:lang w:val="en-US"/>
              </w:rPr>
              <w:t>、</w:t>
            </w:r>
            <w:r>
              <w:rPr>
                <w:rFonts w:hint="eastAsia"/>
                <w:kern w:val="0"/>
                <w:sz w:val="24"/>
                <w:szCs w:val="24"/>
              </w:rPr>
              <w:t xml:space="preserve">NH3-N </w:t>
            </w:r>
            <w:r>
              <w:rPr>
                <w:rFonts w:hint="eastAsia"/>
                <w:kern w:val="0"/>
                <w:sz w:val="24"/>
                <w:szCs w:val="24"/>
                <w:lang w:val="en-US" w:eastAsia="zh-CN"/>
              </w:rPr>
              <w:t>0.0012</w:t>
            </w:r>
            <w:r>
              <w:rPr>
                <w:rFonts w:hint="eastAsia"/>
                <w:kern w:val="0"/>
                <w:sz w:val="24"/>
                <w:szCs w:val="24"/>
              </w:rPr>
              <w:t>t/a</w:t>
            </w:r>
            <w:r>
              <w:rPr>
                <w:rFonts w:hint="eastAsia"/>
                <w:kern w:val="0"/>
                <w:sz w:val="24"/>
                <w:szCs w:val="24"/>
                <w:lang w:val="en-US"/>
              </w:rPr>
              <w:t>、</w:t>
            </w:r>
            <w:r>
              <w:rPr>
                <w:rFonts w:hint="eastAsia"/>
                <w:kern w:val="0"/>
                <w:sz w:val="24"/>
                <w:szCs w:val="24"/>
              </w:rPr>
              <w:t xml:space="preserve">TP </w:t>
            </w:r>
            <w:r>
              <w:rPr>
                <w:rFonts w:hint="eastAsia"/>
                <w:kern w:val="0"/>
                <w:sz w:val="24"/>
                <w:szCs w:val="24"/>
                <w:lang w:val="en-US" w:eastAsia="zh-CN"/>
              </w:rPr>
              <w:t>0.00012</w:t>
            </w:r>
            <w:r>
              <w:rPr>
                <w:rFonts w:hint="eastAsia"/>
                <w:kern w:val="0"/>
                <w:sz w:val="24"/>
                <w:szCs w:val="24"/>
              </w:rPr>
              <w:t>t/a、TN</w:t>
            </w:r>
            <w:r>
              <w:rPr>
                <w:rFonts w:hint="eastAsia"/>
                <w:kern w:val="0"/>
                <w:sz w:val="24"/>
                <w:szCs w:val="24"/>
                <w:lang w:val="en-US" w:eastAsia="zh-CN"/>
              </w:rPr>
              <w:t>0.0037</w:t>
            </w:r>
            <w:r>
              <w:rPr>
                <w:rFonts w:hint="eastAsia"/>
                <w:kern w:val="0"/>
                <w:sz w:val="24"/>
                <w:szCs w:val="24"/>
              </w:rPr>
              <w:t>t/a</w:t>
            </w:r>
            <w:r>
              <w:rPr>
                <w:rFonts w:hint="eastAsia"/>
                <w:sz w:val="24"/>
                <w:szCs w:val="24"/>
              </w:rPr>
              <w:t>。</w:t>
            </w:r>
            <w:r>
              <w:rPr>
                <w:rFonts w:hint="eastAsia"/>
                <w:kern w:val="0"/>
                <w:sz w:val="24"/>
                <w:szCs w:val="24"/>
              </w:rPr>
              <w:t>水污染物总量在宜兴市华骐污水处理有限公司平衡。</w:t>
            </w:r>
          </w:p>
          <w:p>
            <w:pPr>
              <w:autoSpaceDE w:val="0"/>
              <w:autoSpaceDN w:val="0"/>
              <w:adjustRightInd w:val="0"/>
              <w:spacing w:line="360" w:lineRule="auto"/>
              <w:ind w:firstLine="482" w:firstLineChars="200"/>
              <w:jc w:val="left"/>
              <w:rPr>
                <w:kern w:val="0"/>
                <w:sz w:val="24"/>
                <w:szCs w:val="24"/>
              </w:rPr>
            </w:pPr>
            <w:r>
              <w:rPr>
                <w:rFonts w:hint="eastAsia"/>
                <w:b/>
                <w:bCs/>
                <w:kern w:val="0"/>
                <w:sz w:val="24"/>
                <w:szCs w:val="24"/>
              </w:rPr>
              <w:t>固废：</w:t>
            </w:r>
            <w:r>
              <w:rPr>
                <w:rFonts w:hint="eastAsia"/>
                <w:kern w:val="0"/>
                <w:sz w:val="24"/>
                <w:szCs w:val="24"/>
              </w:rPr>
              <w:t>本项目营运期的固废主要为</w:t>
            </w:r>
            <w:r>
              <w:rPr>
                <w:rFonts w:hint="eastAsia"/>
                <w:kern w:val="0"/>
                <w:sz w:val="24"/>
                <w:szCs w:val="24"/>
                <w:lang w:eastAsia="zh-CN"/>
              </w:rPr>
              <w:t>次品、废包装袋、收集粉尘、</w:t>
            </w:r>
            <w:r>
              <w:rPr>
                <w:rFonts w:hint="eastAsia"/>
                <w:kern w:val="0"/>
                <w:sz w:val="24"/>
                <w:szCs w:val="24"/>
              </w:rPr>
              <w:t>生活垃圾等，本项目生产过程产生</w:t>
            </w:r>
            <w:r>
              <w:rPr>
                <w:rFonts w:hint="eastAsia"/>
                <w:kern w:val="0"/>
                <w:sz w:val="24"/>
                <w:szCs w:val="24"/>
                <w:lang w:val="en-US"/>
              </w:rPr>
              <w:t>次品收集后</w:t>
            </w:r>
            <w:r>
              <w:rPr>
                <w:rFonts w:hint="eastAsia"/>
                <w:kern w:val="0"/>
                <w:sz w:val="24"/>
                <w:szCs w:val="24"/>
              </w:rPr>
              <w:t>统一外售；</w:t>
            </w:r>
            <w:r>
              <w:rPr>
                <w:rFonts w:hint="eastAsia"/>
                <w:kern w:val="0"/>
                <w:sz w:val="24"/>
                <w:szCs w:val="24"/>
                <w:lang w:val="en-US"/>
              </w:rPr>
              <w:t>废包装袋收集后</w:t>
            </w:r>
            <w:r>
              <w:rPr>
                <w:rFonts w:hint="eastAsia"/>
                <w:kern w:val="0"/>
                <w:sz w:val="24"/>
                <w:szCs w:val="24"/>
              </w:rPr>
              <w:t>统一外售；</w:t>
            </w:r>
            <w:r>
              <w:rPr>
                <w:rFonts w:hint="eastAsia"/>
                <w:kern w:val="0"/>
                <w:sz w:val="24"/>
                <w:szCs w:val="24"/>
                <w:lang w:val="en-US"/>
              </w:rPr>
              <w:t>收集</w:t>
            </w:r>
            <w:r>
              <w:rPr>
                <w:rFonts w:hint="eastAsia"/>
                <w:kern w:val="0"/>
                <w:sz w:val="24"/>
                <w:szCs w:val="24"/>
              </w:rPr>
              <w:t>粉尘</w:t>
            </w:r>
            <w:r>
              <w:rPr>
                <w:rFonts w:hint="eastAsia"/>
                <w:kern w:val="0"/>
                <w:sz w:val="24"/>
                <w:szCs w:val="24"/>
                <w:lang w:val="en-US"/>
              </w:rPr>
              <w:t>收集后</w:t>
            </w:r>
            <w:r>
              <w:rPr>
                <w:rFonts w:hint="eastAsia"/>
                <w:kern w:val="0"/>
                <w:sz w:val="24"/>
                <w:szCs w:val="24"/>
              </w:rPr>
              <w:t>回用于生产；</w:t>
            </w:r>
            <w:r>
              <w:rPr>
                <w:rFonts w:hint="eastAsia" w:hAnsi="宋体"/>
                <w:kern w:val="0"/>
                <w:sz w:val="24"/>
                <w:szCs w:val="24"/>
              </w:rPr>
              <w:t>职工生活垃圾收集后由环卫部门统一清运。</w:t>
            </w: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tc>
      </w:tr>
    </w:tbl>
    <w:p>
      <w:pPr>
        <w:rPr>
          <w:kern w:val="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1" w:name="_Toc386379877"/>
      <w:bookmarkStart w:id="32" w:name="_Toc199814214"/>
      <w:bookmarkStart w:id="33" w:name="_Toc367970828"/>
      <w:bookmarkStart w:id="34" w:name="_Toc303260177"/>
      <w:bookmarkStart w:id="35" w:name="_Toc367970634"/>
      <w:bookmarkStart w:id="36" w:name="_Toc294082156"/>
      <w:bookmarkStart w:id="37" w:name="_Toc367970389"/>
    </w:p>
    <w:p>
      <w:pPr>
        <w:pStyle w:val="4"/>
        <w:spacing w:line="240" w:lineRule="auto"/>
        <w:jc w:val="both"/>
        <w:rPr>
          <w:bCs w:val="0"/>
          <w:spacing w:val="0"/>
          <w:kern w:val="0"/>
          <w:sz w:val="32"/>
          <w:szCs w:val="32"/>
        </w:rPr>
      </w:pPr>
      <w:r>
        <w:rPr>
          <w:bCs w:val="0"/>
          <w:spacing w:val="0"/>
          <w:kern w:val="0"/>
          <w:sz w:val="32"/>
          <w:szCs w:val="32"/>
        </w:rPr>
        <w:t>5</w:t>
      </w:r>
      <w:r>
        <w:rPr>
          <w:rFonts w:hAnsi="宋体"/>
          <w:bCs w:val="0"/>
          <w:spacing w:val="0"/>
          <w:kern w:val="0"/>
          <w:sz w:val="32"/>
          <w:szCs w:val="32"/>
        </w:rPr>
        <w:t>、建设项目工程分析</w:t>
      </w:r>
      <w:bookmarkEnd w:id="31"/>
      <w:bookmarkEnd w:id="32"/>
      <w:bookmarkEnd w:id="33"/>
      <w:bookmarkEnd w:id="34"/>
      <w:bookmarkEnd w:id="35"/>
      <w:bookmarkEnd w:id="36"/>
      <w:bookmarkEnd w:id="37"/>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9" w:type="dxa"/>
            <w:vAlign w:val="center"/>
          </w:tcPr>
          <w:p>
            <w:pPr>
              <w:adjustRightInd w:val="0"/>
              <w:snapToGrid w:val="0"/>
              <w:spacing w:line="360" w:lineRule="auto"/>
              <w:jc w:val="left"/>
              <w:rPr>
                <w:rFonts w:hAnsi="宋体"/>
                <w:b/>
                <w:bCs/>
                <w:sz w:val="28"/>
                <w:szCs w:val="24"/>
              </w:rPr>
            </w:pPr>
            <w:r>
              <w:rPr>
                <w:rFonts w:hint="eastAsia" w:hAnsi="宋体"/>
                <w:b/>
                <w:bCs/>
                <w:sz w:val="28"/>
                <w:szCs w:val="24"/>
              </w:rPr>
              <w:t>一、</w:t>
            </w:r>
            <w:r>
              <w:rPr>
                <w:rFonts w:hAnsi="宋体"/>
                <w:b/>
                <w:bCs/>
                <w:sz w:val="28"/>
                <w:szCs w:val="24"/>
              </w:rPr>
              <w:t>施工期工程分析</w:t>
            </w:r>
          </w:p>
          <w:p>
            <w:pPr>
              <w:spacing w:line="360" w:lineRule="auto"/>
              <w:ind w:firstLine="480" w:firstLineChars="200"/>
              <w:rPr>
                <w:b/>
                <w:sz w:val="24"/>
                <w:lang w:val="en-US"/>
              </w:rPr>
            </w:pPr>
            <w:r>
              <w:rPr>
                <w:sz w:val="24"/>
                <w:szCs w:val="24"/>
              </w:rPr>
              <w:t>本项目租用现有厂房</w:t>
            </w:r>
            <w:r>
              <w:rPr>
                <w:rFonts w:hint="eastAsia"/>
                <w:sz w:val="24"/>
                <w:szCs w:val="24"/>
              </w:rPr>
              <w:t>内生产车间</w:t>
            </w:r>
            <w:r>
              <w:rPr>
                <w:sz w:val="24"/>
                <w:szCs w:val="24"/>
              </w:rPr>
              <w:t>进行生产，施工期工程主要包括厂房内部布局调整、设备的购买、安装、调试等；公用工程和辅助工程包括贮运工程、环保工程和其它配套工程的完善建设，由于工期短，不涉及土建，故施工期流程不做详细分析。</w:t>
            </w:r>
          </w:p>
          <w:p>
            <w:pPr>
              <w:overflowPunct w:val="0"/>
              <w:autoSpaceDE w:val="0"/>
              <w:autoSpaceDN w:val="0"/>
              <w:adjustRightInd w:val="0"/>
              <w:snapToGrid w:val="0"/>
              <w:spacing w:line="360" w:lineRule="auto"/>
              <w:rPr>
                <w:rFonts w:hint="eastAsia" w:hAnsi="宋体"/>
                <w:b/>
                <w:bCs/>
                <w:sz w:val="28"/>
                <w:szCs w:val="24"/>
              </w:rPr>
            </w:pPr>
            <w:r>
              <w:rPr>
                <w:rFonts w:hint="eastAsia" w:hAnsi="宋体"/>
                <w:b/>
                <w:bCs/>
                <w:sz w:val="28"/>
                <w:szCs w:val="24"/>
              </w:rPr>
              <w:t>二、</w:t>
            </w:r>
            <w:r>
              <w:rPr>
                <w:rFonts w:hAnsi="宋体"/>
                <w:b/>
                <w:bCs/>
                <w:sz w:val="28"/>
                <w:szCs w:val="24"/>
              </w:rPr>
              <w:t>营运期工程分析</w:t>
            </w:r>
          </w:p>
          <w:p>
            <w:pPr>
              <w:adjustRightInd w:val="0"/>
              <w:snapToGrid w:val="0"/>
              <w:spacing w:line="360" w:lineRule="auto"/>
              <w:rPr>
                <w:rFonts w:hint="eastAsia" w:hAnsi="宋体"/>
                <w:sz w:val="24"/>
                <w:szCs w:val="24"/>
              </w:rPr>
            </w:pPr>
            <w:r>
              <w:rPr>
                <w:rFonts w:hint="eastAsia" w:hAnsi="宋体"/>
                <w:sz w:val="24"/>
                <w:szCs w:val="24"/>
              </w:rPr>
              <w:t>1、工艺流程简述</w:t>
            </w:r>
          </w:p>
          <w:p>
            <w:pPr>
              <w:pStyle w:val="2"/>
              <w:ind w:firstLine="480" w:firstLineChars="200"/>
              <w:rPr>
                <w:rFonts w:hint="eastAsia"/>
                <w:sz w:val="24"/>
              </w:rPr>
            </w:pPr>
            <w:r>
              <w:rPr>
                <w:sz w:val="24"/>
              </w:rPr>
              <w:pict>
                <v:rect id="_x0000_s7562" o:spid="_x0000_s7562" o:spt="1" style="position:absolute;left:0pt;margin-left:122pt;margin-top:21.05pt;height:19.95pt;width:173.45pt;z-index:251851776;mso-width-relative:page;mso-height-relative:page;" fillcolor="#FFFFFF" filled="t" stroked="f" coordsize="21600,21600">
                  <v:path/>
                  <v:fill on="t" color2="#FFFFFF" focussize="0,0"/>
                  <v:stroke on="f" weight="0.25pt" endarrow="block"/>
                  <v:imagedata o:title=""/>
                  <o:lock v:ext="edit" aspectratio="f"/>
                  <v:textbox>
                    <w:txbxContent>
                      <w:p>
                        <w:pPr>
                          <w:rPr>
                            <w:rFonts w:hint="eastAsia" w:eastAsia="宋体"/>
                            <w:lang w:eastAsia="zh-CN"/>
                          </w:rPr>
                        </w:pPr>
                        <w:r>
                          <w:rPr>
                            <w:rFonts w:hint="eastAsia"/>
                            <w:lang w:eastAsia="zh-CN"/>
                          </w:rPr>
                          <w:t>滑石粉、高岭土、硫酸钡、氧化铝</w:t>
                        </w:r>
                      </w:p>
                    </w:txbxContent>
                  </v:textbox>
                </v:rect>
              </w:pict>
            </w:r>
            <w:r>
              <w:rPr>
                <w:rFonts w:hint="eastAsia"/>
                <w:sz w:val="24"/>
                <w:szCs w:val="24"/>
                <w:lang w:eastAsia="zh-CN"/>
              </w:rPr>
              <w:t>瓷件</w:t>
            </w:r>
            <w:r>
              <w:rPr>
                <w:rFonts w:hint="eastAsia"/>
                <w:sz w:val="24"/>
                <w:szCs w:val="24"/>
              </w:rPr>
              <w:t>生产工艺及产污环节：</w:t>
            </w:r>
          </w:p>
          <w:p>
            <w:pPr>
              <w:pStyle w:val="3"/>
              <w:rPr>
                <w:rFonts w:hint="eastAsia"/>
                <w:sz w:val="24"/>
              </w:rPr>
            </w:pPr>
            <w:r>
              <w:rPr>
                <w:sz w:val="24"/>
              </w:rPr>
              <w:pict>
                <v:line id="_x0000_s7563" o:spid="_x0000_s7563" o:spt="20" style="position:absolute;left:0pt;margin-left:204.45pt;margin-top:15.35pt;height:18.6pt;width:0.05pt;z-index:251852800;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rect id="_x0000_s7585" o:spid="_x0000_s7585" o:spt="1" style="position:absolute;left:0pt;margin-left:269.35pt;margin-top:8.4pt;height:19.3pt;width:28.55pt;z-index:1655680000;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G1</w:t>
                        </w:r>
                      </w:p>
                    </w:txbxContent>
                  </v:textbox>
                </v:rect>
              </w:pict>
            </w:r>
            <w:r>
              <w:rPr>
                <w:sz w:val="24"/>
              </w:rPr>
              <w:pict>
                <v:line id="_x0000_s7584" o:spid="_x0000_s7584" o:spt="20" style="position:absolute;left:0pt;flip:y;margin-left:227.15pt;margin-top:18.3pt;height:0.6pt;width:34.75pt;z-index:1581702144;mso-width-relative:page;mso-height-relative:page;" filled="f" stroked="t" coordsize="21600,21600">
                  <v:path arrowok="t"/>
                  <v:fill on="f" focussize="0,0"/>
                  <v:stroke weight="0.25pt" color="#000000" dashstyle="dash" endarrow="block"/>
                  <v:imagedata o:title=""/>
                  <o:lock v:ext="edit" aspectratio="f"/>
                </v:line>
              </w:pict>
            </w:r>
            <w:r>
              <w:rPr>
                <w:sz w:val="24"/>
              </w:rPr>
              <w:pict>
                <v:rect id="_x0000_s7564" o:spid="_x0000_s7564" o:spt="1" style="position:absolute;left:0pt;margin-left:186.05pt;margin-top:8.2pt;height:20pt;width:38.35pt;z-index:252047360;mso-width-relative:page;mso-height-relative:page;" fillcolor="#FFFFFF" filled="t" stroked="t" coordsize="21600,21600">
                  <v:path/>
                  <v:fill on="t" color2="#FFFFFF" focussize="0,0"/>
                  <v:stroke weight="0.25pt" color="#000000"/>
                  <v:imagedata o:title=""/>
                  <o:lock v:ext="edit" aspectratio="f"/>
                  <v:textbox>
                    <w:txbxContent>
                      <w:p>
                        <w:pPr>
                          <w:rPr>
                            <w:rFonts w:hint="eastAsia" w:eastAsia="宋体"/>
                            <w:lang w:eastAsia="zh-CN"/>
                          </w:rPr>
                        </w:pPr>
                        <w:r>
                          <w:rPr>
                            <w:rFonts w:hint="eastAsia"/>
                            <w:lang w:eastAsia="zh-CN"/>
                          </w:rPr>
                          <w:t>投料</w:t>
                        </w:r>
                      </w:p>
                    </w:txbxContent>
                  </v:textbox>
                </v:rect>
              </w:pict>
            </w:r>
          </w:p>
          <w:p>
            <w:pPr>
              <w:pStyle w:val="3"/>
              <w:rPr>
                <w:rFonts w:hint="eastAsia"/>
                <w:sz w:val="24"/>
              </w:rPr>
            </w:pPr>
            <w:r>
              <w:rPr>
                <w:sz w:val="24"/>
              </w:rPr>
              <w:pict>
                <v:rect id="_x0000_s7586" o:spid="_x0000_s7586" o:spt="1" style="position:absolute;left:0pt;margin-left:262.7pt;margin-top:22.05pt;height:18.55pt;width:55.25pt;z-index:-1235264512;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G2、N</w:t>
                        </w:r>
                      </w:p>
                    </w:txbxContent>
                  </v:textbox>
                </v:rect>
              </w:pict>
            </w:r>
            <w:r>
              <w:rPr>
                <w:sz w:val="24"/>
              </w:rPr>
              <w:pict>
                <v:rect id="_x0000_s7566" o:spid="_x0000_s7566" o:spt="1" style="position:absolute;left:0pt;margin-left:185.05pt;margin-top:21.85pt;height:20pt;width:40.3pt;z-index:252633088;mso-width-relative:page;mso-height-relative:page;" fillcolor="#FFFFFF" filled="t" stroked="t" coordsize="21600,21600">
                  <v:path/>
                  <v:fill on="t" color2="#FFFFFF" focussize="0,0"/>
                  <v:stroke weight="0.25pt" color="#000000"/>
                  <v:imagedata o:title=""/>
                  <o:lock v:ext="edit" aspectratio="f"/>
                  <v:textbox>
                    <w:txbxContent>
                      <w:p>
                        <w:pPr>
                          <w:rPr>
                            <w:rFonts w:hint="eastAsia" w:eastAsia="宋体"/>
                            <w:lang w:eastAsia="zh-CN"/>
                          </w:rPr>
                        </w:pPr>
                        <w:r>
                          <w:rPr>
                            <w:rFonts w:hint="eastAsia"/>
                            <w:lang w:eastAsia="zh-CN"/>
                          </w:rPr>
                          <w:t>球磨</w:t>
                        </w:r>
                      </w:p>
                    </w:txbxContent>
                  </v:textbox>
                </v:rect>
              </w:pict>
            </w:r>
            <w:r>
              <w:rPr>
                <w:sz w:val="24"/>
              </w:rPr>
              <w:pict>
                <v:line id="_x0000_s7565" o:spid="_x0000_s7565" o:spt="20" style="position:absolute;left:0pt;margin-left:204.05pt;margin-top:3.45pt;height:18.6pt;width:0.05pt;z-index:252242944;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line id="_x0000_s7583" o:spid="_x0000_s7583" o:spt="20" style="position:absolute;left:0pt;flip:y;margin-left:228.1pt;margin-top:6.5pt;height:0.6pt;width:34.75pt;z-index:916679680;mso-width-relative:page;mso-height-relative:page;" filled="f" stroked="t" coordsize="21600,21600">
                  <v:path arrowok="t"/>
                  <v:fill on="f" focussize="0,0"/>
                  <v:stroke weight="0.25pt" color="#000000" dashstyle="dash" endarrow="block"/>
                  <v:imagedata o:title=""/>
                  <o:lock v:ext="edit" aspectratio="f"/>
                </v:line>
              </w:pict>
            </w:r>
            <w:r>
              <w:rPr>
                <w:sz w:val="24"/>
              </w:rPr>
              <w:pict>
                <v:line id="_x0000_s7567" o:spid="_x0000_s7567" o:spt="20" style="position:absolute;left:0pt;margin-left:203.7pt;margin-top:17.75pt;height:18.6pt;width:0.05pt;z-index:253218816;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line id="_x0000_s7587" o:spid="_x0000_s7587" o:spt="20" style="position:absolute;left:0pt;flip:y;margin-left:250pt;margin-top:20.75pt;height:0.6pt;width:34.75pt;z-index:-570242048;mso-width-relative:page;mso-height-relative:page;" filled="f" stroked="t" coordsize="21600,21600">
                  <v:path arrowok="t"/>
                  <v:fill on="f" focussize="0,0"/>
                  <v:stroke weight="0.25pt" color="#000000" dashstyle="dash" endarrow="block"/>
                  <v:imagedata o:title=""/>
                  <o:lock v:ext="edit" aspectratio="f"/>
                </v:line>
              </w:pict>
            </w:r>
            <w:r>
              <w:rPr>
                <w:sz w:val="24"/>
              </w:rPr>
              <w:pict>
                <v:rect id="_x0000_s7588" o:spid="_x0000_s7588" o:spt="1" style="position:absolute;left:0pt;margin-left:283.85pt;margin-top:11.1pt;height:22.3pt;width:73.15pt;z-index:833780736;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G3、G4、N</w:t>
                        </w:r>
                      </w:p>
                    </w:txbxContent>
                  </v:textbox>
                </v:rect>
              </w:pict>
            </w:r>
            <w:r>
              <w:rPr>
                <w:sz w:val="24"/>
              </w:rPr>
              <w:pict>
                <v:rect id="_x0000_s7580" o:spid="_x0000_s7580" o:spt="1" style="position:absolute;left:0pt;margin-left:89.65pt;margin-top:9pt;height:21.9pt;width:45.9pt;z-index:473396224;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lang w:eastAsia="zh-CN"/>
                          </w:rPr>
                        </w:pPr>
                        <w:r>
                          <w:rPr>
                            <w:rFonts w:hint="eastAsia"/>
                            <w:lang w:eastAsia="zh-CN"/>
                          </w:rPr>
                          <w:t>天然气</w:t>
                        </w:r>
                      </w:p>
                    </w:txbxContent>
                  </v:textbox>
                </v:rect>
              </w:pict>
            </w:r>
            <w:r>
              <w:rPr>
                <w:sz w:val="24"/>
              </w:rPr>
              <w:pict>
                <v:line id="_x0000_s7579" o:spid="_x0000_s7579" o:spt="20" style="position:absolute;left:0pt;flip:y;margin-left:129.6pt;margin-top:19.35pt;height:0.6pt;width:34.75pt;z-index:399418368;mso-width-relative:page;mso-height-relative:page;" fillcolor="#FFFFFF" filled="t" stroked="t" coordsize="21600,21600">
                  <v:path arrowok="t"/>
                  <v:fill on="t" color2="#FFFFFF" focussize="0,0"/>
                  <v:stroke weight="0.25pt" color="#000000" endarrow="block"/>
                  <v:imagedata o:title=""/>
                  <o:lock v:ext="edit" aspectratio="f"/>
                </v:line>
              </w:pict>
            </w:r>
            <w:r>
              <w:rPr>
                <w:sz w:val="24"/>
              </w:rPr>
              <w:pict>
                <v:rect id="_x0000_s7568" o:spid="_x0000_s7568" o:spt="1" style="position:absolute;left:0pt;margin-left:164.8pt;margin-top:10.55pt;height:20pt;width:81.25pt;z-index:254194688;mso-width-relative:page;mso-height-relative:page;" fillcolor="#FFFFFF" filled="t" stroked="t" coordsize="21600,21600">
                  <v:path/>
                  <v:fill on="t" color2="#FFFFFF"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rPr>
                            <w:rFonts w:hint="eastAsia"/>
                            <w:lang w:eastAsia="zh-CN"/>
                          </w:rPr>
                          <w:t>喷雾干燥造粒</w:t>
                        </w:r>
                      </w:p>
                    </w:txbxContent>
                  </v:textbox>
                </v:rect>
              </w:pict>
            </w:r>
          </w:p>
          <w:p>
            <w:pPr>
              <w:pStyle w:val="3"/>
              <w:rPr>
                <w:rFonts w:hint="eastAsia"/>
                <w:sz w:val="24"/>
              </w:rPr>
            </w:pPr>
            <w:r>
              <w:rPr>
                <w:sz w:val="24"/>
              </w:rPr>
              <w:pict>
                <v:rect id="_x0000_s7594" o:spid="_x0000_s7594" o:spt="1" style="position:absolute;left:0pt;margin-left:277.2pt;margin-top:19.8pt;height:19.3pt;width:28.55pt;z-index:1093229568;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N</w:t>
                        </w:r>
                      </w:p>
                    </w:txbxContent>
                  </v:textbox>
                </v:rect>
              </w:pict>
            </w:r>
            <w:r>
              <w:rPr>
                <w:sz w:val="24"/>
              </w:rPr>
              <w:pict>
                <v:rect id="_x0000_s7570" o:spid="_x0000_s7570" o:spt="1" style="position:absolute;left:0pt;margin-left:176.2pt;margin-top:22.35pt;height:19.55pt;width:59.65pt;z-index:258293760;mso-width-relative:page;mso-height-relative:page;" fillcolor="#FFFFFF" filled="t" stroked="t" coordsize="21600,21600">
                  <v:path/>
                  <v:fill on="t" color2="#FFFFFF"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rPr>
                            <w:rFonts w:hint="eastAsia"/>
                            <w:lang w:eastAsia="zh-CN"/>
                          </w:rPr>
                          <w:t>干压成型</w:t>
                        </w:r>
                      </w:p>
                    </w:txbxContent>
                  </v:textbox>
                </v:rect>
              </w:pict>
            </w:r>
            <w:r>
              <w:rPr>
                <w:sz w:val="24"/>
              </w:rPr>
              <w:pict>
                <v:line id="_x0000_s7569" o:spid="_x0000_s7569" o:spt="20" style="position:absolute;left:0pt;margin-left:205.2pt;margin-top:5.75pt;height:18.6pt;width:0.05pt;z-index:255756288;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line id="_x0000_s7593" o:spid="_x0000_s7593" o:spt="20" style="position:absolute;left:0pt;flip:y;margin-left:238.05pt;margin-top:5.3pt;height:0.6pt;width:34.75pt;z-index:-1954591744;mso-width-relative:page;mso-height-relative:page;" filled="f" stroked="t" coordsize="21600,21600">
                  <v:path arrowok="t"/>
                  <v:fill on="f" focussize="0,0"/>
                  <v:stroke weight="0.25pt" color="#000000" dashstyle="dash" endarrow="block"/>
                  <v:imagedata o:title=""/>
                  <o:lock v:ext="edit" aspectratio="f"/>
                </v:line>
              </w:pict>
            </w:r>
            <w:r>
              <w:rPr>
                <w:sz w:val="24"/>
              </w:rPr>
              <w:pict>
                <v:line id="_x0000_s7571" o:spid="_x0000_s7571" o:spt="20" style="position:absolute;left:0pt;margin-left:205.45pt;margin-top:15.7pt;height:18.6pt;width:0.05pt;z-index:262392832;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line id="_x0000_s7589" o:spid="_x0000_s7589" o:spt="20" style="position:absolute;left:0pt;flip:y;margin-left:230.35pt;margin-top:17.9pt;height:0.6pt;width:34.75pt;z-index:11881472;mso-width-relative:page;mso-height-relative:page;" filled="f" stroked="t" coordsize="21600,21600">
                  <v:path arrowok="t"/>
                  <v:fill on="f" focussize="0,0"/>
                  <v:stroke weight="0.25pt" color="#000000" dashstyle="dash" endarrow="block"/>
                  <v:imagedata o:title=""/>
                  <o:lock v:ext="edit" aspectratio="f"/>
                </v:line>
              </w:pict>
            </w:r>
            <w:r>
              <w:rPr>
                <w:sz w:val="24"/>
              </w:rPr>
              <w:pict>
                <v:rect id="_x0000_s7590" o:spid="_x0000_s7590" o:spt="1" style="position:absolute;left:0pt;margin-left:270.45pt;margin-top:9.45pt;height:22.3pt;width:73.15pt;z-index:1415904256;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G5、N</w:t>
                        </w:r>
                      </w:p>
                    </w:txbxContent>
                  </v:textbox>
                </v:rect>
              </w:pict>
            </w:r>
            <w:r>
              <w:rPr>
                <w:sz w:val="24"/>
              </w:rPr>
              <w:pict>
                <v:rect id="_x0000_s7582" o:spid="_x0000_s7582" o:spt="1" style="position:absolute;left:0pt;margin-left:110.35pt;margin-top:9.85pt;height:21.9pt;width:45.9pt;z-index:842896384;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lang w:eastAsia="zh-CN"/>
                          </w:rPr>
                        </w:pPr>
                        <w:r>
                          <w:rPr>
                            <w:rFonts w:hint="eastAsia"/>
                            <w:lang w:eastAsia="zh-CN"/>
                          </w:rPr>
                          <w:t>天然气</w:t>
                        </w:r>
                      </w:p>
                    </w:txbxContent>
                  </v:textbox>
                </v:rect>
              </w:pict>
            </w:r>
            <w:r>
              <w:rPr>
                <w:sz w:val="24"/>
              </w:rPr>
              <w:pict>
                <v:line id="_x0000_s7581" o:spid="_x0000_s7581" o:spt="20" style="position:absolute;left:0pt;flip:y;margin-left:155.2pt;margin-top:17.75pt;height:0.6pt;width:31.7pt;z-index:621157376;mso-width-relative:page;mso-height-relative:page;" filled="f" stroked="t" coordsize="21600,21600">
                  <v:path arrowok="t"/>
                  <v:fill on="f" focussize="0,0"/>
                  <v:stroke weight="0.25pt" color="#000000" endarrow="block"/>
                  <v:imagedata o:title=""/>
                  <o:lock v:ext="edit" aspectratio="f"/>
                </v:line>
              </w:pict>
            </w:r>
            <w:r>
              <w:rPr>
                <w:sz w:val="24"/>
              </w:rPr>
              <w:pict>
                <v:rect id="_x0000_s7572" o:spid="_x0000_s7572" o:spt="1" style="position:absolute;left:0pt;margin-left:187.6pt;margin-top:9.1pt;height:19.35pt;width:39.25pt;z-index:269029376;mso-width-relative:page;mso-height-relative:page;" fillcolor="#FFFFFF" filled="t" stroked="t" coordsize="21600,21600">
                  <v:path/>
                  <v:fill on="t" color2="#FFFFFF"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rPr>
                            <w:rFonts w:hint="eastAsia"/>
                            <w:lang w:eastAsia="zh-CN"/>
                          </w:rPr>
                          <w:t>烧成</w:t>
                        </w:r>
                      </w:p>
                    </w:txbxContent>
                  </v:textbox>
                </v:rect>
              </w:pict>
            </w:r>
          </w:p>
          <w:p>
            <w:pPr>
              <w:pStyle w:val="3"/>
              <w:rPr>
                <w:rFonts w:hint="eastAsia"/>
                <w:sz w:val="24"/>
              </w:rPr>
            </w:pPr>
            <w:r>
              <w:rPr>
                <w:sz w:val="24"/>
              </w:rPr>
              <w:pict>
                <v:rect id="_x0000_s7592" o:spid="_x0000_s7592" o:spt="1" style="position:absolute;left:0pt;margin-left:266.3pt;margin-top:22.45pt;height:20.45pt;width:36.7pt;z-index:-1714816000;mso-width-relative:page;mso-height-relative:page;" fillcolor="#FFFFFF" filled="t" stroked="f" coordsize="21600,21600">
                  <v:path/>
                  <v:fill on="t" color2="#FFFFFF" focussize="0,0"/>
                  <v:stroke on="f" weight="0.25pt"/>
                  <v:imagedata o:title=""/>
                  <o:lock v:ext="edit" aspectratio="f"/>
                  <v:textbox>
                    <w:txbxContent>
                      <w:p>
                        <w:pPr>
                          <w:rPr>
                            <w:rFonts w:hint="default" w:eastAsia="宋体"/>
                            <w:lang w:val="en-US" w:eastAsia="zh-CN"/>
                          </w:rPr>
                        </w:pPr>
                        <w:r>
                          <w:rPr>
                            <w:rFonts w:hint="eastAsia"/>
                            <w:lang w:val="en-US" w:eastAsia="zh-CN"/>
                          </w:rPr>
                          <w:t>S1</w:t>
                        </w:r>
                      </w:p>
                    </w:txbxContent>
                  </v:textbox>
                </v:rect>
              </w:pict>
            </w:r>
            <w:r>
              <w:rPr>
                <w:sz w:val="24"/>
              </w:rPr>
              <w:pict>
                <v:rect id="_x0000_s7574" o:spid="_x0000_s7574" o:spt="1" style="position:absolute;left:0pt;margin-left:187.8pt;margin-top:22.75pt;height:19.3pt;width:38pt;z-index:297137152;mso-width-relative:page;mso-height-relative:page;" fillcolor="#FFFFFF" filled="t" stroked="t" coordsize="21600,21600">
                  <v:path/>
                  <v:fill on="t" color2="#FFFFFF"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rPr>
                            <w:rFonts w:hint="eastAsia"/>
                            <w:lang w:eastAsia="zh-CN"/>
                          </w:rPr>
                          <w:t>检验</w:t>
                        </w:r>
                      </w:p>
                    </w:txbxContent>
                  </v:textbox>
                </v:rect>
              </w:pict>
            </w:r>
            <w:r>
              <w:rPr>
                <w:sz w:val="24"/>
              </w:rPr>
              <w:pict>
                <v:line id="_x0000_s7573" o:spid="_x0000_s7573" o:spt="20" style="position:absolute;left:0pt;margin-left:206.95pt;margin-top:4.35pt;height:18.6pt;width:0.05pt;z-index:279764992;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line id="_x0000_s7591" o:spid="_x0000_s7591" o:spt="20" style="position:absolute;left:0pt;flip:y;margin-left:228.75pt;margin-top:7.2pt;height:0.6pt;width:34.75pt;z-index:1176128512;mso-width-relative:page;mso-height-relative:page;" filled="f" stroked="t" coordsize="21600,21600">
                  <v:path arrowok="t"/>
                  <v:fill on="f" focussize="0,0"/>
                  <v:stroke weight="0.25pt" color="#000000" dashstyle="dash" endarrow="block"/>
                  <v:imagedata o:title=""/>
                  <o:lock v:ext="edit" aspectratio="f"/>
                </v:line>
              </w:pict>
            </w:r>
            <w:r>
              <w:rPr>
                <w:sz w:val="24"/>
              </w:rPr>
              <w:pict>
                <v:line id="_x0000_s7575" o:spid="_x0000_s7575" o:spt="20" style="position:absolute;left:0pt;margin-left:207.8pt;margin-top:18pt;height:18.6pt;width:0.05pt;z-index:325244928;mso-width-relative:page;mso-height-relative:page;" fillcolor="#FFFFFF" filled="t" stroked="t" coordsize="21600,21600">
                  <v:path arrowok="t"/>
                  <v:fill on="t" color2="#FFFFFF" focussize="0,0"/>
                  <v:stroke weight="0.25pt" color="#000000" endarrow="block"/>
                  <v:imagedata o:title=""/>
                  <o:lock v:ext="edit" aspectratio="f"/>
                </v:line>
              </w:pict>
            </w:r>
          </w:p>
          <w:p>
            <w:pPr>
              <w:pStyle w:val="3"/>
              <w:rPr>
                <w:rFonts w:hint="eastAsia"/>
                <w:sz w:val="24"/>
              </w:rPr>
            </w:pPr>
            <w:r>
              <w:rPr>
                <w:sz w:val="24"/>
              </w:rPr>
              <w:pict>
                <v:rect id="_x0000_s7576" o:spid="_x0000_s7576" o:spt="1" style="position:absolute;left:0pt;margin-left:188.55pt;margin-top:13.1pt;height:18.15pt;width:47.05pt;z-index:325439488;mso-width-relative:page;mso-height-relative:page;" fillcolor="#FFFFFF" filled="t" stroked="f" coordsize="21600,21600">
                  <v:path/>
                  <v:fill on="t" color2="#FFFFFF" focussize="0,0"/>
                  <v:stroke on="f" weight="0.25pt"/>
                  <v:imagedata o:title=""/>
                  <o:lock v:ext="edit" aspectratio="f"/>
                  <v:textbox>
                    <w:txbxContent>
                      <w:p>
                        <w:pPr>
                          <w:rPr>
                            <w:rFonts w:hint="eastAsia" w:eastAsia="宋体"/>
                            <w:lang w:eastAsia="zh-CN"/>
                          </w:rPr>
                        </w:pPr>
                        <w:r>
                          <w:rPr>
                            <w:rFonts w:hint="eastAsia"/>
                            <w:lang w:eastAsia="zh-CN"/>
                          </w:rPr>
                          <w:t>成品</w:t>
                        </w:r>
                      </w:p>
                    </w:txbxContent>
                  </v:textbox>
                </v:rect>
              </w:pict>
            </w:r>
          </w:p>
          <w:p>
            <w:pPr>
              <w:pStyle w:val="3"/>
              <w:ind w:left="1903" w:leftChars="906" w:firstLine="547" w:firstLineChars="227"/>
              <w:jc w:val="both"/>
              <w:rPr>
                <w:rFonts w:hint="default" w:eastAsia="宋体"/>
                <w:b/>
                <w:bCs/>
                <w:sz w:val="24"/>
                <w:lang w:val="en-US" w:eastAsia="zh-CN"/>
              </w:rPr>
            </w:pPr>
            <w:r>
              <w:rPr>
                <w:rFonts w:hint="eastAsia"/>
                <w:b/>
                <w:bCs/>
                <w:sz w:val="24"/>
                <w:lang w:eastAsia="zh-CN"/>
              </w:rPr>
              <w:t>图</w:t>
            </w:r>
            <w:r>
              <w:rPr>
                <w:rFonts w:hint="eastAsia"/>
                <w:b/>
                <w:bCs/>
                <w:sz w:val="24"/>
                <w:lang w:val="en-US" w:eastAsia="zh-CN"/>
              </w:rPr>
              <w:t>5-1  瓷件生产工艺流程图</w:t>
            </w:r>
          </w:p>
          <w:p>
            <w:pPr>
              <w:spacing w:line="360" w:lineRule="auto"/>
              <w:jc w:val="center"/>
              <w:rPr>
                <w:color w:val="FF0000"/>
                <w:sz w:val="24"/>
              </w:rPr>
            </w:pPr>
          </w:p>
          <w:p>
            <w:pPr>
              <w:snapToGrid w:val="0"/>
              <w:spacing w:line="360" w:lineRule="auto"/>
              <w:rPr>
                <w:bCs/>
                <w:color w:val="000000"/>
                <w:sz w:val="24"/>
                <w:szCs w:val="24"/>
              </w:rPr>
            </w:pPr>
            <w:r>
              <w:rPr>
                <w:rFonts w:hint="eastAsia"/>
                <w:bCs/>
                <w:color w:val="000000"/>
                <w:sz w:val="24"/>
                <w:szCs w:val="24"/>
              </w:rPr>
              <w:t>工艺过程简述：</w:t>
            </w:r>
          </w:p>
          <w:p>
            <w:pPr>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rPr>
              <w:t>投料：</w:t>
            </w:r>
            <w:r>
              <w:rPr>
                <w:rFonts w:hint="eastAsia" w:ascii="Times New Roman" w:hAnsi="Times New Roman" w:cs="Times New Roman"/>
                <w:b w:val="0"/>
                <w:bCs/>
                <w:sz w:val="24"/>
                <w:szCs w:val="24"/>
                <w:lang w:val="en-US"/>
              </w:rPr>
              <w:t>外购的成品原料（</w:t>
            </w:r>
            <w:r>
              <w:rPr>
                <w:rFonts w:hint="eastAsia" w:ascii="Times New Roman" w:hAnsi="Times New Roman" w:cs="Times New Roman"/>
                <w:b w:val="0"/>
                <w:bCs/>
                <w:sz w:val="24"/>
                <w:szCs w:val="24"/>
                <w:lang w:eastAsia="zh-CN"/>
              </w:rPr>
              <w:t>滑石粉、高岭土、硫酸钡、氧化铝</w:t>
            </w:r>
            <w:r>
              <w:rPr>
                <w:rFonts w:hint="eastAsia" w:ascii="Times New Roman" w:hAnsi="Times New Roman" w:cs="Times New Roman"/>
                <w:b w:val="0"/>
                <w:bCs/>
                <w:sz w:val="24"/>
                <w:szCs w:val="24"/>
                <w:lang w:val="en-US"/>
              </w:rPr>
              <w:t>）按比例配料</w:t>
            </w:r>
            <w:r>
              <w:rPr>
                <w:rFonts w:hint="eastAsia" w:cs="Times New Roman"/>
                <w:b w:val="0"/>
                <w:bCs/>
                <w:sz w:val="24"/>
                <w:szCs w:val="24"/>
                <w:lang w:val="en-US" w:eastAsia="zh-CN"/>
              </w:rPr>
              <w:t>，并使用搅拌机进行搅拌</w:t>
            </w:r>
            <w:r>
              <w:rPr>
                <w:rFonts w:hint="eastAsia" w:ascii="Times New Roman" w:hAnsi="Times New Roman" w:cs="Times New Roman"/>
                <w:b w:val="0"/>
                <w:bCs/>
                <w:sz w:val="24"/>
                <w:szCs w:val="24"/>
                <w:lang w:val="en-US"/>
              </w:rPr>
              <w:t>。此工序产生</w:t>
            </w:r>
            <w:r>
              <w:rPr>
                <w:rFonts w:hint="eastAsia" w:ascii="Times New Roman" w:hAnsi="Times New Roman" w:cs="Times New Roman"/>
                <w:b w:val="0"/>
                <w:bCs/>
                <w:sz w:val="24"/>
                <w:szCs w:val="24"/>
                <w:lang w:val="en-US" w:eastAsia="zh-CN"/>
              </w:rPr>
              <w:t>G1</w:t>
            </w:r>
            <w:r>
              <w:rPr>
                <w:rFonts w:hint="eastAsia" w:ascii="Times New Roman" w:hAnsi="Times New Roman" w:cs="Times New Roman"/>
                <w:b w:val="0"/>
                <w:bCs/>
                <w:sz w:val="24"/>
                <w:szCs w:val="24"/>
                <w:lang w:val="en-US"/>
              </w:rPr>
              <w:t>颗粒物</w:t>
            </w:r>
            <w:r>
              <w:rPr>
                <w:rFonts w:hint="eastAsia" w:ascii="Times New Roman" w:hAnsi="Times New Roman" w:cs="Times New Roman"/>
                <w:b w:val="0"/>
                <w:bCs/>
                <w:sz w:val="24"/>
                <w:szCs w:val="24"/>
                <w:lang w:val="en-US" w:eastAsia="zh-CN"/>
              </w:rPr>
              <w:t>。</w:t>
            </w:r>
          </w:p>
          <w:p>
            <w:pPr>
              <w:spacing w:line="360" w:lineRule="auto"/>
              <w:ind w:firstLine="480" w:firstLineChars="200"/>
              <w:rPr>
                <w:rFonts w:hint="eastAsia" w:eastAsia="宋体"/>
                <w:b w:val="0"/>
                <w:bCs/>
                <w:sz w:val="24"/>
                <w:szCs w:val="24"/>
                <w:lang w:eastAsia="zh-CN"/>
              </w:rPr>
            </w:pPr>
            <w:r>
              <w:rPr>
                <w:rFonts w:hint="eastAsia"/>
                <w:b w:val="0"/>
                <w:bCs/>
                <w:sz w:val="24"/>
                <w:szCs w:val="24"/>
              </w:rPr>
              <w:t>球磨：</w:t>
            </w:r>
            <w:r>
              <w:rPr>
                <w:rFonts w:hint="eastAsia" w:hAnsi="宋体"/>
                <w:b w:val="0"/>
                <w:bCs/>
                <w:sz w:val="24"/>
                <w:szCs w:val="24"/>
              </w:rPr>
              <w:t>原料球磨机内进行</w:t>
            </w:r>
            <w:r>
              <w:rPr>
                <w:rFonts w:hint="eastAsia" w:hAnsi="宋体"/>
                <w:b w:val="0"/>
                <w:bCs/>
                <w:sz w:val="24"/>
                <w:szCs w:val="24"/>
                <w:lang w:eastAsia="zh-CN"/>
              </w:rPr>
              <w:t>干式</w:t>
            </w:r>
            <w:r>
              <w:rPr>
                <w:rFonts w:hint="eastAsia" w:hAnsi="宋体"/>
                <w:b w:val="0"/>
                <w:bCs/>
                <w:sz w:val="24"/>
                <w:szCs w:val="24"/>
              </w:rPr>
              <w:t>密闭球磨粉碎</w:t>
            </w:r>
            <w:r>
              <w:rPr>
                <w:rFonts w:hint="eastAsia"/>
                <w:b w:val="0"/>
                <w:bCs/>
                <w:sz w:val="24"/>
                <w:szCs w:val="24"/>
                <w:lang w:val="en-US"/>
              </w:rPr>
              <w:t>。此工序产生</w:t>
            </w:r>
            <w:r>
              <w:rPr>
                <w:rFonts w:hint="eastAsia"/>
                <w:b w:val="0"/>
                <w:bCs/>
                <w:sz w:val="24"/>
                <w:szCs w:val="24"/>
                <w:lang w:val="en-US" w:eastAsia="zh-CN"/>
              </w:rPr>
              <w:t>G2颗粒物、</w:t>
            </w:r>
            <w:r>
              <w:rPr>
                <w:rFonts w:hint="eastAsia"/>
                <w:b w:val="0"/>
                <w:bCs/>
                <w:sz w:val="24"/>
                <w:szCs w:val="24"/>
                <w:lang w:val="en-US"/>
              </w:rPr>
              <w:t>噪声</w:t>
            </w:r>
            <w:r>
              <w:rPr>
                <w:rFonts w:hint="eastAsia"/>
                <w:b w:val="0"/>
                <w:bCs/>
                <w:sz w:val="24"/>
                <w:szCs w:val="24"/>
                <w:lang w:val="en-US" w:eastAsia="zh-CN"/>
              </w:rPr>
              <w:t>N。</w:t>
            </w:r>
          </w:p>
          <w:p>
            <w:pPr>
              <w:spacing w:line="360" w:lineRule="auto"/>
              <w:ind w:firstLine="480" w:firstLineChars="200"/>
              <w:rPr>
                <w:sz w:val="24"/>
                <w:szCs w:val="24"/>
              </w:rPr>
            </w:pPr>
            <w:r>
              <w:rPr>
                <w:rFonts w:hint="eastAsia"/>
                <w:b w:val="0"/>
                <w:bCs/>
                <w:sz w:val="24"/>
                <w:szCs w:val="24"/>
              </w:rPr>
              <w:t>喷雾干燥造粒：</w:t>
            </w:r>
            <w:r>
              <w:rPr>
                <w:rFonts w:hint="eastAsia" w:hAnsi="宋体"/>
                <w:sz w:val="24"/>
                <w:szCs w:val="24"/>
              </w:rPr>
              <w:t>球磨后的浆料通过管道内的筛网进入喷雾干燥造粒机进行干燥造粒。喷雾干燥造粒机工作原理：空气经天然气间接加热到</w:t>
            </w:r>
            <w:r>
              <w:rPr>
                <w:rFonts w:hint="eastAsia" w:hAnsi="宋体"/>
                <w:sz w:val="24"/>
                <w:szCs w:val="24"/>
                <w:lang w:val="en-US"/>
              </w:rPr>
              <w:t>120℃</w:t>
            </w:r>
            <w:r>
              <w:rPr>
                <w:rFonts w:hint="eastAsia" w:hAnsi="宋体"/>
                <w:sz w:val="24"/>
                <w:szCs w:val="24"/>
              </w:rPr>
              <w:t>后，过滤进入干燥器顶部空气分配器，热空气呈螺旋状均匀的进入干燥塔体，物料经塔体顶部的高速离心雾化器旋转，形成喷雾即极细微的雾状液珠，与热空气并流接触在极短的时间内可干燥成为成品。成品陶瓷颗粒连续的由干燥塔底部和旋风分离器中输出，产生带有颗粒物的废气由密闭管道连接的除尘装置进行吸附处理后，由排气筒排出。此工序产生</w:t>
            </w:r>
            <w:r>
              <w:rPr>
                <w:rFonts w:hint="eastAsia" w:hAnsi="宋体"/>
                <w:sz w:val="24"/>
                <w:szCs w:val="24"/>
                <w:lang w:val="en-US" w:eastAsia="zh-CN"/>
              </w:rPr>
              <w:t>G3</w:t>
            </w:r>
            <w:r>
              <w:rPr>
                <w:rFonts w:hint="eastAsia" w:hAnsi="宋体"/>
                <w:sz w:val="24"/>
                <w:szCs w:val="24"/>
              </w:rPr>
              <w:t>颗粒物</w:t>
            </w:r>
            <w:r>
              <w:rPr>
                <w:rFonts w:hint="eastAsia" w:hAnsi="宋体"/>
                <w:sz w:val="24"/>
                <w:szCs w:val="24"/>
                <w:lang w:val="en-US"/>
              </w:rPr>
              <w:t>，</w:t>
            </w:r>
            <w:r>
              <w:rPr>
                <w:rFonts w:hint="eastAsia" w:hAnsi="宋体"/>
                <w:sz w:val="24"/>
                <w:szCs w:val="24"/>
                <w:lang w:val="en-US" w:eastAsia="zh-CN"/>
              </w:rPr>
              <w:t>G4</w:t>
            </w:r>
            <w:r>
              <w:rPr>
                <w:rFonts w:hint="eastAsia" w:hAnsi="宋体"/>
                <w:sz w:val="24"/>
                <w:szCs w:val="24"/>
                <w:lang w:val="en-US"/>
              </w:rPr>
              <w:t>天然气燃烧废气</w:t>
            </w:r>
            <w:r>
              <w:rPr>
                <w:rFonts w:hint="eastAsia"/>
                <w:sz w:val="24"/>
                <w:szCs w:val="24"/>
              </w:rPr>
              <w:t>。</w:t>
            </w:r>
          </w:p>
          <w:p>
            <w:pPr>
              <w:spacing w:line="360" w:lineRule="auto"/>
              <w:ind w:firstLine="480" w:firstLineChars="200"/>
              <w:rPr>
                <w:rFonts w:hint="eastAsia" w:ascii="Times New Roman" w:hAnsi="宋体" w:cs="Times New Roman"/>
                <w:b w:val="0"/>
                <w:bCs/>
                <w:sz w:val="24"/>
                <w:szCs w:val="24"/>
                <w:lang w:val="en-US" w:eastAsia="zh-CN"/>
              </w:rPr>
            </w:pPr>
            <w:r>
              <w:rPr>
                <w:rFonts w:hint="eastAsia"/>
                <w:b w:val="0"/>
                <w:bCs/>
                <w:sz w:val="24"/>
                <w:szCs w:val="24"/>
                <w:lang w:eastAsia="zh-CN"/>
              </w:rPr>
              <w:t>干压成型</w:t>
            </w:r>
            <w:r>
              <w:rPr>
                <w:rFonts w:hint="eastAsia"/>
                <w:b w:val="0"/>
                <w:bCs/>
                <w:sz w:val="24"/>
                <w:szCs w:val="24"/>
              </w:rPr>
              <w:t>：</w:t>
            </w:r>
            <w:r>
              <w:rPr>
                <w:rFonts w:hint="eastAsia"/>
                <w:b w:val="0"/>
                <w:bCs/>
                <w:sz w:val="24"/>
                <w:szCs w:val="24"/>
                <w:lang w:eastAsia="zh-CN"/>
              </w:rPr>
              <w:t>使用干压机</w:t>
            </w:r>
            <w:r>
              <w:rPr>
                <w:rFonts w:hint="eastAsia" w:ascii="Arial" w:hAnsi="Arial" w:eastAsia="Arial" w:cs="Arial"/>
                <w:b w:val="0"/>
                <w:bCs/>
                <w:i w:val="0"/>
                <w:caps w:val="0"/>
                <w:color w:val="191919"/>
                <w:spacing w:val="0"/>
                <w:sz w:val="24"/>
                <w:szCs w:val="24"/>
                <w:shd w:val="clear" w:fill="FFFFFF"/>
              </w:rPr>
              <w:t>将经过造粒后流动性好，颗粒级配合适的粉料，通过压头施加压力，压头在模腔内位移，传递压力，使模腔内粉体颗粒重排变形而被压实，形成具有一</w:t>
            </w:r>
            <w:r>
              <w:rPr>
                <w:rFonts w:hint="eastAsia" w:ascii="Times New Roman" w:hAnsi="宋体" w:cs="Times New Roman"/>
                <w:b w:val="0"/>
                <w:bCs/>
                <w:sz w:val="24"/>
                <w:szCs w:val="24"/>
              </w:rPr>
              <w:t>定强度和形状的陶瓷素坯。</w:t>
            </w:r>
            <w:r>
              <w:rPr>
                <w:rFonts w:hint="eastAsia" w:ascii="Times New Roman" w:hAnsi="宋体" w:cs="Times New Roman"/>
                <w:b w:val="0"/>
                <w:bCs/>
                <w:sz w:val="24"/>
                <w:szCs w:val="24"/>
                <w:lang w:eastAsia="zh-CN"/>
              </w:rPr>
              <w:t>此工序产生机械噪声</w:t>
            </w:r>
            <w:r>
              <w:rPr>
                <w:rFonts w:hint="eastAsia" w:ascii="Times New Roman" w:hAnsi="宋体" w:cs="Times New Roman"/>
                <w:b w:val="0"/>
                <w:bCs/>
                <w:sz w:val="24"/>
                <w:szCs w:val="24"/>
                <w:lang w:val="en-US" w:eastAsia="zh-CN"/>
              </w:rPr>
              <w:t>N。</w:t>
            </w:r>
          </w:p>
          <w:p>
            <w:pPr>
              <w:spacing w:line="360" w:lineRule="auto"/>
              <w:ind w:firstLine="480" w:firstLineChars="200"/>
              <w:rPr>
                <w:rFonts w:hint="eastAsia" w:ascii="Times New Roman" w:hAnsi="宋体" w:cs="Times New Roman"/>
                <w:b w:val="0"/>
                <w:bCs/>
                <w:sz w:val="24"/>
                <w:szCs w:val="24"/>
                <w:lang w:val="en-US" w:eastAsia="zh-CN"/>
              </w:rPr>
            </w:pPr>
            <w:r>
              <w:rPr>
                <w:rFonts w:hint="eastAsia" w:ascii="Times New Roman" w:hAnsi="宋体" w:cs="Times New Roman"/>
                <w:b w:val="0"/>
                <w:bCs/>
                <w:sz w:val="24"/>
                <w:szCs w:val="24"/>
                <w:lang w:val="en-US" w:eastAsia="zh-CN"/>
              </w:rPr>
              <w:t>烧成：使用辊道窑（燃料为天然气）对陶瓷坯件进行烧成，烧成温度约1350℃。此工序产生G5天然气</w:t>
            </w:r>
            <w:r>
              <w:rPr>
                <w:rFonts w:hint="eastAsia" w:hAnsi="宋体" w:cs="Times New Roman"/>
                <w:b w:val="0"/>
                <w:bCs/>
                <w:sz w:val="24"/>
                <w:szCs w:val="24"/>
                <w:lang w:val="en-US" w:eastAsia="zh-CN"/>
              </w:rPr>
              <w:t>燃烧</w:t>
            </w:r>
            <w:r>
              <w:rPr>
                <w:rFonts w:hint="eastAsia" w:ascii="Times New Roman" w:hAnsi="宋体" w:cs="Times New Roman"/>
                <w:b w:val="0"/>
                <w:bCs/>
                <w:sz w:val="24"/>
                <w:szCs w:val="24"/>
                <w:lang w:val="en-US" w:eastAsia="zh-CN"/>
              </w:rPr>
              <w:t>废气和机械噪声N。</w:t>
            </w:r>
          </w:p>
          <w:p>
            <w:pPr>
              <w:spacing w:line="360" w:lineRule="auto"/>
              <w:ind w:firstLine="480" w:firstLineChars="200"/>
              <w:rPr>
                <w:rFonts w:hint="default" w:ascii="Times New Roman" w:hAnsi="宋体" w:cs="Times New Roman"/>
                <w:b w:val="0"/>
                <w:bCs w:val="0"/>
                <w:sz w:val="24"/>
                <w:szCs w:val="24"/>
                <w:lang w:val="en-US" w:eastAsia="zh-CN"/>
              </w:rPr>
            </w:pPr>
            <w:r>
              <w:rPr>
                <w:rFonts w:hint="eastAsia" w:ascii="Times New Roman" w:hAnsi="宋体" w:cs="Times New Roman"/>
                <w:b w:val="0"/>
                <w:bCs/>
                <w:sz w:val="24"/>
                <w:szCs w:val="24"/>
                <w:lang w:val="en-US" w:eastAsia="zh-CN"/>
              </w:rPr>
              <w:t>检验：对烧</w:t>
            </w:r>
            <w:r>
              <w:rPr>
                <w:rFonts w:hint="eastAsia" w:ascii="Times New Roman" w:hAnsi="宋体" w:cs="Times New Roman"/>
                <w:b w:val="0"/>
                <w:bCs w:val="0"/>
                <w:sz w:val="24"/>
                <w:szCs w:val="24"/>
                <w:lang w:val="en-US" w:eastAsia="zh-CN"/>
              </w:rPr>
              <w:t>成完成的工件进行人工检验，合格的即为成品。此工序产生固废S1不合格产品。</w:t>
            </w:r>
          </w:p>
          <w:p>
            <w:pPr>
              <w:autoSpaceDE w:val="0"/>
              <w:autoSpaceDN w:val="0"/>
              <w:adjustRightInd w:val="0"/>
              <w:spacing w:line="360" w:lineRule="auto"/>
              <w:ind w:firstLine="482" w:firstLineChars="200"/>
              <w:jc w:val="left"/>
              <w:rPr>
                <w:b/>
                <w:color w:val="000000" w:themeColor="text1"/>
                <w:kern w:val="0"/>
                <w:sz w:val="24"/>
                <w:szCs w:val="24"/>
              </w:rPr>
            </w:pPr>
            <w:r>
              <w:rPr>
                <w:b/>
                <w:color w:val="000000" w:themeColor="text1"/>
                <w:sz w:val="24"/>
                <w:szCs w:val="24"/>
              </w:rPr>
              <w:t>2</w:t>
            </w:r>
            <w:r>
              <w:rPr>
                <w:rFonts w:hint="eastAsia"/>
                <w:b/>
                <w:color w:val="000000" w:themeColor="text1"/>
                <w:sz w:val="24"/>
                <w:szCs w:val="24"/>
              </w:rPr>
              <w:t>、</w:t>
            </w:r>
            <w:r>
              <w:rPr>
                <w:b/>
                <w:color w:val="000000" w:themeColor="text1"/>
                <w:kern w:val="0"/>
                <w:sz w:val="24"/>
                <w:szCs w:val="24"/>
                <w:lang w:val="en-US"/>
              </w:rPr>
              <w:t>主要污染工序</w:t>
            </w:r>
            <w:r>
              <w:rPr>
                <w:b/>
                <w:color w:val="000000" w:themeColor="text1"/>
                <w:kern w:val="0"/>
                <w:sz w:val="24"/>
                <w:szCs w:val="24"/>
              </w:rPr>
              <w:t xml:space="preserve">： </w:t>
            </w:r>
          </w:p>
          <w:p>
            <w:pPr>
              <w:autoSpaceDE w:val="0"/>
              <w:autoSpaceDN w:val="0"/>
              <w:adjustRightInd w:val="0"/>
              <w:spacing w:line="360" w:lineRule="auto"/>
              <w:ind w:firstLine="480" w:firstLineChars="200"/>
              <w:jc w:val="left"/>
              <w:rPr>
                <w:kern w:val="0"/>
                <w:sz w:val="24"/>
                <w:szCs w:val="24"/>
                <w:lang w:val="en-US"/>
              </w:rPr>
            </w:pPr>
            <w:r>
              <w:rPr>
                <w:rFonts w:hint="eastAsia"/>
                <w:kern w:val="0"/>
                <w:sz w:val="24"/>
                <w:szCs w:val="24"/>
                <w:lang w:val="en-US"/>
              </w:rPr>
              <w:t>（</w:t>
            </w:r>
            <w:r>
              <w:rPr>
                <w:kern w:val="0"/>
                <w:sz w:val="24"/>
                <w:szCs w:val="24"/>
                <w:lang w:val="en-US"/>
              </w:rPr>
              <w:t>1）</w:t>
            </w:r>
            <w:r>
              <w:rPr>
                <w:rFonts w:hint="eastAsia"/>
                <w:kern w:val="0"/>
                <w:sz w:val="24"/>
                <w:szCs w:val="24"/>
                <w:lang w:val="en-US"/>
              </w:rPr>
              <w:t>废气</w:t>
            </w:r>
          </w:p>
          <w:p>
            <w:pPr>
              <w:autoSpaceDE w:val="0"/>
              <w:autoSpaceDN w:val="0"/>
              <w:adjustRightInd w:val="0"/>
              <w:spacing w:line="360" w:lineRule="auto"/>
              <w:ind w:firstLine="480" w:firstLineChars="200"/>
              <w:jc w:val="left"/>
              <w:rPr>
                <w:sz w:val="24"/>
              </w:rPr>
            </w:pPr>
            <w:r>
              <w:rPr>
                <w:rFonts w:hint="eastAsia"/>
                <w:sz w:val="24"/>
              </w:rPr>
              <w:t>投料</w:t>
            </w:r>
            <w:r>
              <w:rPr>
                <w:rFonts w:hint="eastAsia"/>
                <w:sz w:val="24"/>
                <w:lang w:eastAsia="zh-CN"/>
              </w:rPr>
              <w:t>、球磨</w:t>
            </w:r>
            <w:r>
              <w:rPr>
                <w:rFonts w:hint="eastAsia"/>
                <w:sz w:val="24"/>
              </w:rPr>
              <w:t>废气</w:t>
            </w:r>
            <w:r>
              <w:rPr>
                <w:sz w:val="24"/>
              </w:rPr>
              <w:t>：</w:t>
            </w:r>
            <w:r>
              <w:rPr>
                <w:rFonts w:hint="eastAsia"/>
                <w:sz w:val="24"/>
                <w:lang w:eastAsia="zh-CN"/>
              </w:rPr>
              <w:t>本项目球磨工序密闭，但是在投料及设备开盖时会有少量粉尘产生</w:t>
            </w:r>
            <w:r>
              <w:rPr>
                <w:rFonts w:hint="eastAsia" w:hAnsi="宋体"/>
                <w:sz w:val="24"/>
              </w:rPr>
              <w:t>，参照同类行业相关数据，项目颗粒物产生系数为原料用量的</w:t>
            </w:r>
            <w:r>
              <w:rPr>
                <w:rFonts w:hint="eastAsia" w:hAnsi="宋体"/>
                <w:sz w:val="24"/>
                <w:lang w:val="en-US"/>
              </w:rPr>
              <w:t>1‰</w:t>
            </w:r>
            <w:r>
              <w:rPr>
                <w:rFonts w:hint="eastAsia" w:hAnsi="宋体"/>
                <w:sz w:val="24"/>
              </w:rPr>
              <w:t>，本项目生产</w:t>
            </w:r>
            <w:r>
              <w:rPr>
                <w:rFonts w:hint="eastAsia" w:hAnsi="宋体"/>
                <w:kern w:val="0"/>
                <w:sz w:val="24"/>
                <w:szCs w:val="24"/>
                <w:lang w:val="en-US"/>
              </w:rPr>
              <w:t>原料</w:t>
            </w:r>
            <w:r>
              <w:rPr>
                <w:rFonts w:hint="eastAsia" w:hAnsi="宋体"/>
                <w:sz w:val="24"/>
              </w:rPr>
              <w:t>耗材总量为</w:t>
            </w:r>
            <w:r>
              <w:rPr>
                <w:rFonts w:hint="eastAsia" w:hAnsi="宋体"/>
                <w:sz w:val="24"/>
                <w:lang w:val="en-US" w:eastAsia="zh-CN"/>
              </w:rPr>
              <w:t>1155</w:t>
            </w:r>
            <w:r>
              <w:rPr>
                <w:rFonts w:hint="eastAsia" w:hAnsi="宋体"/>
                <w:sz w:val="24"/>
              </w:rPr>
              <w:t>t/a，则项目颗粒物产生总量约为</w:t>
            </w:r>
            <w:r>
              <w:rPr>
                <w:rFonts w:hint="eastAsia" w:hAnsi="宋体"/>
                <w:sz w:val="24"/>
                <w:lang w:val="en-US" w:eastAsia="zh-CN"/>
              </w:rPr>
              <w:t>1.115</w:t>
            </w:r>
            <w:r>
              <w:rPr>
                <w:rFonts w:hint="eastAsia" w:hAnsi="宋体"/>
                <w:sz w:val="24"/>
              </w:rPr>
              <w:t>t/a，</w:t>
            </w:r>
            <w:r>
              <w:rPr>
                <w:sz w:val="24"/>
                <w:lang w:val="en-US"/>
              </w:rPr>
              <w:t>在</w:t>
            </w:r>
            <w:r>
              <w:rPr>
                <w:rFonts w:hint="eastAsia"/>
                <w:sz w:val="24"/>
                <w:lang w:val="en-US" w:eastAsia="zh-CN"/>
              </w:rPr>
              <w:t>每台搅拌机、</w:t>
            </w:r>
            <w:r>
              <w:rPr>
                <w:rFonts w:hint="eastAsia"/>
                <w:sz w:val="24"/>
                <w:lang w:val="en-US"/>
              </w:rPr>
              <w:t>球磨机投料口</w:t>
            </w:r>
            <w:r>
              <w:rPr>
                <w:sz w:val="24"/>
                <w:lang w:val="en-US"/>
              </w:rPr>
              <w:t>分别安装</w:t>
            </w:r>
            <w:r>
              <w:rPr>
                <w:rFonts w:hint="eastAsia"/>
                <w:sz w:val="24"/>
                <w:lang w:val="en-US"/>
              </w:rPr>
              <w:t>集气罩</w:t>
            </w:r>
            <w:r>
              <w:rPr>
                <w:sz w:val="24"/>
                <w:lang w:val="en-US"/>
              </w:rPr>
              <w:t>，</w:t>
            </w:r>
            <w:r>
              <w:rPr>
                <w:sz w:val="24"/>
              </w:rPr>
              <w:t>颗粒物</w:t>
            </w:r>
            <w:r>
              <w:rPr>
                <w:rFonts w:hint="eastAsia"/>
                <w:sz w:val="24"/>
                <w:lang w:eastAsia="zh-CN"/>
              </w:rPr>
              <w:t>通过</w:t>
            </w:r>
            <w:r>
              <w:rPr>
                <w:rFonts w:hint="eastAsia"/>
                <w:sz w:val="24"/>
                <w:lang w:val="en-US"/>
              </w:rPr>
              <w:t>集气罩</w:t>
            </w:r>
            <w:r>
              <w:rPr>
                <w:sz w:val="24"/>
              </w:rPr>
              <w:t>进行收集，</w:t>
            </w:r>
            <w:r>
              <w:rPr>
                <w:rFonts w:hint="eastAsia"/>
                <w:sz w:val="24"/>
                <w:lang w:eastAsia="zh-CN"/>
              </w:rPr>
              <w:t>风机风量为</w:t>
            </w:r>
            <w:r>
              <w:rPr>
                <w:rFonts w:hint="eastAsia"/>
                <w:sz w:val="24"/>
                <w:lang w:val="en-US" w:eastAsia="zh-CN"/>
              </w:rPr>
              <w:t>5000m</w:t>
            </w:r>
            <w:r>
              <w:rPr>
                <w:rFonts w:hint="eastAsia"/>
                <w:sz w:val="24"/>
                <w:vertAlign w:val="superscript"/>
                <w:lang w:val="en-US" w:eastAsia="zh-CN"/>
              </w:rPr>
              <w:t>3</w:t>
            </w:r>
            <w:r>
              <w:rPr>
                <w:rFonts w:hint="eastAsia"/>
                <w:sz w:val="24"/>
                <w:lang w:val="en-US" w:eastAsia="zh-CN"/>
              </w:rPr>
              <w:t>/h，</w:t>
            </w:r>
            <w:r>
              <w:rPr>
                <w:rFonts w:hint="eastAsia"/>
                <w:sz w:val="24"/>
                <w:lang w:eastAsia="zh-CN"/>
              </w:rPr>
              <w:t>收集效率约</w:t>
            </w:r>
            <w:r>
              <w:rPr>
                <w:rFonts w:hint="eastAsia"/>
                <w:sz w:val="24"/>
                <w:lang w:val="en-US" w:eastAsia="zh-CN"/>
              </w:rPr>
              <w:t>90%，收集后的颗粒物</w:t>
            </w:r>
            <w:r>
              <w:rPr>
                <w:sz w:val="24"/>
              </w:rPr>
              <w:t>经布袋除尘装置（处理效率9</w:t>
            </w:r>
            <w:r>
              <w:rPr>
                <w:rFonts w:hint="eastAsia"/>
                <w:sz w:val="24"/>
                <w:lang w:val="en-US" w:eastAsia="zh-CN"/>
              </w:rPr>
              <w:t>9.5</w:t>
            </w:r>
            <w:r>
              <w:rPr>
                <w:sz w:val="24"/>
              </w:rPr>
              <w:t>%）处理后通过15</w:t>
            </w:r>
            <w:r>
              <w:rPr>
                <w:sz w:val="24"/>
                <w:lang w:val="en-US"/>
              </w:rPr>
              <w:t>米</w:t>
            </w:r>
            <w:r>
              <w:rPr>
                <w:sz w:val="24"/>
              </w:rPr>
              <w:t>排气筒排放。故</w:t>
            </w:r>
            <w:r>
              <w:rPr>
                <w:rFonts w:hint="eastAsia"/>
                <w:sz w:val="24"/>
                <w:lang w:eastAsia="zh-CN"/>
              </w:rPr>
              <w:t>本项目</w:t>
            </w:r>
            <w:r>
              <w:rPr>
                <w:rFonts w:hint="eastAsia"/>
                <w:sz w:val="24"/>
                <w:lang w:val="en-US"/>
              </w:rPr>
              <w:t>投料</w:t>
            </w:r>
            <w:r>
              <w:rPr>
                <w:sz w:val="24"/>
                <w:lang w:val="en-US"/>
              </w:rPr>
              <w:t>工序</w:t>
            </w:r>
            <w:r>
              <w:rPr>
                <w:sz w:val="24"/>
              </w:rPr>
              <w:t>有组织排放颗粒物</w:t>
            </w:r>
            <w:r>
              <w:rPr>
                <w:sz w:val="24"/>
                <w:lang w:val="en-US"/>
              </w:rPr>
              <w:t>0.</w:t>
            </w:r>
            <w:r>
              <w:rPr>
                <w:rFonts w:hint="eastAsia"/>
                <w:sz w:val="24"/>
                <w:lang w:val="en-US"/>
              </w:rPr>
              <w:t>0</w:t>
            </w:r>
            <w:r>
              <w:rPr>
                <w:rFonts w:hint="eastAsia"/>
                <w:sz w:val="24"/>
                <w:lang w:val="en-US" w:eastAsia="zh-CN"/>
              </w:rPr>
              <w:t>5</w:t>
            </w:r>
            <w:r>
              <w:rPr>
                <w:sz w:val="24"/>
              </w:rPr>
              <w:t>t/a；无组织排放的颗粒物</w:t>
            </w:r>
            <w:r>
              <w:rPr>
                <w:rFonts w:hint="eastAsia"/>
                <w:sz w:val="24"/>
                <w:lang w:val="en-US"/>
              </w:rPr>
              <w:t>0.</w:t>
            </w:r>
            <w:r>
              <w:rPr>
                <w:rFonts w:hint="eastAsia"/>
                <w:sz w:val="24"/>
                <w:lang w:val="en-US" w:eastAsia="zh-CN"/>
              </w:rPr>
              <w:t>11</w:t>
            </w:r>
            <w:r>
              <w:rPr>
                <w:sz w:val="24"/>
              </w:rPr>
              <w:t>t/a。</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kern w:val="0"/>
                <w:sz w:val="24"/>
                <w:szCs w:val="24"/>
                <w:lang w:val="en-US"/>
              </w:rPr>
            </w:pPr>
            <w:r>
              <w:rPr>
                <w:rFonts w:hint="eastAsia"/>
                <w:sz w:val="24"/>
                <w:lang w:val="en-US" w:eastAsia="zh-CN"/>
              </w:rPr>
              <w:t xml:space="preserve">    </w:t>
            </w:r>
            <w:r>
              <w:rPr>
                <w:rFonts w:hint="eastAsia" w:ascii="Times New Roman" w:hAnsi="Times New Roman" w:eastAsia="宋体" w:cs="Times New Roman"/>
                <w:kern w:val="2"/>
                <w:sz w:val="24"/>
                <w:szCs w:val="22"/>
                <w:lang w:val="en-US" w:eastAsia="zh-CN" w:bidi="ar-SA"/>
              </w:rPr>
              <w:t>喷雾干燥造粒废气：</w:t>
            </w:r>
            <w:r>
              <w:rPr>
                <w:rFonts w:hint="eastAsia" w:ascii="Times New Roman" w:hAnsi="Times New Roman" w:eastAsia="宋体" w:cs="Times New Roman"/>
                <w:kern w:val="2"/>
                <w:sz w:val="24"/>
                <w:szCs w:val="22"/>
                <w:lang w:val="fi-FI" w:eastAsia="zh-CN" w:bidi="ar-SA"/>
              </w:rPr>
              <w:t>项目在</w:t>
            </w:r>
            <w:r>
              <w:rPr>
                <w:rFonts w:hint="eastAsia" w:ascii="Times New Roman" w:hAnsi="Times New Roman" w:eastAsia="宋体" w:cs="Times New Roman"/>
                <w:kern w:val="2"/>
                <w:sz w:val="24"/>
                <w:szCs w:val="22"/>
                <w:lang w:val="en-US" w:eastAsia="zh-CN" w:bidi="ar-SA"/>
              </w:rPr>
              <w:t>喷雾干燥造粒工序</w:t>
            </w:r>
            <w:r>
              <w:rPr>
                <w:rFonts w:hint="eastAsia" w:ascii="Times New Roman" w:hAnsi="Times New Roman" w:eastAsia="宋体" w:cs="Times New Roman"/>
                <w:kern w:val="2"/>
                <w:sz w:val="24"/>
                <w:szCs w:val="22"/>
                <w:lang w:val="fi-FI" w:eastAsia="zh-CN" w:bidi="ar-SA"/>
              </w:rPr>
              <w:t>会产生少量粉尘，物料经</w:t>
            </w:r>
            <w:r>
              <w:rPr>
                <w:rFonts w:hint="eastAsia" w:ascii="Times New Roman" w:hAnsi="Times New Roman" w:eastAsia="宋体" w:cs="Times New Roman"/>
                <w:kern w:val="2"/>
                <w:sz w:val="24"/>
                <w:szCs w:val="22"/>
                <w:lang w:val="en-US" w:eastAsia="zh-CN" w:bidi="ar-SA"/>
              </w:rPr>
              <w:t>喷雾干燥造粒机塔体顶部的高速离心雾化器旋转形成喷雾，进入塔体形成极细的雾状液珠，在塔体内与热空气并流接触在极短的时间内干燥成成品，水蒸气随排气筒蒸发排出。在喷雾干燥造粒生产工序过程中会产生小颗粒粉尘，本项目在此工序新增布袋除尘装置与喷雾干燥造粒机机塔体密闭连接。</w:t>
            </w:r>
            <w:r>
              <w:rPr>
                <w:rFonts w:hint="eastAsia" w:ascii="Times New Roman" w:hAnsi="Times New Roman" w:eastAsia="宋体" w:cs="Times New Roman"/>
                <w:kern w:val="2"/>
                <w:sz w:val="24"/>
                <w:szCs w:val="22"/>
                <w:lang w:val="fi-FI" w:eastAsia="zh-CN" w:bidi="ar-SA"/>
              </w:rPr>
              <w:t>根据同行业类比调查，其产生颗粒物量约为总量</w:t>
            </w:r>
            <w:r>
              <w:rPr>
                <w:rFonts w:hint="eastAsia" w:ascii="Times New Roman" w:hAnsi="Times New Roman" w:eastAsia="宋体" w:cs="Times New Roman"/>
                <w:kern w:val="2"/>
                <w:sz w:val="24"/>
                <w:szCs w:val="22"/>
                <w:lang w:val="en-US" w:eastAsia="zh-CN" w:bidi="ar-SA"/>
              </w:rPr>
              <w:t>1</w:t>
            </w:r>
            <w:r>
              <w:rPr>
                <w:rFonts w:hint="eastAsia" w:ascii="Times New Roman" w:hAnsi="Times New Roman" w:eastAsia="宋体" w:cs="Times New Roman"/>
                <w:kern w:val="2"/>
                <w:sz w:val="24"/>
                <w:szCs w:val="22"/>
                <w:lang w:val="fi-FI" w:eastAsia="zh-CN" w:bidi="ar-SA"/>
              </w:rPr>
              <w:t>‰-</w:t>
            </w:r>
            <w:r>
              <w:rPr>
                <w:rFonts w:hint="eastAsia" w:ascii="Times New Roman" w:hAnsi="Times New Roman" w:eastAsia="宋体" w:cs="Times New Roman"/>
                <w:kern w:val="2"/>
                <w:sz w:val="24"/>
                <w:szCs w:val="22"/>
                <w:lang w:val="en-US" w:eastAsia="zh-CN" w:bidi="ar-SA"/>
              </w:rPr>
              <w:t>2</w:t>
            </w:r>
            <w:r>
              <w:rPr>
                <w:rFonts w:hint="eastAsia" w:ascii="Times New Roman" w:hAnsi="Times New Roman" w:eastAsia="宋体" w:cs="Times New Roman"/>
                <w:kern w:val="2"/>
                <w:sz w:val="24"/>
                <w:szCs w:val="22"/>
                <w:lang w:val="fi-FI" w:eastAsia="zh-CN" w:bidi="ar-SA"/>
              </w:rPr>
              <w:t>‰，本项目取</w:t>
            </w:r>
            <w:r>
              <w:rPr>
                <w:rFonts w:hint="eastAsia" w:ascii="Times New Roman" w:hAnsi="Times New Roman" w:eastAsia="宋体" w:cs="Times New Roman"/>
                <w:kern w:val="2"/>
                <w:sz w:val="24"/>
                <w:szCs w:val="22"/>
                <w:lang w:val="en-US" w:eastAsia="zh-CN" w:bidi="ar-SA"/>
              </w:rPr>
              <w:t>2</w:t>
            </w:r>
            <w:r>
              <w:rPr>
                <w:rFonts w:hint="eastAsia" w:ascii="Times New Roman" w:hAnsi="Times New Roman" w:eastAsia="宋体" w:cs="Times New Roman"/>
                <w:kern w:val="2"/>
                <w:sz w:val="24"/>
                <w:szCs w:val="22"/>
                <w:lang w:val="fi-FI" w:eastAsia="zh-CN" w:bidi="ar-SA"/>
              </w:rPr>
              <w:t>‰，本项目</w:t>
            </w:r>
            <w:r>
              <w:rPr>
                <w:rFonts w:hint="eastAsia" w:ascii="Times New Roman" w:hAnsi="Times New Roman" w:eastAsia="宋体" w:cs="Times New Roman"/>
                <w:kern w:val="2"/>
                <w:sz w:val="24"/>
                <w:szCs w:val="22"/>
                <w:lang w:val="en-US" w:eastAsia="zh-CN" w:bidi="ar-SA"/>
              </w:rPr>
              <w:t>物料</w:t>
            </w:r>
            <w:r>
              <w:rPr>
                <w:rFonts w:hint="eastAsia" w:hAnsi="宋体"/>
                <w:sz w:val="24"/>
                <w:lang w:val="en-US" w:eastAsia="zh-CN"/>
              </w:rPr>
              <w:t>1155</w:t>
            </w:r>
            <w:r>
              <w:rPr>
                <w:rFonts w:hint="eastAsia" w:ascii="Times New Roman" w:hAnsi="Times New Roman" w:eastAsia="宋体" w:cs="Times New Roman"/>
                <w:kern w:val="2"/>
                <w:sz w:val="24"/>
                <w:szCs w:val="22"/>
                <w:lang w:val="fi-FI" w:eastAsia="zh-CN" w:bidi="ar-SA"/>
              </w:rPr>
              <w:t>t/a</w:t>
            </w:r>
            <w:r>
              <w:rPr>
                <w:rFonts w:hint="eastAsia" w:cs="Times New Roman"/>
                <w:kern w:val="2"/>
                <w:sz w:val="24"/>
                <w:szCs w:val="22"/>
                <w:lang w:val="fi-FI" w:eastAsia="zh-CN" w:bidi="ar-SA"/>
              </w:rPr>
              <w:t>，</w:t>
            </w:r>
            <w:r>
              <w:rPr>
                <w:rFonts w:hint="eastAsia" w:ascii="Times New Roman" w:hAnsi="Times New Roman" w:eastAsia="宋体" w:cs="Times New Roman"/>
                <w:kern w:val="2"/>
                <w:sz w:val="24"/>
                <w:szCs w:val="22"/>
                <w:lang w:val="en-US" w:eastAsia="zh-CN" w:bidi="ar-SA"/>
              </w:rPr>
              <w:t>颗粒物产生量约为</w:t>
            </w:r>
            <w:r>
              <w:rPr>
                <w:rFonts w:hint="eastAsia" w:cs="Times New Roman"/>
                <w:kern w:val="2"/>
                <w:sz w:val="24"/>
                <w:szCs w:val="22"/>
                <w:lang w:val="en-US" w:eastAsia="zh-CN" w:bidi="ar-SA"/>
              </w:rPr>
              <w:t>2.31</w:t>
            </w:r>
            <w:r>
              <w:rPr>
                <w:rFonts w:hint="eastAsia" w:ascii="Times New Roman" w:hAnsi="Times New Roman" w:eastAsia="宋体" w:cs="Times New Roman"/>
                <w:kern w:val="2"/>
                <w:sz w:val="24"/>
                <w:szCs w:val="22"/>
                <w:lang w:val="en-US" w:eastAsia="zh-CN" w:bidi="ar-SA"/>
              </w:rPr>
              <w:t>t/a</w:t>
            </w:r>
            <w:r>
              <w:rPr>
                <w:rFonts w:hint="eastAsia" w:cs="Times New Roman"/>
                <w:kern w:val="2"/>
                <w:sz w:val="24"/>
                <w:szCs w:val="22"/>
                <w:lang w:val="en-US" w:eastAsia="zh-CN" w:bidi="ar-SA"/>
              </w:rPr>
              <w:t>。本项目拟</w:t>
            </w:r>
            <w:r>
              <w:rPr>
                <w:rFonts w:hint="eastAsia" w:ascii="Times New Roman" w:hAnsi="Times New Roman" w:eastAsia="宋体" w:cs="Times New Roman"/>
                <w:kern w:val="2"/>
                <w:sz w:val="24"/>
                <w:szCs w:val="22"/>
                <w:lang w:val="en-US" w:eastAsia="zh-CN" w:bidi="ar-SA"/>
              </w:rPr>
              <w:t>在</w:t>
            </w:r>
            <w:r>
              <w:rPr>
                <w:rFonts w:hint="eastAsia" w:cs="Times New Roman"/>
                <w:kern w:val="2"/>
                <w:sz w:val="24"/>
                <w:szCs w:val="22"/>
                <w:lang w:val="en-US" w:eastAsia="zh-CN" w:bidi="ar-SA"/>
              </w:rPr>
              <w:t>每台</w:t>
            </w:r>
            <w:r>
              <w:rPr>
                <w:rFonts w:hint="eastAsia" w:ascii="Times New Roman" w:hAnsi="Times New Roman" w:eastAsia="宋体" w:cs="Times New Roman"/>
                <w:kern w:val="2"/>
                <w:sz w:val="24"/>
                <w:szCs w:val="22"/>
                <w:lang w:val="en-US" w:eastAsia="zh-CN" w:bidi="ar-SA"/>
              </w:rPr>
              <w:t>球磨机投料口分别安装集气罩，与布袋除尘器密闭连接，布袋除尘器总风量</w:t>
            </w:r>
            <w:r>
              <w:rPr>
                <w:rFonts w:hint="eastAsia" w:cs="Times New Roman"/>
                <w:kern w:val="2"/>
                <w:sz w:val="24"/>
                <w:szCs w:val="22"/>
                <w:lang w:val="en-US" w:eastAsia="zh-CN" w:bidi="ar-SA"/>
              </w:rPr>
              <w:t>60</w:t>
            </w:r>
            <w:r>
              <w:rPr>
                <w:rFonts w:hint="eastAsia" w:ascii="Times New Roman" w:hAnsi="Times New Roman" w:eastAsia="宋体" w:cs="Times New Roman"/>
                <w:kern w:val="2"/>
                <w:sz w:val="24"/>
                <w:szCs w:val="22"/>
                <w:lang w:val="en-US" w:eastAsia="zh-CN" w:bidi="ar-SA"/>
              </w:rPr>
              <w:t>00m</w:t>
            </w:r>
            <w:r>
              <w:rPr>
                <w:rFonts w:hint="eastAsia" w:ascii="Times New Roman" w:hAnsi="Times New Roman" w:eastAsia="宋体" w:cs="Times New Roman"/>
                <w:kern w:val="2"/>
                <w:sz w:val="24"/>
                <w:szCs w:val="22"/>
                <w:vertAlign w:val="superscript"/>
                <w:lang w:val="en-US" w:eastAsia="zh-CN" w:bidi="ar-SA"/>
              </w:rPr>
              <w:t>3</w:t>
            </w:r>
            <w:r>
              <w:rPr>
                <w:rFonts w:hint="eastAsia" w:ascii="Times New Roman" w:hAnsi="Times New Roman" w:eastAsia="宋体" w:cs="Times New Roman"/>
                <w:kern w:val="2"/>
                <w:sz w:val="24"/>
                <w:szCs w:val="22"/>
                <w:lang w:val="en-US" w:eastAsia="zh-CN" w:bidi="ar-SA"/>
              </w:rPr>
              <w:t>/h，</w:t>
            </w:r>
            <w:r>
              <w:rPr>
                <w:rFonts w:hint="eastAsia" w:ascii="Times New Roman" w:hAnsi="Times New Roman" w:eastAsia="宋体" w:cs="Times New Roman"/>
                <w:kern w:val="2"/>
                <w:sz w:val="24"/>
                <w:szCs w:val="22"/>
                <w:lang w:val="fi-FI" w:eastAsia="zh-CN" w:bidi="ar-SA"/>
              </w:rPr>
              <w:t>颗粒物经</w:t>
            </w:r>
            <w:r>
              <w:rPr>
                <w:rFonts w:hint="eastAsia" w:ascii="Times New Roman" w:hAnsi="Times New Roman" w:eastAsia="宋体" w:cs="Times New Roman"/>
                <w:kern w:val="2"/>
                <w:sz w:val="24"/>
                <w:szCs w:val="22"/>
                <w:lang w:val="en-US" w:eastAsia="zh-CN" w:bidi="ar-SA"/>
              </w:rPr>
              <w:t>收尘管道</w:t>
            </w:r>
            <w:r>
              <w:rPr>
                <w:rFonts w:hint="eastAsia" w:ascii="Times New Roman" w:hAnsi="Times New Roman" w:eastAsia="宋体" w:cs="Times New Roman"/>
                <w:kern w:val="2"/>
                <w:sz w:val="24"/>
                <w:szCs w:val="22"/>
                <w:lang w:val="fi-FI" w:eastAsia="zh-CN" w:bidi="ar-SA"/>
              </w:rPr>
              <w:t>进行收集，经布袋除尘装置（处理效率9</w:t>
            </w:r>
            <w:r>
              <w:rPr>
                <w:rFonts w:hint="eastAsia" w:cs="Times New Roman"/>
                <w:kern w:val="2"/>
                <w:sz w:val="24"/>
                <w:szCs w:val="22"/>
                <w:lang w:val="en-US" w:eastAsia="zh-CN" w:bidi="ar-SA"/>
              </w:rPr>
              <w:t>9.5</w:t>
            </w:r>
            <w:r>
              <w:rPr>
                <w:rFonts w:hint="eastAsia" w:ascii="Times New Roman" w:hAnsi="Times New Roman" w:eastAsia="宋体" w:cs="Times New Roman"/>
                <w:kern w:val="2"/>
                <w:sz w:val="24"/>
                <w:szCs w:val="22"/>
                <w:lang w:val="fi-FI" w:eastAsia="zh-CN" w:bidi="ar-SA"/>
              </w:rPr>
              <w:t>%）处理后通过15</w:t>
            </w:r>
            <w:r>
              <w:rPr>
                <w:rFonts w:hint="eastAsia" w:ascii="Times New Roman" w:hAnsi="Times New Roman" w:eastAsia="宋体" w:cs="Times New Roman"/>
                <w:kern w:val="2"/>
                <w:sz w:val="24"/>
                <w:szCs w:val="22"/>
                <w:lang w:val="en-US" w:eastAsia="zh-CN" w:bidi="ar-SA"/>
              </w:rPr>
              <w:t>米</w:t>
            </w:r>
            <w:r>
              <w:rPr>
                <w:rFonts w:hint="eastAsia" w:ascii="Times New Roman" w:hAnsi="Times New Roman" w:eastAsia="宋体" w:cs="Times New Roman"/>
                <w:kern w:val="2"/>
                <w:sz w:val="24"/>
                <w:szCs w:val="22"/>
                <w:lang w:val="fi-FI" w:eastAsia="zh-CN" w:bidi="ar-SA"/>
              </w:rPr>
              <w:t>排气筒排放。故</w:t>
            </w:r>
            <w:r>
              <w:rPr>
                <w:rFonts w:hint="eastAsia" w:ascii="Times New Roman" w:hAnsi="Times New Roman" w:eastAsia="宋体" w:cs="Times New Roman"/>
                <w:kern w:val="2"/>
                <w:sz w:val="24"/>
                <w:szCs w:val="22"/>
                <w:lang w:val="en-US" w:eastAsia="zh-CN" w:bidi="ar-SA"/>
              </w:rPr>
              <w:t>喷雾干燥造粒工序</w:t>
            </w:r>
            <w:r>
              <w:rPr>
                <w:rFonts w:hint="eastAsia" w:ascii="Times New Roman" w:hAnsi="Times New Roman" w:eastAsia="宋体" w:cs="Times New Roman"/>
                <w:kern w:val="2"/>
                <w:sz w:val="24"/>
                <w:szCs w:val="22"/>
                <w:lang w:val="fi-FI" w:eastAsia="zh-CN" w:bidi="ar-SA"/>
              </w:rPr>
              <w:t>有组织排放颗粒物</w:t>
            </w:r>
            <w:r>
              <w:rPr>
                <w:rFonts w:hint="eastAsia" w:ascii="Times New Roman" w:hAnsi="Times New Roman" w:eastAsia="宋体" w:cs="Times New Roman"/>
                <w:kern w:val="2"/>
                <w:sz w:val="24"/>
                <w:szCs w:val="22"/>
                <w:lang w:val="en-US" w:eastAsia="zh-CN" w:bidi="ar-SA"/>
              </w:rPr>
              <w:t>0.</w:t>
            </w:r>
            <w:r>
              <w:rPr>
                <w:rFonts w:hint="eastAsia" w:cs="Times New Roman"/>
                <w:kern w:val="2"/>
                <w:sz w:val="24"/>
                <w:szCs w:val="22"/>
                <w:lang w:val="en-US" w:eastAsia="zh-CN" w:bidi="ar-SA"/>
              </w:rPr>
              <w:t>012</w:t>
            </w:r>
            <w:r>
              <w:rPr>
                <w:rFonts w:hint="eastAsia" w:ascii="Times New Roman" w:hAnsi="Times New Roman" w:eastAsia="宋体" w:cs="Times New Roman"/>
                <w:kern w:val="2"/>
                <w:sz w:val="24"/>
                <w:szCs w:val="22"/>
                <w:lang w:val="fi-FI" w:eastAsia="zh-CN" w:bidi="ar-SA"/>
              </w:rPr>
              <w:t>t/a。</w:t>
            </w:r>
          </w:p>
          <w:p>
            <w:pPr>
              <w:adjustRightInd w:val="0"/>
              <w:snapToGrid w:val="0"/>
              <w:spacing w:line="360" w:lineRule="auto"/>
              <w:ind w:firstLine="480" w:firstLineChars="200"/>
            </w:pPr>
            <w:r>
              <w:rPr>
                <w:rFonts w:hint="eastAsia"/>
                <w:sz w:val="24"/>
              </w:rPr>
              <w:t>燃烧废气：</w:t>
            </w:r>
            <w:r>
              <w:rPr>
                <w:rFonts w:ascii="宋体" w:hAnsi="宋体"/>
                <w:sz w:val="24"/>
                <w:szCs w:val="24"/>
                <w:lang w:val="en-US"/>
              </w:rPr>
              <w:t>本项目</w:t>
            </w:r>
            <w:r>
              <w:rPr>
                <w:rFonts w:hint="eastAsia" w:ascii="宋体" w:hAnsi="宋体"/>
                <w:sz w:val="24"/>
                <w:szCs w:val="24"/>
                <w:lang w:val="en-US" w:eastAsia="zh-CN"/>
              </w:rPr>
              <w:t>喷雾造粒及瓷件烧成</w:t>
            </w:r>
            <w:r>
              <w:rPr>
                <w:rFonts w:ascii="宋体" w:hAnsi="宋体"/>
                <w:sz w:val="24"/>
                <w:szCs w:val="24"/>
                <w:lang w:val="en-US"/>
              </w:rPr>
              <w:t>使用管道天然气为燃料，主要用于天然气</w:t>
            </w:r>
            <w:r>
              <w:rPr>
                <w:rFonts w:hint="eastAsia" w:ascii="宋体" w:hAnsi="宋体"/>
                <w:sz w:val="24"/>
                <w:szCs w:val="24"/>
                <w:lang w:val="en-US"/>
              </w:rPr>
              <w:t>热风装置</w:t>
            </w:r>
            <w:r>
              <w:rPr>
                <w:rFonts w:ascii="宋体" w:hAnsi="宋体"/>
                <w:sz w:val="24"/>
                <w:szCs w:val="24"/>
                <w:lang w:val="en-US"/>
              </w:rPr>
              <w:t>。天然气来源为“西气东输”的天然气。根据资料显示，使用天然气的主要成分为</w:t>
            </w:r>
            <w:r>
              <w:rPr>
                <w:sz w:val="24"/>
                <w:szCs w:val="24"/>
                <w:lang w:val="en-US"/>
              </w:rPr>
              <w:t>CH</w:t>
            </w:r>
            <w:r>
              <w:rPr>
                <w:sz w:val="24"/>
                <w:szCs w:val="24"/>
                <w:vertAlign w:val="subscript"/>
                <w:lang w:val="en-US"/>
              </w:rPr>
              <w:t>4</w:t>
            </w:r>
            <w:r>
              <w:rPr>
                <w:sz w:val="24"/>
                <w:szCs w:val="24"/>
                <w:lang w:val="en-US"/>
              </w:rPr>
              <w:t>95%、C</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1.5%、C</w:t>
            </w:r>
            <w:r>
              <w:rPr>
                <w:sz w:val="24"/>
                <w:szCs w:val="24"/>
                <w:vertAlign w:val="subscript"/>
                <w:lang w:val="en-US"/>
              </w:rPr>
              <w:t>2</w:t>
            </w:r>
            <w:r>
              <w:rPr>
                <w:sz w:val="24"/>
                <w:szCs w:val="24"/>
                <w:lang w:val="en-US"/>
              </w:rPr>
              <w:t>H</w:t>
            </w:r>
            <w:r>
              <w:rPr>
                <w:sz w:val="24"/>
                <w:szCs w:val="24"/>
                <w:vertAlign w:val="subscript"/>
                <w:lang w:val="en-US"/>
              </w:rPr>
              <w:t>6</w:t>
            </w:r>
            <w:r>
              <w:rPr>
                <w:sz w:val="24"/>
                <w:szCs w:val="24"/>
                <w:lang w:val="en-US"/>
              </w:rPr>
              <w:t>0.4%、C</w:t>
            </w:r>
            <w:r>
              <w:rPr>
                <w:sz w:val="24"/>
                <w:szCs w:val="24"/>
                <w:vertAlign w:val="subscript"/>
                <w:lang w:val="en-US"/>
              </w:rPr>
              <w:t>3</w:t>
            </w:r>
            <w:r>
              <w:rPr>
                <w:sz w:val="24"/>
                <w:szCs w:val="24"/>
                <w:lang w:val="en-US"/>
              </w:rPr>
              <w:t>H</w:t>
            </w:r>
            <w:r>
              <w:rPr>
                <w:sz w:val="24"/>
                <w:szCs w:val="24"/>
                <w:vertAlign w:val="subscript"/>
                <w:lang w:val="en-US"/>
              </w:rPr>
              <w:t>8</w:t>
            </w:r>
            <w:r>
              <w:rPr>
                <w:sz w:val="24"/>
                <w:szCs w:val="24"/>
                <w:lang w:val="en-US"/>
              </w:rPr>
              <w:t>0.8%、N</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+Ne约1%、H</w:t>
            </w:r>
            <w:r>
              <w:rPr>
                <w:sz w:val="24"/>
                <w:szCs w:val="24"/>
                <w:vertAlign w:val="subscript"/>
                <w:lang w:val="en-US"/>
              </w:rPr>
              <w:t>2</w:t>
            </w:r>
            <w:r>
              <w:rPr>
                <w:sz w:val="24"/>
                <w:szCs w:val="24"/>
                <w:lang w:val="en-US"/>
              </w:rPr>
              <w:t>S≤20mg/m</w:t>
            </w:r>
            <w:r>
              <w:rPr>
                <w:sz w:val="24"/>
                <w:szCs w:val="24"/>
                <w:vertAlign w:val="superscript"/>
                <w:lang w:val="en-US"/>
              </w:rPr>
              <w:t>3</w:t>
            </w:r>
            <w:r>
              <w:rPr>
                <w:sz w:val="24"/>
                <w:szCs w:val="24"/>
                <w:lang w:val="en-US"/>
              </w:rPr>
              <w:t>、</w:t>
            </w:r>
            <w:r>
              <w:rPr>
                <w:rFonts w:ascii="宋体" w:hAnsi="宋体"/>
                <w:sz w:val="24"/>
                <w:szCs w:val="24"/>
                <w:lang w:val="en-US"/>
              </w:rPr>
              <w:t>总硫（以硫计）</w:t>
            </w:r>
            <w:r>
              <w:rPr>
                <w:sz w:val="24"/>
                <w:szCs w:val="24"/>
                <w:lang w:val="en-US"/>
              </w:rPr>
              <w:t>≤200mg/m</w:t>
            </w:r>
            <w:r>
              <w:rPr>
                <w:sz w:val="24"/>
                <w:szCs w:val="24"/>
                <w:vertAlign w:val="superscript"/>
                <w:lang w:val="en-US"/>
              </w:rPr>
              <w:t>3</w:t>
            </w:r>
            <w:r>
              <w:rPr>
                <w:rFonts w:ascii="宋体" w:hAnsi="宋体"/>
                <w:sz w:val="24"/>
                <w:szCs w:val="24"/>
                <w:lang w:val="en-US"/>
              </w:rPr>
              <w:t>。</w:t>
            </w:r>
            <w:r>
              <w:rPr>
                <w:rFonts w:ascii="宋体" w:hAnsi="宋体"/>
                <w:sz w:val="24"/>
                <w:szCs w:val="24"/>
                <w:lang w:val="en-US"/>
              </w:rPr>
              <w:br w:type="textWrapping"/>
            </w:r>
            <w:r>
              <w:rPr>
                <w:rFonts w:hint="eastAsia" w:ascii="宋体" w:hAnsi="宋体"/>
                <w:sz w:val="24"/>
                <w:szCs w:val="24"/>
                <w:lang w:val="en-US"/>
              </w:rPr>
              <w:t xml:space="preserve">    </w:t>
            </w:r>
            <w:r>
              <w:rPr>
                <w:sz w:val="24"/>
                <w:szCs w:val="24"/>
                <w:lang w:val="en-US"/>
              </w:rPr>
              <w:t>本项目天然气</w:t>
            </w:r>
            <w:r>
              <w:rPr>
                <w:rFonts w:hint="eastAsia" w:ascii="宋体" w:hAnsi="宋体"/>
                <w:sz w:val="24"/>
                <w:szCs w:val="24"/>
                <w:lang w:val="en-US" w:eastAsia="zh-CN"/>
              </w:rPr>
              <w:t>喷雾造粒及烧成</w:t>
            </w:r>
            <w:r>
              <w:rPr>
                <w:sz w:val="24"/>
                <w:szCs w:val="24"/>
                <w:lang w:val="en-US"/>
              </w:rPr>
              <w:t>年消耗天然气</w:t>
            </w:r>
            <w:r>
              <w:rPr>
                <w:rFonts w:hint="eastAsia"/>
                <w:sz w:val="24"/>
                <w:szCs w:val="24"/>
                <w:lang w:val="en-US" w:eastAsia="zh-CN"/>
              </w:rPr>
              <w:t>约</w:t>
            </w:r>
            <w:r>
              <w:rPr>
                <w:rFonts w:hint="eastAsia"/>
                <w:bCs/>
                <w:sz w:val="24"/>
                <w:szCs w:val="24"/>
                <w:lang w:val="en-US" w:eastAsia="zh-CN"/>
              </w:rPr>
              <w:t>4</w:t>
            </w:r>
            <w:r>
              <w:rPr>
                <w:rFonts w:hint="eastAsia"/>
                <w:bCs/>
                <w:sz w:val="24"/>
                <w:szCs w:val="24"/>
              </w:rPr>
              <w:t>0</w:t>
            </w:r>
            <w:r>
              <w:rPr>
                <w:sz w:val="24"/>
                <w:szCs w:val="24"/>
                <w:lang w:val="en-US"/>
              </w:rPr>
              <w:t>万m</w:t>
            </w:r>
            <w:r>
              <w:rPr>
                <w:sz w:val="24"/>
                <w:szCs w:val="24"/>
                <w:vertAlign w:val="superscript"/>
                <w:lang w:val="en-US"/>
              </w:rPr>
              <w:t>3</w:t>
            </w:r>
            <w:r>
              <w:rPr>
                <w:rFonts w:hint="eastAsia"/>
                <w:sz w:val="24"/>
                <w:szCs w:val="24"/>
                <w:lang w:val="en-US"/>
              </w:rPr>
              <w:t>，经机械通风（</w:t>
            </w:r>
            <w:r>
              <w:rPr>
                <w:sz w:val="24"/>
                <w:lang w:val="en-US"/>
              </w:rPr>
              <w:t>风量为</w:t>
            </w:r>
            <w:r>
              <w:rPr>
                <w:rFonts w:hint="eastAsia"/>
                <w:sz w:val="24"/>
                <w:lang w:val="en-US" w:eastAsia="zh-CN"/>
              </w:rPr>
              <w:t>80</w:t>
            </w:r>
            <w:r>
              <w:rPr>
                <w:rFonts w:hint="eastAsia"/>
                <w:sz w:val="24"/>
                <w:lang w:val="en-US"/>
              </w:rPr>
              <w:t>0</w:t>
            </w:r>
            <w:r>
              <w:rPr>
                <w:sz w:val="24"/>
                <w:lang w:val="en-US"/>
              </w:rPr>
              <w:t>m</w:t>
            </w:r>
            <w:r>
              <w:rPr>
                <w:sz w:val="24"/>
                <w:vertAlign w:val="superscript"/>
                <w:lang w:val="en-US"/>
              </w:rPr>
              <w:t>3</w:t>
            </w:r>
            <w:r>
              <w:rPr>
                <w:sz w:val="24"/>
                <w:lang w:val="en-US"/>
              </w:rPr>
              <w:t>/h</w:t>
            </w:r>
            <w:r>
              <w:rPr>
                <w:rFonts w:hint="eastAsia"/>
                <w:sz w:val="24"/>
                <w:szCs w:val="24"/>
                <w:lang w:val="en-US"/>
              </w:rPr>
              <w:t>）通过15米排气筒排放</w:t>
            </w:r>
            <w:r>
              <w:rPr>
                <w:sz w:val="24"/>
                <w:szCs w:val="24"/>
                <w:lang w:val="en-US"/>
              </w:rPr>
              <w:t>。参照《第一次全国污染源普查工业污染源产排污系数手册》第十分册4430工业锅炉（热力生产和供应行业）产排污系数表-燃气锅炉可知，燃烧天然气工业废气量为产污系数为13.6标万立方米/万立方米-原料、二氧化硫产污系数为0.02S千克/万立方米-原料、氮氧化物产污系数为18.71千克/万立方米-原料。由港华燃气公司提供资料，西气东输天然气中总硫（以硫计）≤200毫克/立方米；参照《环境保护使用数据手册》（机械工业出版社，胡名操主编）的方法计算燃料废气中的污染物，颗粒物产污系数为2.4千克/万立方米-原料。</w:t>
            </w:r>
            <w:r>
              <w:rPr>
                <w:rFonts w:hint="eastAsia"/>
                <w:sz w:val="24"/>
                <w:szCs w:val="24"/>
              </w:rPr>
              <w:t>本项目气污染物量计算结果详见</w:t>
            </w:r>
            <w:r>
              <w:rPr>
                <w:rFonts w:hint="eastAsia"/>
                <w:bCs/>
                <w:sz w:val="24"/>
                <w:szCs w:val="24"/>
              </w:rPr>
              <w:t>表</w:t>
            </w:r>
            <w:r>
              <w:rPr>
                <w:rFonts w:eastAsiaTheme="minorEastAsia"/>
                <w:bCs/>
                <w:szCs w:val="21"/>
              </w:rPr>
              <w:t>5-</w:t>
            </w:r>
            <w:r>
              <w:rPr>
                <w:rFonts w:hint="eastAsia" w:eastAsiaTheme="minorEastAsia"/>
                <w:bCs/>
                <w:szCs w:val="21"/>
              </w:rPr>
              <w:t>1</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表</w:t>
            </w:r>
            <w:r>
              <w:rPr>
                <w:rFonts w:eastAsiaTheme="minorEastAsia"/>
                <w:b/>
                <w:color w:val="000000" w:themeColor="text1"/>
                <w:sz w:val="24"/>
                <w:szCs w:val="24"/>
              </w:rPr>
              <w:t>5-1</w:t>
            </w:r>
            <w:r>
              <w:rPr>
                <w:rFonts w:hint="eastAsia" w:asciiTheme="minorEastAsia" w:hAnsiTheme="minorEastAsia" w:eastAsiaTheme="minorEastAsia"/>
                <w:b/>
                <w:color w:val="000000" w:themeColor="text1"/>
                <w:sz w:val="24"/>
                <w:szCs w:val="24"/>
              </w:rPr>
              <w:t xml:space="preserve">  </w:t>
            </w:r>
            <w:r>
              <w:rPr>
                <w:rFonts w:asciiTheme="minorEastAsia" w:hAnsiTheme="minorEastAsia" w:eastAsiaTheme="minorEastAsia"/>
                <w:b/>
                <w:color w:val="000000" w:themeColor="text1"/>
                <w:sz w:val="24"/>
                <w:szCs w:val="24"/>
              </w:rPr>
              <w:t>废气产生源强</w:t>
            </w:r>
          </w:p>
          <w:tbl>
            <w:tblPr>
              <w:tblStyle w:val="75"/>
              <w:tblW w:w="835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05"/>
              <w:gridCol w:w="1394"/>
              <w:gridCol w:w="850"/>
              <w:gridCol w:w="1345"/>
              <w:gridCol w:w="1362"/>
              <w:gridCol w:w="856"/>
              <w:gridCol w:w="68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62" w:type="dxa"/>
                  <w:vMerge w:val="restart"/>
                  <w:vAlign w:val="center"/>
                </w:tcPr>
                <w:p>
                  <w:pPr>
                    <w:jc w:val="center"/>
                    <w:rPr>
                      <w:b/>
                      <w:color w:val="000000" w:themeColor="text1"/>
                      <w:szCs w:val="21"/>
                    </w:rPr>
                  </w:pPr>
                  <w:r>
                    <w:rPr>
                      <w:b/>
                      <w:color w:val="000000" w:themeColor="text1"/>
                      <w:szCs w:val="21"/>
                    </w:rPr>
                    <w:t>产生工序及位置</w:t>
                  </w:r>
                </w:p>
              </w:tc>
              <w:tc>
                <w:tcPr>
                  <w:tcW w:w="1005" w:type="dxa"/>
                  <w:vMerge w:val="restart"/>
                  <w:vAlign w:val="center"/>
                </w:tcPr>
                <w:p>
                  <w:pPr>
                    <w:jc w:val="center"/>
                    <w:rPr>
                      <w:b/>
                      <w:color w:val="000000" w:themeColor="text1"/>
                      <w:szCs w:val="21"/>
                    </w:rPr>
                  </w:pPr>
                  <w:r>
                    <w:rPr>
                      <w:b/>
                      <w:color w:val="000000" w:themeColor="text1"/>
                      <w:szCs w:val="21"/>
                    </w:rPr>
                    <w:t>污染物</w:t>
                  </w:r>
                </w:p>
              </w:tc>
              <w:tc>
                <w:tcPr>
                  <w:tcW w:w="2244" w:type="dxa"/>
                  <w:gridSpan w:val="2"/>
                  <w:vAlign w:val="center"/>
                </w:tcPr>
                <w:p>
                  <w:pPr>
                    <w:jc w:val="center"/>
                    <w:rPr>
                      <w:b/>
                      <w:color w:val="000000" w:themeColor="text1"/>
                      <w:szCs w:val="21"/>
                    </w:rPr>
                  </w:pPr>
                  <w:r>
                    <w:rPr>
                      <w:b/>
                      <w:color w:val="000000" w:themeColor="text1"/>
                      <w:szCs w:val="21"/>
                    </w:rPr>
                    <w:t>产生情况</w:t>
                  </w:r>
                </w:p>
              </w:tc>
              <w:tc>
                <w:tcPr>
                  <w:tcW w:w="1345" w:type="dxa"/>
                  <w:vMerge w:val="restart"/>
                  <w:vAlign w:val="center"/>
                </w:tcPr>
                <w:p>
                  <w:pPr>
                    <w:jc w:val="center"/>
                    <w:rPr>
                      <w:b/>
                      <w:color w:val="000000" w:themeColor="text1"/>
                      <w:szCs w:val="21"/>
                    </w:rPr>
                  </w:pPr>
                  <w:r>
                    <w:rPr>
                      <w:b/>
                      <w:color w:val="000000" w:themeColor="text1"/>
                      <w:szCs w:val="21"/>
                    </w:rPr>
                    <w:t>治理措施</w:t>
                  </w:r>
                </w:p>
              </w:tc>
              <w:tc>
                <w:tcPr>
                  <w:tcW w:w="2218" w:type="dxa"/>
                  <w:gridSpan w:val="2"/>
                  <w:vAlign w:val="center"/>
                </w:tcPr>
                <w:p>
                  <w:pPr>
                    <w:jc w:val="center"/>
                    <w:rPr>
                      <w:b/>
                      <w:color w:val="000000" w:themeColor="text1"/>
                      <w:szCs w:val="21"/>
                    </w:rPr>
                  </w:pPr>
                  <w:r>
                    <w:rPr>
                      <w:b/>
                      <w:color w:val="000000" w:themeColor="text1"/>
                      <w:szCs w:val="21"/>
                    </w:rPr>
                    <w:t>排放情况</w:t>
                  </w:r>
                </w:p>
              </w:tc>
              <w:tc>
                <w:tcPr>
                  <w:tcW w:w="684" w:type="dxa"/>
                  <w:vMerge w:val="restart"/>
                  <w:vAlign w:val="center"/>
                </w:tcPr>
                <w:p>
                  <w:pPr>
                    <w:jc w:val="center"/>
                    <w:rPr>
                      <w:b/>
                      <w:color w:val="000000" w:themeColor="text1"/>
                      <w:szCs w:val="21"/>
                    </w:rPr>
                  </w:pPr>
                  <w:r>
                    <w:rPr>
                      <w:b/>
                      <w:color w:val="000000" w:themeColor="text1"/>
                      <w:szCs w:val="21"/>
                    </w:rPr>
                    <w:t>排放</w:t>
                  </w:r>
                </w:p>
                <w:p>
                  <w:pPr>
                    <w:jc w:val="center"/>
                    <w:rPr>
                      <w:b/>
                      <w:color w:val="000000" w:themeColor="text1"/>
                      <w:szCs w:val="21"/>
                    </w:rPr>
                  </w:pPr>
                  <w:r>
                    <w:rPr>
                      <w:b/>
                      <w:color w:val="000000" w:themeColor="text1"/>
                      <w:szCs w:val="21"/>
                    </w:rPr>
                    <w:t>去向</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62" w:type="dxa"/>
                  <w:vMerge w:val="continue"/>
                  <w:vAlign w:val="center"/>
                </w:tcPr>
                <w:p>
                  <w:pPr>
                    <w:jc w:val="center"/>
                    <w:rPr>
                      <w:b/>
                      <w:color w:val="000000" w:themeColor="text1"/>
                      <w:szCs w:val="21"/>
                    </w:rPr>
                  </w:pPr>
                </w:p>
              </w:tc>
              <w:tc>
                <w:tcPr>
                  <w:tcW w:w="1005" w:type="dxa"/>
                  <w:vMerge w:val="continue"/>
                  <w:vAlign w:val="center"/>
                </w:tcPr>
                <w:p>
                  <w:pPr>
                    <w:jc w:val="center"/>
                    <w:rPr>
                      <w:b/>
                      <w:color w:val="000000" w:themeColor="text1"/>
                      <w:szCs w:val="21"/>
                    </w:rPr>
                  </w:pPr>
                </w:p>
              </w:tc>
              <w:tc>
                <w:tcPr>
                  <w:tcW w:w="1394" w:type="dxa"/>
                  <w:vAlign w:val="center"/>
                </w:tcPr>
                <w:p>
                  <w:pPr>
                    <w:jc w:val="center"/>
                    <w:rPr>
                      <w:b/>
                      <w:color w:val="000000" w:themeColor="text1"/>
                      <w:szCs w:val="21"/>
                    </w:rPr>
                  </w:pPr>
                  <w:r>
                    <w:rPr>
                      <w:b/>
                      <w:color w:val="000000" w:themeColor="text1"/>
                      <w:szCs w:val="21"/>
                    </w:rPr>
                    <w:t>浓度（mg/Nm</w:t>
                  </w:r>
                  <w:r>
                    <w:rPr>
                      <w:b/>
                      <w:color w:val="000000" w:themeColor="text1"/>
                      <w:szCs w:val="21"/>
                      <w:vertAlign w:val="superscript"/>
                    </w:rPr>
                    <w:t>3</w:t>
                  </w:r>
                  <w:r>
                    <w:rPr>
                      <w:b/>
                      <w:color w:val="000000" w:themeColor="text1"/>
                      <w:szCs w:val="21"/>
                    </w:rPr>
                    <w:t>）</w:t>
                  </w:r>
                </w:p>
              </w:tc>
              <w:tc>
                <w:tcPr>
                  <w:tcW w:w="850" w:type="dxa"/>
                  <w:vAlign w:val="center"/>
                </w:tcPr>
                <w:p>
                  <w:pPr>
                    <w:jc w:val="center"/>
                    <w:rPr>
                      <w:b/>
                      <w:color w:val="000000" w:themeColor="text1"/>
                      <w:szCs w:val="21"/>
                    </w:rPr>
                  </w:pPr>
                  <w:r>
                    <w:rPr>
                      <w:b/>
                      <w:color w:val="000000" w:themeColor="text1"/>
                      <w:szCs w:val="21"/>
                    </w:rPr>
                    <w:t>产生量（t/a）</w:t>
                  </w:r>
                </w:p>
              </w:tc>
              <w:tc>
                <w:tcPr>
                  <w:tcW w:w="1345" w:type="dxa"/>
                  <w:vMerge w:val="continue"/>
                  <w:vAlign w:val="center"/>
                </w:tcPr>
                <w:p>
                  <w:pPr>
                    <w:jc w:val="center"/>
                    <w:rPr>
                      <w:color w:val="000000" w:themeColor="text1"/>
                      <w:szCs w:val="21"/>
                    </w:rPr>
                  </w:pPr>
                </w:p>
              </w:tc>
              <w:tc>
                <w:tcPr>
                  <w:tcW w:w="1362" w:type="dxa"/>
                  <w:vAlign w:val="center"/>
                </w:tcPr>
                <w:p>
                  <w:pPr>
                    <w:jc w:val="center"/>
                    <w:rPr>
                      <w:b/>
                      <w:color w:val="000000" w:themeColor="text1"/>
                      <w:szCs w:val="21"/>
                    </w:rPr>
                  </w:pPr>
                  <w:r>
                    <w:rPr>
                      <w:b/>
                      <w:color w:val="000000" w:themeColor="text1"/>
                      <w:szCs w:val="21"/>
                    </w:rPr>
                    <w:t>浓度（mg/Nm</w:t>
                  </w:r>
                  <w:r>
                    <w:rPr>
                      <w:b/>
                      <w:color w:val="000000" w:themeColor="text1"/>
                      <w:szCs w:val="21"/>
                      <w:vertAlign w:val="superscript"/>
                    </w:rPr>
                    <w:t>3</w:t>
                  </w:r>
                  <w:r>
                    <w:rPr>
                      <w:b/>
                      <w:color w:val="000000" w:themeColor="text1"/>
                      <w:szCs w:val="21"/>
                    </w:rPr>
                    <w:t>）</w:t>
                  </w:r>
                </w:p>
              </w:tc>
              <w:tc>
                <w:tcPr>
                  <w:tcW w:w="856" w:type="dxa"/>
                  <w:vAlign w:val="center"/>
                </w:tcPr>
                <w:p>
                  <w:pPr>
                    <w:jc w:val="center"/>
                    <w:rPr>
                      <w:b/>
                      <w:color w:val="000000" w:themeColor="text1"/>
                      <w:szCs w:val="21"/>
                    </w:rPr>
                  </w:pPr>
                  <w:r>
                    <w:rPr>
                      <w:b/>
                      <w:color w:val="000000" w:themeColor="text1"/>
                      <w:szCs w:val="21"/>
                    </w:rPr>
                    <w:t>排放量（t/a）</w:t>
                  </w:r>
                </w:p>
              </w:tc>
              <w:tc>
                <w:tcPr>
                  <w:tcW w:w="684" w:type="dxa"/>
                  <w:vMerge w:val="continue"/>
                  <w:vAlign w:val="center"/>
                </w:tcPr>
                <w:p>
                  <w:pPr>
                    <w:jc w:val="center"/>
                    <w:rPr>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Merge w:val="restart"/>
                  <w:vAlign w:val="center"/>
                </w:tcPr>
                <w:p>
                  <w:pPr>
                    <w:jc w:val="center"/>
                    <w:rPr>
                      <w:color w:val="000000" w:themeColor="text1"/>
                      <w:szCs w:val="21"/>
                    </w:rPr>
                  </w:pPr>
                  <w:r>
                    <w:rPr>
                      <w:rFonts w:hint="eastAsia"/>
                      <w:color w:val="000000" w:themeColor="text1"/>
                      <w:szCs w:val="21"/>
                      <w:lang w:val="en-US"/>
                    </w:rPr>
                    <w:t>投料</w:t>
                  </w:r>
                  <w:r>
                    <w:rPr>
                      <w:rFonts w:hint="eastAsia"/>
                      <w:color w:val="000000" w:themeColor="text1"/>
                      <w:szCs w:val="21"/>
                      <w:lang w:val="en-US" w:eastAsia="zh-CN"/>
                    </w:rPr>
                    <w:t>、球磨</w:t>
                  </w:r>
                  <w:r>
                    <w:rPr>
                      <w:color w:val="000000" w:themeColor="text1"/>
                      <w:szCs w:val="21"/>
                      <w:lang w:val="en-US"/>
                    </w:rPr>
                    <w:t>工序</w:t>
                  </w:r>
                </w:p>
              </w:tc>
              <w:tc>
                <w:tcPr>
                  <w:tcW w:w="1005" w:type="dxa"/>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颗粒物</w:t>
                  </w:r>
                </w:p>
              </w:tc>
              <w:tc>
                <w:tcPr>
                  <w:tcW w:w="1394" w:type="dxa"/>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w:t>
                  </w:r>
                </w:p>
              </w:tc>
              <w:tc>
                <w:tcPr>
                  <w:tcW w:w="850"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0.11</w:t>
                  </w:r>
                </w:p>
              </w:tc>
              <w:tc>
                <w:tcPr>
                  <w:tcW w:w="1345" w:type="dxa"/>
                  <w:vAlign w:val="center"/>
                </w:tcPr>
                <w:p>
                  <w:pPr>
                    <w:jc w:val="center"/>
                    <w:rPr>
                      <w:color w:val="000000" w:themeColor="text1"/>
                      <w:szCs w:val="21"/>
                    </w:rPr>
                  </w:pPr>
                  <w:r>
                    <w:rPr>
                      <w:color w:val="000000" w:themeColor="text1"/>
                      <w:szCs w:val="21"/>
                    </w:rPr>
                    <w:t>机械通风装置</w:t>
                  </w:r>
                </w:p>
              </w:tc>
              <w:tc>
                <w:tcPr>
                  <w:tcW w:w="1362" w:type="dxa"/>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w:t>
                  </w:r>
                </w:p>
              </w:tc>
              <w:tc>
                <w:tcPr>
                  <w:tcW w:w="856"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0.11</w:t>
                  </w:r>
                </w:p>
              </w:tc>
              <w:tc>
                <w:tcPr>
                  <w:tcW w:w="684" w:type="dxa"/>
                  <w:vAlign w:val="center"/>
                </w:tcPr>
                <w:p>
                  <w:pPr>
                    <w:jc w:val="center"/>
                    <w:rPr>
                      <w:color w:val="000000" w:themeColor="text1"/>
                      <w:szCs w:val="21"/>
                    </w:rPr>
                  </w:pPr>
                  <w:r>
                    <w:rPr>
                      <w:color w:val="000000" w:themeColor="text1"/>
                      <w:szCs w:val="21"/>
                    </w:rPr>
                    <w:t>无组织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Merge w:val="continue"/>
                  <w:vAlign w:val="center"/>
                </w:tcPr>
                <w:p>
                  <w:pPr>
                    <w:jc w:val="center"/>
                    <w:rPr>
                      <w:color w:val="000000" w:themeColor="text1"/>
                      <w:szCs w:val="21"/>
                    </w:rPr>
                  </w:pPr>
                </w:p>
              </w:tc>
              <w:tc>
                <w:tcPr>
                  <w:tcW w:w="1005" w:type="dxa"/>
                  <w:vAlign w:val="center"/>
                </w:tcPr>
                <w:p>
                  <w:pPr>
                    <w:jc w:val="center"/>
                    <w:rPr>
                      <w:rFonts w:cs="Times New Roman" w:asciiTheme="minorEastAsia" w:hAnsiTheme="minorEastAsia" w:eastAsiaTheme="minorEastAsia"/>
                      <w:color w:val="000000" w:themeColor="text1"/>
                      <w:kern w:val="2"/>
                      <w:sz w:val="21"/>
                      <w:szCs w:val="21"/>
                      <w:lang w:val="fi-FI" w:eastAsia="zh-CN" w:bidi="ar-SA"/>
                    </w:rPr>
                  </w:pPr>
                  <w:r>
                    <w:rPr>
                      <w:rFonts w:asciiTheme="minorEastAsia" w:hAnsiTheme="minorEastAsia" w:eastAsiaTheme="minorEastAsia"/>
                      <w:color w:val="000000" w:themeColor="text1"/>
                      <w:szCs w:val="21"/>
                    </w:rPr>
                    <w:t>颗粒物</w:t>
                  </w:r>
                </w:p>
              </w:tc>
              <w:tc>
                <w:tcPr>
                  <w:tcW w:w="1394" w:type="dxa"/>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83.6</w:t>
                  </w:r>
                </w:p>
              </w:tc>
              <w:tc>
                <w:tcPr>
                  <w:tcW w:w="850" w:type="dxa"/>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w:t>
                  </w:r>
                </w:p>
              </w:tc>
              <w:tc>
                <w:tcPr>
                  <w:tcW w:w="1345" w:type="dxa"/>
                  <w:vAlign w:val="center"/>
                </w:tcPr>
                <w:p>
                  <w:pPr>
                    <w:jc w:val="center"/>
                    <w:rPr>
                      <w:rFonts w:ascii="Times New Roman" w:hAnsi="Times New Roman" w:eastAsia="宋体" w:cs="Times New Roman"/>
                      <w:color w:val="000000" w:themeColor="text1"/>
                      <w:kern w:val="2"/>
                      <w:sz w:val="21"/>
                      <w:szCs w:val="21"/>
                      <w:lang w:val="fi-FI" w:eastAsia="zh-CN" w:bidi="ar-SA"/>
                    </w:rPr>
                  </w:pPr>
                  <w:r>
                    <w:rPr>
                      <w:rFonts w:hint="eastAsia"/>
                      <w:color w:val="000000" w:themeColor="text1"/>
                      <w:szCs w:val="21"/>
                      <w:lang w:val="en-US"/>
                    </w:rPr>
                    <w:t>集气罩</w:t>
                  </w:r>
                  <w:r>
                    <w:rPr>
                      <w:rFonts w:hint="eastAsia"/>
                      <w:color w:val="000000" w:themeColor="text1"/>
                      <w:szCs w:val="21"/>
                      <w:lang w:val="en-US" w:eastAsia="zh-CN"/>
                    </w:rPr>
                    <w:t>+</w:t>
                  </w:r>
                  <w:r>
                    <w:rPr>
                      <w:color w:val="000000" w:themeColor="text1"/>
                      <w:szCs w:val="21"/>
                    </w:rPr>
                    <w:t>布袋除尘器</w:t>
                  </w:r>
                </w:p>
              </w:tc>
              <w:tc>
                <w:tcPr>
                  <w:tcW w:w="1362" w:type="dxa"/>
                  <w:vMerge w:val="restar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3.99</w:t>
                  </w:r>
                </w:p>
              </w:tc>
              <w:tc>
                <w:tcPr>
                  <w:tcW w:w="856" w:type="dxa"/>
                  <w:vMerge w:val="restart"/>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cs="Times New Roman" w:eastAsiaTheme="minorEastAsia"/>
                      <w:color w:val="000000" w:themeColor="text1"/>
                      <w:kern w:val="2"/>
                      <w:sz w:val="21"/>
                      <w:szCs w:val="21"/>
                      <w:lang w:val="en-US" w:eastAsia="zh-CN" w:bidi="ar-SA"/>
                    </w:rPr>
                    <w:t>0.113</w:t>
                  </w:r>
                </w:p>
              </w:tc>
              <w:tc>
                <w:tcPr>
                  <w:tcW w:w="684" w:type="dxa"/>
                  <w:vMerge w:val="restart"/>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DA001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Align w:val="center"/>
                </w:tcPr>
                <w:p>
                  <w:pPr>
                    <w:jc w:val="center"/>
                    <w:rPr>
                      <w:color w:val="000000" w:themeColor="text1"/>
                      <w:szCs w:val="21"/>
                    </w:rPr>
                  </w:pPr>
                  <w:r>
                    <w:rPr>
                      <w:rFonts w:hint="eastAsia"/>
                      <w:color w:val="000000" w:themeColor="text1"/>
                      <w:szCs w:val="21"/>
                      <w:lang w:val="en-US"/>
                    </w:rPr>
                    <w:t>喷雾干燥造粒工序</w:t>
                  </w:r>
                </w:p>
              </w:tc>
              <w:tc>
                <w:tcPr>
                  <w:tcW w:w="1005" w:type="dxa"/>
                  <w:vAlign w:val="center"/>
                </w:tcPr>
                <w:p>
                  <w:pPr>
                    <w:jc w:val="center"/>
                    <w:rPr>
                      <w:rFonts w:asciiTheme="minorEastAsia" w:hAnsiTheme="minorEastAsia" w:eastAsiaTheme="minorEastAsia"/>
                      <w:color w:val="000000" w:themeColor="text1"/>
                      <w:szCs w:val="21"/>
                      <w:lang w:val="en-US"/>
                    </w:rPr>
                  </w:pPr>
                  <w:r>
                    <w:rPr>
                      <w:rFonts w:asciiTheme="minorEastAsia" w:hAnsiTheme="minorEastAsia" w:eastAsiaTheme="minorEastAsia"/>
                      <w:color w:val="000000" w:themeColor="text1"/>
                      <w:szCs w:val="21"/>
                    </w:rPr>
                    <w:t>颗粒物</w:t>
                  </w:r>
                </w:p>
              </w:tc>
              <w:tc>
                <w:tcPr>
                  <w:tcW w:w="1394"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160.41</w:t>
                  </w:r>
                </w:p>
              </w:tc>
              <w:tc>
                <w:tcPr>
                  <w:tcW w:w="850"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2.31</w:t>
                  </w:r>
                </w:p>
              </w:tc>
              <w:tc>
                <w:tcPr>
                  <w:tcW w:w="1345" w:type="dxa"/>
                  <w:vAlign w:val="center"/>
                </w:tcPr>
                <w:p>
                  <w:pPr>
                    <w:jc w:val="center"/>
                    <w:rPr>
                      <w:color w:val="000000" w:themeColor="text1"/>
                      <w:szCs w:val="21"/>
                    </w:rPr>
                  </w:pPr>
                  <w:r>
                    <w:rPr>
                      <w:rFonts w:hint="eastAsia"/>
                      <w:color w:val="000000" w:themeColor="text1"/>
                      <w:szCs w:val="21"/>
                      <w:lang w:val="en-US"/>
                    </w:rPr>
                    <w:t>集气罩</w:t>
                  </w:r>
                  <w:r>
                    <w:rPr>
                      <w:rFonts w:hint="eastAsia"/>
                      <w:color w:val="000000" w:themeColor="text1"/>
                      <w:szCs w:val="21"/>
                      <w:lang w:val="en-US" w:eastAsia="zh-CN"/>
                    </w:rPr>
                    <w:t>+</w:t>
                  </w:r>
                  <w:r>
                    <w:rPr>
                      <w:color w:val="000000" w:themeColor="text1"/>
                      <w:szCs w:val="21"/>
                    </w:rPr>
                    <w:t>布袋除尘器</w:t>
                  </w:r>
                </w:p>
              </w:tc>
              <w:tc>
                <w:tcPr>
                  <w:tcW w:w="1362" w:type="dxa"/>
                  <w:vMerge w:val="continue"/>
                  <w:vAlign w:val="center"/>
                </w:tcPr>
                <w:p>
                  <w:pPr>
                    <w:jc w:val="center"/>
                    <w:rPr>
                      <w:rFonts w:hint="default" w:eastAsia="宋体"/>
                      <w:color w:val="000000" w:themeColor="text1"/>
                      <w:szCs w:val="21"/>
                      <w:lang w:val="en-US" w:eastAsia="zh-CN"/>
                    </w:rPr>
                  </w:pPr>
                </w:p>
              </w:tc>
              <w:tc>
                <w:tcPr>
                  <w:tcW w:w="856" w:type="dxa"/>
                  <w:vMerge w:val="continue"/>
                  <w:vAlign w:val="center"/>
                </w:tcPr>
                <w:p>
                  <w:pPr>
                    <w:jc w:val="center"/>
                    <w:rPr>
                      <w:rFonts w:hint="default" w:eastAsia="宋体"/>
                      <w:color w:val="000000" w:themeColor="text1"/>
                      <w:szCs w:val="21"/>
                      <w:lang w:val="en-US" w:eastAsia="zh-CN"/>
                    </w:rPr>
                  </w:pPr>
                </w:p>
              </w:tc>
              <w:tc>
                <w:tcPr>
                  <w:tcW w:w="684" w:type="dxa"/>
                  <w:vMerge w:val="continue"/>
                  <w:vAlign w:val="center"/>
                </w:tcPr>
                <w:p>
                  <w:pPr>
                    <w:jc w:val="center"/>
                    <w:rPr>
                      <w:rFonts w:hint="default" w:eastAsia="宋体"/>
                      <w:color w:val="000000" w:themeColor="text1"/>
                      <w:szCs w:val="21"/>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Merge w:val="restart"/>
                  <w:vAlign w:val="center"/>
                </w:tcPr>
                <w:p>
                  <w:pPr>
                    <w:jc w:val="center"/>
                    <w:rPr>
                      <w:color w:val="000000" w:themeColor="text1"/>
                      <w:szCs w:val="21"/>
                      <w:lang w:val="en-US"/>
                    </w:rPr>
                  </w:pPr>
                  <w:r>
                    <w:rPr>
                      <w:color w:val="000000" w:themeColor="text1"/>
                      <w:szCs w:val="21"/>
                      <w:lang w:val="en-US"/>
                    </w:rPr>
                    <w:t>天然气热风装置</w:t>
                  </w:r>
                </w:p>
              </w:tc>
              <w:tc>
                <w:tcPr>
                  <w:tcW w:w="1005" w:type="dxa"/>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pacing w:val="10"/>
                      <w:szCs w:val="21"/>
                      <w:lang w:val="en-US"/>
                    </w:rPr>
                    <w:t>颗粒物</w:t>
                  </w:r>
                </w:p>
              </w:tc>
              <w:tc>
                <w:tcPr>
                  <w:tcW w:w="1394"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17.65</w:t>
                  </w:r>
                </w:p>
              </w:tc>
              <w:tc>
                <w:tcPr>
                  <w:tcW w:w="850"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0.096</w:t>
                  </w:r>
                </w:p>
              </w:tc>
              <w:tc>
                <w:tcPr>
                  <w:tcW w:w="1345" w:type="dxa"/>
                  <w:vMerge w:val="restart"/>
                  <w:vAlign w:val="center"/>
                </w:tcPr>
                <w:p>
                  <w:pPr>
                    <w:rPr>
                      <w:color w:val="000000" w:themeColor="text1"/>
                      <w:szCs w:val="21"/>
                    </w:rPr>
                  </w:pPr>
                  <w:r>
                    <w:rPr>
                      <w:color w:val="000000" w:themeColor="text1"/>
                      <w:szCs w:val="21"/>
                    </w:rPr>
                    <w:t>机械通风装置</w:t>
                  </w:r>
                </w:p>
              </w:tc>
              <w:tc>
                <w:tcPr>
                  <w:tcW w:w="1362" w:type="dxa"/>
                  <w:vMerge w:val="continue"/>
                  <w:vAlign w:val="center"/>
                </w:tcPr>
                <w:p>
                  <w:pPr>
                    <w:jc w:val="center"/>
                    <w:rPr>
                      <w:rFonts w:hint="default" w:ascii="Times New Roman" w:hAnsi="Times New Roman" w:eastAsia="宋体" w:cs="Times New Roman"/>
                      <w:color w:val="000000" w:themeColor="text1"/>
                      <w:kern w:val="2"/>
                      <w:sz w:val="21"/>
                      <w:szCs w:val="21"/>
                      <w:lang w:val="en-US" w:eastAsia="zh-CN" w:bidi="ar-SA"/>
                    </w:rPr>
                  </w:pPr>
                </w:p>
              </w:tc>
              <w:tc>
                <w:tcPr>
                  <w:tcW w:w="856" w:type="dxa"/>
                  <w:vMerge w:val="continue"/>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p>
              </w:tc>
              <w:tc>
                <w:tcPr>
                  <w:tcW w:w="684" w:type="dxa"/>
                  <w:vMerge w:val="continue"/>
                  <w:vAlign w:val="center"/>
                </w:tcPr>
                <w:p>
                  <w:pPr>
                    <w:jc w:val="center"/>
                    <w:rPr>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Merge w:val="continue"/>
                  <w:vAlign w:val="center"/>
                </w:tcPr>
                <w:p>
                  <w:pPr>
                    <w:jc w:val="center"/>
                    <w:rPr>
                      <w:color w:val="000000" w:themeColor="text1"/>
                      <w:szCs w:val="21"/>
                    </w:rPr>
                  </w:pPr>
                </w:p>
              </w:tc>
              <w:tc>
                <w:tcPr>
                  <w:tcW w:w="1005" w:type="dxa"/>
                  <w:vAlign w:val="center"/>
                </w:tcPr>
                <w:p>
                  <w:pPr>
                    <w:jc w:val="center"/>
                    <w:rPr>
                      <w:rFonts w:eastAsiaTheme="minorEastAsia"/>
                      <w:color w:val="000000" w:themeColor="text1"/>
                      <w:szCs w:val="21"/>
                    </w:rPr>
                  </w:pPr>
                  <w:r>
                    <w:rPr>
                      <w:rFonts w:eastAsiaTheme="minorEastAsia"/>
                      <w:color w:val="000000" w:themeColor="text1"/>
                      <w:spacing w:val="10"/>
                      <w:szCs w:val="21"/>
                    </w:rPr>
                    <w:t>NO</w:t>
                  </w:r>
                  <w:r>
                    <w:rPr>
                      <w:rFonts w:eastAsiaTheme="minorEastAsia"/>
                      <w:color w:val="000000" w:themeColor="text1"/>
                      <w:spacing w:val="10"/>
                      <w:szCs w:val="21"/>
                      <w:vertAlign w:val="subscript"/>
                    </w:rPr>
                    <w:t>X</w:t>
                  </w:r>
                </w:p>
              </w:tc>
              <w:tc>
                <w:tcPr>
                  <w:tcW w:w="1394"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137.57</w:t>
                  </w:r>
                </w:p>
              </w:tc>
              <w:tc>
                <w:tcPr>
                  <w:tcW w:w="850"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0.75</w:t>
                  </w:r>
                </w:p>
              </w:tc>
              <w:tc>
                <w:tcPr>
                  <w:tcW w:w="1345" w:type="dxa"/>
                  <w:vMerge w:val="continue"/>
                  <w:vAlign w:val="center"/>
                </w:tcPr>
                <w:p>
                  <w:pPr>
                    <w:jc w:val="center"/>
                    <w:rPr>
                      <w:color w:val="000000" w:themeColor="text1"/>
                      <w:szCs w:val="21"/>
                    </w:rPr>
                  </w:pPr>
                </w:p>
              </w:tc>
              <w:tc>
                <w:tcPr>
                  <w:tcW w:w="1362"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137.57</w:t>
                  </w:r>
                </w:p>
              </w:tc>
              <w:tc>
                <w:tcPr>
                  <w:tcW w:w="856"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0.75</w:t>
                  </w:r>
                </w:p>
              </w:tc>
              <w:tc>
                <w:tcPr>
                  <w:tcW w:w="684" w:type="dxa"/>
                  <w:vMerge w:val="continue"/>
                  <w:vAlign w:val="center"/>
                </w:tcPr>
                <w:p>
                  <w:pPr>
                    <w:jc w:val="center"/>
                    <w:rPr>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2" w:type="dxa"/>
                  <w:vMerge w:val="continue"/>
                  <w:vAlign w:val="center"/>
                </w:tcPr>
                <w:p>
                  <w:pPr>
                    <w:jc w:val="center"/>
                    <w:rPr>
                      <w:color w:val="000000" w:themeColor="text1"/>
                      <w:szCs w:val="21"/>
                    </w:rPr>
                  </w:pPr>
                </w:p>
              </w:tc>
              <w:tc>
                <w:tcPr>
                  <w:tcW w:w="1005" w:type="dxa"/>
                  <w:vAlign w:val="center"/>
                </w:tcPr>
                <w:p>
                  <w:pPr>
                    <w:jc w:val="center"/>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394" w:type="dxa"/>
                  <w:vAlign w:val="center"/>
                </w:tcPr>
                <w:p>
                  <w:pPr>
                    <w:jc w:val="center"/>
                    <w:rPr>
                      <w:color w:val="000000" w:themeColor="text1"/>
                      <w:szCs w:val="21"/>
                      <w:lang w:val="en-US"/>
                    </w:rPr>
                  </w:pPr>
                  <w:r>
                    <w:rPr>
                      <w:rFonts w:hint="eastAsia"/>
                      <w:color w:val="000000" w:themeColor="text1"/>
                      <w:szCs w:val="21"/>
                      <w:lang w:val="en-US" w:eastAsia="zh-CN"/>
                    </w:rPr>
                    <w:t>29.41</w:t>
                  </w:r>
                </w:p>
              </w:tc>
              <w:tc>
                <w:tcPr>
                  <w:tcW w:w="850"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0.16</w:t>
                  </w:r>
                </w:p>
              </w:tc>
              <w:tc>
                <w:tcPr>
                  <w:tcW w:w="1345" w:type="dxa"/>
                  <w:vMerge w:val="continue"/>
                  <w:vAlign w:val="center"/>
                </w:tcPr>
                <w:p>
                  <w:pPr>
                    <w:jc w:val="center"/>
                    <w:rPr>
                      <w:color w:val="000000" w:themeColor="text1"/>
                      <w:szCs w:val="21"/>
                    </w:rPr>
                  </w:pPr>
                </w:p>
              </w:tc>
              <w:tc>
                <w:tcPr>
                  <w:tcW w:w="1362" w:type="dxa"/>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29.41</w:t>
                  </w:r>
                </w:p>
              </w:tc>
              <w:tc>
                <w:tcPr>
                  <w:tcW w:w="856"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0.16</w:t>
                  </w:r>
                </w:p>
              </w:tc>
              <w:tc>
                <w:tcPr>
                  <w:tcW w:w="684" w:type="dxa"/>
                  <w:vMerge w:val="continue"/>
                  <w:vAlign w:val="center"/>
                </w:tcPr>
                <w:p>
                  <w:pPr>
                    <w:jc w:val="center"/>
                    <w:rPr>
                      <w:color w:val="000000" w:themeColor="text1"/>
                      <w:szCs w:val="21"/>
                    </w:rPr>
                  </w:pPr>
                </w:p>
              </w:tc>
            </w:tr>
          </w:tbl>
          <w:p>
            <w:pPr>
              <w:autoSpaceDE w:val="0"/>
              <w:autoSpaceDN w:val="0"/>
              <w:adjustRightInd w:val="0"/>
              <w:spacing w:beforeLines="50" w:line="360" w:lineRule="auto"/>
              <w:ind w:firstLine="360" w:firstLineChars="150"/>
              <w:jc w:val="left"/>
              <w:rPr>
                <w:kern w:val="0"/>
                <w:sz w:val="24"/>
                <w:szCs w:val="24"/>
                <w:lang w:val="en-US"/>
              </w:rPr>
            </w:pPr>
            <w:r>
              <w:rPr>
                <w:rFonts w:hint="eastAsia"/>
                <w:kern w:val="0"/>
                <w:sz w:val="24"/>
                <w:szCs w:val="24"/>
                <w:lang w:val="en-US"/>
              </w:rPr>
              <w:t>（2）</w:t>
            </w:r>
            <w:r>
              <w:rPr>
                <w:kern w:val="0"/>
                <w:sz w:val="24"/>
                <w:szCs w:val="24"/>
                <w:lang w:val="en-US"/>
              </w:rPr>
              <w:t xml:space="preserve">废水 </w:t>
            </w:r>
          </w:p>
          <w:p>
            <w:pPr>
              <w:autoSpaceDE w:val="0"/>
              <w:autoSpaceDN w:val="0"/>
              <w:adjustRightInd w:val="0"/>
              <w:spacing w:line="360" w:lineRule="auto"/>
              <w:ind w:firstLine="480" w:firstLineChars="200"/>
              <w:jc w:val="left"/>
              <w:rPr>
                <w:rFonts w:ascii="宋体" w:hAnsi="宋体"/>
                <w:sz w:val="24"/>
              </w:rPr>
            </w:pPr>
            <w:r>
              <w:rPr>
                <w:kern w:val="0"/>
                <w:sz w:val="24"/>
                <w:szCs w:val="24"/>
                <w:lang w:val="en-US"/>
              </w:rPr>
              <w:t>企业用水主要为职工生活用水</w:t>
            </w:r>
            <w:r>
              <w:rPr>
                <w:rFonts w:hint="eastAsia"/>
                <w:kern w:val="0"/>
                <w:sz w:val="24"/>
                <w:szCs w:val="24"/>
                <w:lang w:val="en-US" w:eastAsia="zh-CN"/>
              </w:rPr>
              <w:t>，</w:t>
            </w:r>
            <w:r>
              <w:rPr>
                <w:color w:val="000000"/>
                <w:sz w:val="24"/>
              </w:rPr>
              <w:t>本项目</w:t>
            </w:r>
            <w:r>
              <w:rPr>
                <w:rFonts w:hint="eastAsia"/>
                <w:sz w:val="24"/>
                <w:szCs w:val="24"/>
                <w:lang w:val="en-US"/>
              </w:rPr>
              <w:t>新增</w:t>
            </w:r>
            <w:r>
              <w:rPr>
                <w:rFonts w:hint="eastAsia"/>
                <w:sz w:val="24"/>
                <w:szCs w:val="24"/>
                <w:lang w:val="en-US" w:eastAsia="zh-CN"/>
              </w:rPr>
              <w:t>员工8</w:t>
            </w:r>
            <w:r>
              <w:rPr>
                <w:rFonts w:hint="eastAsia"/>
                <w:sz w:val="24"/>
                <w:szCs w:val="24"/>
                <w:lang w:val="en-US"/>
              </w:rPr>
              <w:t>人</w:t>
            </w:r>
            <w:r>
              <w:rPr>
                <w:rFonts w:hint="eastAsia" w:hAnsi="宋体"/>
                <w:kern w:val="0"/>
                <w:sz w:val="24"/>
                <w:szCs w:val="24"/>
              </w:rPr>
              <w:t>，</w:t>
            </w:r>
            <w:r>
              <w:rPr>
                <w:sz w:val="24"/>
              </w:rPr>
              <w:t>年生产约</w:t>
            </w:r>
            <w:r>
              <w:rPr>
                <w:rFonts w:hint="eastAsia"/>
                <w:sz w:val="24"/>
                <w:lang w:val="en-US" w:eastAsia="zh-CN"/>
              </w:rPr>
              <w:t>312</w:t>
            </w:r>
            <w:r>
              <w:rPr>
                <w:sz w:val="24"/>
              </w:rPr>
              <w:t>天，平均用水定额按</w:t>
            </w:r>
            <w:r>
              <w:rPr>
                <w:rFonts w:hint="eastAsia"/>
                <w:sz w:val="24"/>
              </w:rPr>
              <w:t>50</w:t>
            </w:r>
            <w:r>
              <w:rPr>
                <w:sz w:val="24"/>
              </w:rPr>
              <w:t>L/人.d，年生活用水量为</w:t>
            </w:r>
            <w:r>
              <w:rPr>
                <w:rFonts w:hint="eastAsia"/>
                <w:sz w:val="24"/>
                <w:lang w:val="en-US" w:eastAsia="zh-CN"/>
              </w:rPr>
              <w:t>124.8</w:t>
            </w:r>
            <w:r>
              <w:rPr>
                <w:sz w:val="24"/>
              </w:rPr>
              <w:t>t/a</w:t>
            </w:r>
            <w:r>
              <w:rPr>
                <w:rFonts w:hint="eastAsia"/>
                <w:sz w:val="24"/>
              </w:rPr>
              <w:t>。</w:t>
            </w:r>
            <w:r>
              <w:rPr>
                <w:rFonts w:hAnsi="宋体"/>
                <w:sz w:val="24"/>
                <w:szCs w:val="24"/>
              </w:rPr>
              <w:t>根据《江苏省城市与公共用水定额》和《给排水常用数据手册》中相关数据核算该项目给排水量，生活污水量按用水量的</w:t>
            </w:r>
            <w:r>
              <w:rPr>
                <w:sz w:val="24"/>
                <w:szCs w:val="24"/>
              </w:rPr>
              <w:t>80%</w:t>
            </w:r>
            <w:r>
              <w:rPr>
                <w:rFonts w:hAnsi="宋体"/>
                <w:sz w:val="24"/>
                <w:szCs w:val="24"/>
              </w:rPr>
              <w:t>计，本项目生活污水排放量为</w:t>
            </w:r>
            <w:r>
              <w:rPr>
                <w:rFonts w:hint="eastAsia" w:hAnsi="宋体"/>
                <w:sz w:val="24"/>
                <w:szCs w:val="24"/>
                <w:lang w:val="en-US" w:eastAsia="zh-CN"/>
              </w:rPr>
              <w:t>99.84</w:t>
            </w:r>
            <w:r>
              <w:rPr>
                <w:rFonts w:hint="eastAsia" w:hAnsi="宋体"/>
                <w:sz w:val="24"/>
                <w:szCs w:val="24"/>
              </w:rPr>
              <w:t>t/a，</w:t>
            </w:r>
            <w:r>
              <w:rPr>
                <w:rFonts w:hint="eastAsia" w:ascii="宋体" w:hAnsi="宋体"/>
                <w:sz w:val="24"/>
              </w:rPr>
              <w:t>生活污水</w:t>
            </w:r>
            <w:r>
              <w:rPr>
                <w:rFonts w:hint="eastAsia" w:ascii="宋体" w:hAnsi="宋体"/>
                <w:sz w:val="24"/>
                <w:lang w:val="en-US"/>
              </w:rPr>
              <w:t>经化粪池预处理后</w:t>
            </w:r>
            <w:r>
              <w:rPr>
                <w:rFonts w:hint="eastAsia" w:ascii="宋体" w:hAnsi="宋体"/>
                <w:sz w:val="24"/>
              </w:rPr>
              <w:t>接入宜兴市华骐污水处理有限公司，达标尾水排入蠡河。</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color w:val="000000" w:themeColor="text1"/>
                <w:sz w:val="24"/>
                <w:szCs w:val="24"/>
                <w:lang w:val="en-US"/>
              </w:rPr>
            </w:pPr>
            <w:r>
              <w:rPr>
                <w:rFonts w:hint="default" w:ascii="Times New Roman" w:hAnsi="Times New Roman" w:cs="Times New Roman" w:eastAsiaTheme="minorEastAsia"/>
                <w:b/>
                <w:color w:val="000000" w:themeColor="text1"/>
                <w:sz w:val="24"/>
                <w:szCs w:val="24"/>
                <w:lang w:val="en-US"/>
              </w:rPr>
              <w:t>表5-2  废水产生源强</w:t>
            </w:r>
          </w:p>
          <w:tbl>
            <w:tblPr>
              <w:tblStyle w:val="75"/>
              <w:tblW w:w="8354"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0"/>
              <w:gridCol w:w="851"/>
              <w:gridCol w:w="992"/>
              <w:gridCol w:w="992"/>
              <w:gridCol w:w="851"/>
              <w:gridCol w:w="850"/>
              <w:gridCol w:w="969"/>
              <w:gridCol w:w="1016"/>
              <w:gridCol w:w="1103"/>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730" w:type="dxa"/>
                  <w:vMerge w:val="restart"/>
                  <w:tcBorders>
                    <w:tl2br w:val="nil"/>
                    <w:tr2bl w:val="nil"/>
                  </w:tcBorders>
                  <w:vAlign w:val="center"/>
                </w:tcPr>
                <w:p>
                  <w:pPr>
                    <w:spacing w:line="300" w:lineRule="exact"/>
                    <w:jc w:val="center"/>
                    <w:rPr>
                      <w:b/>
                      <w:bCs/>
                      <w:color w:val="000000"/>
                    </w:rPr>
                  </w:pPr>
                  <w:r>
                    <w:rPr>
                      <w:b/>
                      <w:bCs/>
                      <w:color w:val="000000"/>
                    </w:rPr>
                    <w:t>废水来源</w:t>
                  </w:r>
                </w:p>
              </w:tc>
              <w:tc>
                <w:tcPr>
                  <w:tcW w:w="851" w:type="dxa"/>
                  <w:vMerge w:val="restart"/>
                  <w:tcBorders>
                    <w:tl2br w:val="nil"/>
                    <w:tr2bl w:val="nil"/>
                  </w:tcBorders>
                  <w:tcMar>
                    <w:left w:w="28" w:type="dxa"/>
                    <w:right w:w="28" w:type="dxa"/>
                  </w:tcMar>
                  <w:vAlign w:val="center"/>
                </w:tcPr>
                <w:p>
                  <w:pPr>
                    <w:spacing w:line="300" w:lineRule="exact"/>
                    <w:jc w:val="center"/>
                    <w:rPr>
                      <w:b/>
                      <w:bCs/>
                      <w:color w:val="000000"/>
                    </w:rPr>
                  </w:pPr>
                  <w:r>
                    <w:rPr>
                      <w:b/>
                      <w:bCs/>
                      <w:color w:val="000000"/>
                    </w:rPr>
                    <w:t>废水量</w:t>
                  </w:r>
                </w:p>
                <w:p>
                  <w:pPr>
                    <w:spacing w:line="300" w:lineRule="exact"/>
                    <w:jc w:val="center"/>
                    <w:rPr>
                      <w:b/>
                      <w:bCs/>
                      <w:color w:val="000000"/>
                    </w:rPr>
                  </w:pPr>
                  <w:r>
                    <w:rPr>
                      <w:b/>
                      <w:bCs/>
                      <w:color w:val="000000"/>
                    </w:rPr>
                    <w:t>t/a</w:t>
                  </w:r>
                </w:p>
              </w:tc>
              <w:tc>
                <w:tcPr>
                  <w:tcW w:w="992" w:type="dxa"/>
                  <w:vMerge w:val="restart"/>
                  <w:tcBorders>
                    <w:tl2br w:val="nil"/>
                    <w:tr2bl w:val="nil"/>
                  </w:tcBorders>
                  <w:tcMar>
                    <w:left w:w="57" w:type="dxa"/>
                    <w:right w:w="57" w:type="dxa"/>
                  </w:tcMar>
                  <w:vAlign w:val="center"/>
                </w:tcPr>
                <w:p>
                  <w:pPr>
                    <w:spacing w:line="300" w:lineRule="exact"/>
                    <w:jc w:val="center"/>
                    <w:rPr>
                      <w:b/>
                      <w:bCs/>
                      <w:color w:val="000000"/>
                    </w:rPr>
                  </w:pPr>
                  <w:r>
                    <w:rPr>
                      <w:b/>
                      <w:bCs/>
                      <w:color w:val="000000"/>
                    </w:rPr>
                    <w:t>污染物名称</w:t>
                  </w:r>
                </w:p>
              </w:tc>
              <w:tc>
                <w:tcPr>
                  <w:tcW w:w="1843" w:type="dxa"/>
                  <w:gridSpan w:val="2"/>
                  <w:tcBorders>
                    <w:tl2br w:val="nil"/>
                    <w:tr2bl w:val="nil"/>
                  </w:tcBorders>
                  <w:vAlign w:val="center"/>
                </w:tcPr>
                <w:p>
                  <w:pPr>
                    <w:spacing w:line="300" w:lineRule="exact"/>
                    <w:jc w:val="center"/>
                    <w:rPr>
                      <w:b/>
                      <w:bCs/>
                      <w:color w:val="000000"/>
                    </w:rPr>
                  </w:pPr>
                  <w:r>
                    <w:rPr>
                      <w:b/>
                      <w:bCs/>
                      <w:color w:val="000000"/>
                    </w:rPr>
                    <w:t>污染物产生量</w:t>
                  </w:r>
                </w:p>
              </w:tc>
              <w:tc>
                <w:tcPr>
                  <w:tcW w:w="1819" w:type="dxa"/>
                  <w:gridSpan w:val="2"/>
                  <w:tcBorders>
                    <w:bottom w:val="single" w:color="auto" w:sz="4" w:space="0"/>
                    <w:right w:val="single" w:color="auto" w:sz="4" w:space="0"/>
                    <w:tl2br w:val="nil"/>
                    <w:tr2bl w:val="nil"/>
                  </w:tcBorders>
                  <w:tcMar>
                    <w:left w:w="57" w:type="dxa"/>
                    <w:right w:w="57" w:type="dxa"/>
                  </w:tcMar>
                  <w:vAlign w:val="center"/>
                </w:tcPr>
                <w:p>
                  <w:pPr>
                    <w:spacing w:line="300" w:lineRule="exact"/>
                    <w:jc w:val="center"/>
                    <w:rPr>
                      <w:b/>
                      <w:bCs/>
                      <w:color w:val="000000"/>
                    </w:rPr>
                  </w:pPr>
                  <w:r>
                    <w:rPr>
                      <w:b/>
                      <w:bCs/>
                      <w:color w:val="000000"/>
                    </w:rPr>
                    <w:t>污染物</w:t>
                  </w:r>
                  <w:r>
                    <w:rPr>
                      <w:rFonts w:hint="eastAsia"/>
                      <w:b/>
                      <w:bCs/>
                      <w:color w:val="000000"/>
                    </w:rPr>
                    <w:t>排放</w:t>
                  </w:r>
                  <w:r>
                    <w:rPr>
                      <w:b/>
                      <w:bCs/>
                      <w:color w:val="000000"/>
                    </w:rPr>
                    <w:t>量</w:t>
                  </w:r>
                </w:p>
              </w:tc>
              <w:tc>
                <w:tcPr>
                  <w:tcW w:w="1016" w:type="dxa"/>
                  <w:vMerge w:val="restart"/>
                  <w:tcBorders>
                    <w:left w:val="single" w:color="auto" w:sz="4" w:space="0"/>
                    <w:right w:val="single" w:color="auto" w:sz="4" w:space="0"/>
                    <w:tl2br w:val="nil"/>
                    <w:tr2bl w:val="nil"/>
                  </w:tcBorders>
                  <w:vAlign w:val="center"/>
                </w:tcPr>
                <w:p>
                  <w:pPr>
                    <w:spacing w:line="300" w:lineRule="exact"/>
                    <w:jc w:val="center"/>
                    <w:rPr>
                      <w:b/>
                      <w:bCs/>
                      <w:color w:val="000000"/>
                    </w:rPr>
                  </w:pPr>
                  <w:r>
                    <w:rPr>
                      <w:rFonts w:hint="eastAsia"/>
                      <w:b/>
                      <w:bCs/>
                      <w:color w:val="000000"/>
                    </w:rPr>
                    <w:t>接管标准浓度限值</w:t>
                  </w:r>
                </w:p>
                <w:p>
                  <w:pPr>
                    <w:spacing w:line="300" w:lineRule="exact"/>
                    <w:jc w:val="center"/>
                    <w:rPr>
                      <w:b/>
                      <w:bCs/>
                      <w:color w:val="000000"/>
                    </w:rPr>
                  </w:pPr>
                  <w:r>
                    <w:rPr>
                      <w:b/>
                      <w:bCs/>
                      <w:color w:val="000000"/>
                    </w:rPr>
                    <w:t>mg/L</w:t>
                  </w:r>
                </w:p>
              </w:tc>
              <w:tc>
                <w:tcPr>
                  <w:tcW w:w="1103" w:type="dxa"/>
                  <w:vMerge w:val="restart"/>
                  <w:tcBorders>
                    <w:left w:val="single" w:color="auto" w:sz="4" w:space="0"/>
                    <w:tl2br w:val="nil"/>
                    <w:tr2bl w:val="nil"/>
                  </w:tcBorders>
                  <w:vAlign w:val="center"/>
                </w:tcPr>
                <w:p>
                  <w:pPr>
                    <w:spacing w:line="300" w:lineRule="exact"/>
                    <w:jc w:val="center"/>
                    <w:rPr>
                      <w:b/>
                      <w:bCs/>
                      <w:color w:val="000000"/>
                    </w:rPr>
                  </w:pPr>
                  <w:r>
                    <w:rPr>
                      <w:rFonts w:hint="eastAsia"/>
                      <w:b/>
                      <w:bCs/>
                      <w:color w:val="000000"/>
                    </w:rPr>
                    <w:t>排放方式与去向</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730" w:type="dxa"/>
                  <w:vMerge w:val="continue"/>
                  <w:tcBorders>
                    <w:tl2br w:val="nil"/>
                    <w:tr2bl w:val="nil"/>
                  </w:tcBorders>
                  <w:vAlign w:val="center"/>
                </w:tcPr>
                <w:p>
                  <w:pPr>
                    <w:spacing w:line="300" w:lineRule="exact"/>
                    <w:jc w:val="center"/>
                    <w:rPr>
                      <w:color w:val="000000"/>
                    </w:rPr>
                  </w:pPr>
                </w:p>
              </w:tc>
              <w:tc>
                <w:tcPr>
                  <w:tcW w:w="851" w:type="dxa"/>
                  <w:vMerge w:val="continue"/>
                  <w:tcBorders>
                    <w:tl2br w:val="nil"/>
                    <w:tr2bl w:val="nil"/>
                  </w:tcBorders>
                  <w:tcMar>
                    <w:left w:w="28" w:type="dxa"/>
                    <w:right w:w="28" w:type="dxa"/>
                  </w:tcMar>
                  <w:vAlign w:val="center"/>
                </w:tcPr>
                <w:p>
                  <w:pPr>
                    <w:spacing w:line="300" w:lineRule="exact"/>
                    <w:jc w:val="center"/>
                    <w:rPr>
                      <w:color w:val="000000"/>
                    </w:rPr>
                  </w:pPr>
                </w:p>
              </w:tc>
              <w:tc>
                <w:tcPr>
                  <w:tcW w:w="992" w:type="dxa"/>
                  <w:vMerge w:val="continue"/>
                  <w:tcBorders>
                    <w:tl2br w:val="nil"/>
                    <w:tr2bl w:val="nil"/>
                  </w:tcBorders>
                  <w:tcMar>
                    <w:left w:w="57" w:type="dxa"/>
                    <w:right w:w="57" w:type="dxa"/>
                  </w:tcMar>
                  <w:vAlign w:val="center"/>
                </w:tcPr>
                <w:p>
                  <w:pPr>
                    <w:spacing w:line="300" w:lineRule="exact"/>
                    <w:jc w:val="center"/>
                    <w:rPr>
                      <w:color w:val="000000"/>
                    </w:rPr>
                  </w:pPr>
                </w:p>
              </w:tc>
              <w:tc>
                <w:tcPr>
                  <w:tcW w:w="992" w:type="dxa"/>
                  <w:tcBorders>
                    <w:tl2br w:val="nil"/>
                    <w:tr2bl w:val="nil"/>
                  </w:tcBorders>
                  <w:vAlign w:val="center"/>
                </w:tcPr>
                <w:p>
                  <w:pPr>
                    <w:spacing w:line="300" w:lineRule="exact"/>
                    <w:jc w:val="center"/>
                    <w:rPr>
                      <w:b/>
                      <w:bCs/>
                      <w:color w:val="000000"/>
                    </w:rPr>
                  </w:pPr>
                  <w:r>
                    <w:rPr>
                      <w:b/>
                      <w:bCs/>
                      <w:color w:val="000000"/>
                    </w:rPr>
                    <w:t>浓度</w:t>
                  </w:r>
                </w:p>
                <w:p>
                  <w:pPr>
                    <w:spacing w:line="300" w:lineRule="exact"/>
                    <w:jc w:val="center"/>
                    <w:rPr>
                      <w:b/>
                      <w:bCs/>
                      <w:color w:val="000000"/>
                    </w:rPr>
                  </w:pPr>
                  <w:r>
                    <w:rPr>
                      <w:b/>
                      <w:bCs/>
                      <w:color w:val="000000"/>
                    </w:rPr>
                    <w:t>mg/L</w:t>
                  </w:r>
                </w:p>
              </w:tc>
              <w:tc>
                <w:tcPr>
                  <w:tcW w:w="851" w:type="dxa"/>
                  <w:tcBorders>
                    <w:bottom w:val="single" w:color="auto" w:sz="4" w:space="0"/>
                    <w:tl2br w:val="nil"/>
                    <w:tr2bl w:val="nil"/>
                  </w:tcBorders>
                  <w:vAlign w:val="center"/>
                </w:tcPr>
                <w:p>
                  <w:pPr>
                    <w:spacing w:line="300" w:lineRule="exact"/>
                    <w:jc w:val="center"/>
                    <w:rPr>
                      <w:b/>
                      <w:bCs/>
                      <w:color w:val="000000"/>
                    </w:rPr>
                  </w:pPr>
                  <w:r>
                    <w:rPr>
                      <w:b/>
                      <w:bCs/>
                      <w:color w:val="000000"/>
                    </w:rPr>
                    <w:t>产生量t/a</w:t>
                  </w:r>
                </w:p>
              </w:tc>
              <w:tc>
                <w:tcPr>
                  <w:tcW w:w="850" w:type="dxa"/>
                  <w:tcBorders>
                    <w:top w:val="single" w:color="auto" w:sz="4" w:space="0"/>
                    <w:bottom w:val="single" w:color="auto" w:sz="4" w:space="0"/>
                    <w:tl2br w:val="nil"/>
                    <w:tr2bl w:val="nil"/>
                  </w:tcBorders>
                  <w:vAlign w:val="center"/>
                </w:tcPr>
                <w:p>
                  <w:pPr>
                    <w:spacing w:line="300" w:lineRule="exact"/>
                    <w:jc w:val="center"/>
                    <w:rPr>
                      <w:b/>
                      <w:bCs/>
                      <w:color w:val="000000"/>
                    </w:rPr>
                  </w:pPr>
                  <w:r>
                    <w:rPr>
                      <w:b/>
                      <w:bCs/>
                      <w:color w:val="000000"/>
                    </w:rPr>
                    <w:t>浓度</w:t>
                  </w:r>
                </w:p>
                <w:p>
                  <w:pPr>
                    <w:spacing w:line="300" w:lineRule="exact"/>
                    <w:jc w:val="center"/>
                    <w:rPr>
                      <w:color w:val="000000"/>
                    </w:rPr>
                  </w:pPr>
                  <w:r>
                    <w:rPr>
                      <w:b/>
                      <w:bCs/>
                      <w:color w:val="000000"/>
                    </w:rPr>
                    <w:t>mg/L</w:t>
                  </w:r>
                </w:p>
              </w:tc>
              <w:tc>
                <w:tcPr>
                  <w:tcW w:w="969" w:type="dxa"/>
                  <w:tcBorders>
                    <w:top w:val="single" w:color="auto" w:sz="4" w:space="0"/>
                    <w:bottom w:val="single" w:color="auto" w:sz="4" w:space="0"/>
                    <w:right w:val="single" w:color="auto" w:sz="4" w:space="0"/>
                    <w:tl2br w:val="nil"/>
                    <w:tr2bl w:val="nil"/>
                  </w:tcBorders>
                  <w:vAlign w:val="center"/>
                </w:tcPr>
                <w:p>
                  <w:pPr>
                    <w:spacing w:line="300" w:lineRule="exact"/>
                    <w:jc w:val="center"/>
                    <w:rPr>
                      <w:color w:val="000000"/>
                    </w:rPr>
                  </w:pPr>
                  <w:r>
                    <w:rPr>
                      <w:rFonts w:hint="eastAsia"/>
                      <w:b/>
                      <w:bCs/>
                      <w:color w:val="000000"/>
                    </w:rPr>
                    <w:t>排放</w:t>
                  </w:r>
                  <w:r>
                    <w:rPr>
                      <w:b/>
                      <w:bCs/>
                      <w:color w:val="000000"/>
                    </w:rPr>
                    <w:t>量t/a</w:t>
                  </w:r>
                </w:p>
              </w:tc>
              <w:tc>
                <w:tcPr>
                  <w:tcW w:w="1016"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color w:val="000000"/>
                    </w:rPr>
                  </w:pPr>
                </w:p>
              </w:tc>
              <w:tc>
                <w:tcPr>
                  <w:tcW w:w="1103" w:type="dxa"/>
                  <w:vMerge w:val="continue"/>
                  <w:tcBorders>
                    <w:left w:val="single" w:color="auto" w:sz="4" w:space="0"/>
                    <w:tl2br w:val="nil"/>
                    <w:tr2bl w:val="nil"/>
                  </w:tcBorders>
                  <w:vAlign w:val="center"/>
                </w:tcPr>
                <w:p>
                  <w:pPr>
                    <w:spacing w:line="300" w:lineRule="exact"/>
                    <w:jc w:val="center"/>
                    <w:rPr>
                      <w:color w:val="00000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730" w:type="dxa"/>
                  <w:vMerge w:val="restart"/>
                  <w:tcBorders>
                    <w:tl2br w:val="nil"/>
                    <w:tr2bl w:val="nil"/>
                  </w:tcBorders>
                  <w:vAlign w:val="center"/>
                </w:tcPr>
                <w:p>
                  <w:pPr>
                    <w:spacing w:line="300" w:lineRule="exact"/>
                    <w:jc w:val="center"/>
                    <w:rPr>
                      <w:color w:val="000000"/>
                    </w:rPr>
                  </w:pPr>
                  <w:r>
                    <w:rPr>
                      <w:color w:val="000000"/>
                    </w:rPr>
                    <w:t>生活污水</w:t>
                  </w:r>
                </w:p>
              </w:tc>
              <w:tc>
                <w:tcPr>
                  <w:tcW w:w="851" w:type="dxa"/>
                  <w:vMerge w:val="restart"/>
                  <w:tcBorders>
                    <w:tl2br w:val="nil"/>
                    <w:tr2bl w:val="nil"/>
                  </w:tcBorders>
                  <w:tcMar>
                    <w:left w:w="28" w:type="dxa"/>
                    <w:right w:w="28" w:type="dxa"/>
                  </w:tcMar>
                  <w:vAlign w:val="center"/>
                </w:tcPr>
                <w:p>
                  <w:pPr>
                    <w:spacing w:line="300" w:lineRule="exact"/>
                    <w:jc w:val="center"/>
                    <w:rPr>
                      <w:rFonts w:hint="default" w:eastAsia="宋体"/>
                      <w:color w:val="000000"/>
                      <w:lang w:val="en-US" w:eastAsia="zh-CN"/>
                    </w:rPr>
                  </w:pPr>
                  <w:r>
                    <w:rPr>
                      <w:rFonts w:hint="eastAsia"/>
                      <w:color w:val="000000"/>
                      <w:lang w:val="en-US" w:eastAsia="zh-CN"/>
                    </w:rPr>
                    <w:t>99.84</w:t>
                  </w:r>
                </w:p>
              </w:tc>
              <w:tc>
                <w:tcPr>
                  <w:tcW w:w="992" w:type="dxa"/>
                  <w:tcBorders>
                    <w:tl2br w:val="nil"/>
                    <w:tr2bl w:val="nil"/>
                  </w:tcBorders>
                  <w:tcMar>
                    <w:left w:w="57" w:type="dxa"/>
                    <w:right w:w="57" w:type="dxa"/>
                  </w:tcMar>
                  <w:vAlign w:val="center"/>
                </w:tcPr>
                <w:p>
                  <w:pPr>
                    <w:spacing w:line="300" w:lineRule="exact"/>
                    <w:jc w:val="center"/>
                    <w:rPr>
                      <w:color w:val="000000"/>
                    </w:rPr>
                  </w:pPr>
                  <w:r>
                    <w:rPr>
                      <w:color w:val="000000"/>
                    </w:rPr>
                    <w:t>COD</w:t>
                  </w:r>
                </w:p>
              </w:tc>
              <w:tc>
                <w:tcPr>
                  <w:tcW w:w="992" w:type="dxa"/>
                  <w:tcBorders>
                    <w:tl2br w:val="nil"/>
                    <w:tr2bl w:val="nil"/>
                  </w:tcBorders>
                  <w:vAlign w:val="center"/>
                </w:tcPr>
                <w:p>
                  <w:pPr>
                    <w:jc w:val="center"/>
                    <w:rPr>
                      <w:rFonts w:hint="eastAsia"/>
                      <w:szCs w:val="21"/>
                      <w:lang w:val="en-US" w:eastAsia="zh-CN"/>
                    </w:rPr>
                  </w:pPr>
                  <w:r>
                    <w:rPr>
                      <w:rFonts w:hint="eastAsia"/>
                      <w:szCs w:val="21"/>
                      <w:lang w:val="en-US" w:eastAsia="zh-CN"/>
                    </w:rPr>
                    <w:t>350</w:t>
                  </w:r>
                </w:p>
              </w:tc>
              <w:tc>
                <w:tcPr>
                  <w:tcW w:w="851" w:type="dxa"/>
                  <w:tcBorders>
                    <w:tl2br w:val="nil"/>
                    <w:tr2bl w:val="nil"/>
                  </w:tcBorders>
                  <w:vAlign w:val="center"/>
                </w:tcPr>
                <w:p>
                  <w:pPr>
                    <w:jc w:val="center"/>
                    <w:rPr>
                      <w:rFonts w:hint="default"/>
                      <w:szCs w:val="21"/>
                      <w:lang w:val="en-US" w:eastAsia="zh-CN"/>
                    </w:rPr>
                  </w:pPr>
                  <w:r>
                    <w:rPr>
                      <w:rFonts w:hint="eastAsia"/>
                      <w:szCs w:val="21"/>
                      <w:lang w:val="en-US" w:eastAsia="zh-CN"/>
                    </w:rPr>
                    <w:t>0.035</w:t>
                  </w:r>
                </w:p>
              </w:tc>
              <w:tc>
                <w:tcPr>
                  <w:tcW w:w="850" w:type="dxa"/>
                  <w:tcBorders>
                    <w:bottom w:val="single" w:color="auto" w:sz="4" w:space="0"/>
                    <w:tl2br w:val="nil"/>
                    <w:tr2bl w:val="nil"/>
                  </w:tcBorders>
                  <w:vAlign w:val="center"/>
                </w:tcPr>
                <w:p>
                  <w:pPr>
                    <w:jc w:val="center"/>
                    <w:rPr>
                      <w:rFonts w:hint="eastAsia"/>
                      <w:szCs w:val="21"/>
                      <w:lang w:val="en-US" w:eastAsia="zh-CN"/>
                    </w:rPr>
                  </w:pPr>
                  <w:r>
                    <w:rPr>
                      <w:rFonts w:hint="eastAsia"/>
                      <w:szCs w:val="21"/>
                      <w:lang w:val="en-US" w:eastAsia="zh-CN"/>
                    </w:rPr>
                    <w:t>50</w:t>
                  </w:r>
                </w:p>
              </w:tc>
              <w:tc>
                <w:tcPr>
                  <w:tcW w:w="969" w:type="dxa"/>
                  <w:tcBorders>
                    <w:bottom w:val="single" w:color="auto" w:sz="4" w:space="0"/>
                    <w:right w:val="single" w:color="auto" w:sz="4" w:space="0"/>
                    <w:tl2br w:val="nil"/>
                    <w:tr2bl w:val="nil"/>
                  </w:tcBorders>
                  <w:vAlign w:val="center"/>
                </w:tcPr>
                <w:p>
                  <w:pPr>
                    <w:jc w:val="center"/>
                    <w:rPr>
                      <w:rFonts w:hint="default"/>
                      <w:szCs w:val="21"/>
                      <w:lang w:val="en-US" w:eastAsia="zh-CN"/>
                    </w:rPr>
                  </w:pPr>
                  <w:r>
                    <w:rPr>
                      <w:rFonts w:hint="eastAsia"/>
                      <w:szCs w:val="21"/>
                      <w:lang w:val="en-US" w:eastAsia="zh-CN"/>
                    </w:rPr>
                    <w:t>0.005</w:t>
                  </w:r>
                </w:p>
              </w:tc>
              <w:tc>
                <w:tcPr>
                  <w:tcW w:w="1016" w:type="dxa"/>
                  <w:tcBorders>
                    <w:left w:val="single" w:color="auto" w:sz="4" w:space="0"/>
                    <w:bottom w:val="single" w:color="auto" w:sz="4" w:space="0"/>
                    <w:right w:val="single" w:color="auto" w:sz="4" w:space="0"/>
                    <w:tl2br w:val="nil"/>
                    <w:tr2bl w:val="nil"/>
                  </w:tcBorders>
                  <w:vAlign w:val="center"/>
                </w:tcPr>
                <w:p>
                  <w:pPr>
                    <w:spacing w:line="300" w:lineRule="exact"/>
                    <w:jc w:val="center"/>
                    <w:rPr>
                      <w:color w:val="000000"/>
                    </w:rPr>
                  </w:pPr>
                  <w:r>
                    <w:rPr>
                      <w:rFonts w:hint="eastAsia"/>
                      <w:color w:val="000000"/>
                    </w:rPr>
                    <w:t>500</w:t>
                  </w:r>
                </w:p>
              </w:tc>
              <w:tc>
                <w:tcPr>
                  <w:tcW w:w="1103" w:type="dxa"/>
                  <w:vMerge w:val="restart"/>
                  <w:tcBorders>
                    <w:left w:val="single" w:color="auto" w:sz="4" w:space="0"/>
                    <w:tl2br w:val="nil"/>
                    <w:tr2bl w:val="nil"/>
                  </w:tcBorders>
                  <w:vAlign w:val="center"/>
                </w:tcPr>
                <w:p>
                  <w:pPr>
                    <w:spacing w:line="300" w:lineRule="exact"/>
                    <w:jc w:val="center"/>
                    <w:rPr>
                      <w:color w:val="000000"/>
                    </w:rPr>
                  </w:pPr>
                  <w:r>
                    <w:rPr>
                      <w:rFonts w:hint="eastAsia" w:ascii="宋体" w:hAnsi="宋体"/>
                      <w:szCs w:val="21"/>
                      <w:lang w:val="en-US"/>
                    </w:rPr>
                    <w:t>经化粪池预处理后</w:t>
                  </w:r>
                  <w:r>
                    <w:rPr>
                      <w:rFonts w:hint="eastAsia" w:ascii="宋体" w:hAnsi="宋体"/>
                      <w:szCs w:val="21"/>
                    </w:rPr>
                    <w:t>接入宜兴市华骐污水处理有限公司</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730" w:type="dxa"/>
                  <w:vMerge w:val="continue"/>
                  <w:tcBorders>
                    <w:tl2br w:val="nil"/>
                    <w:tr2bl w:val="nil"/>
                  </w:tcBorders>
                  <w:vAlign w:val="center"/>
                </w:tcPr>
                <w:p>
                  <w:pPr>
                    <w:spacing w:line="300" w:lineRule="exact"/>
                    <w:jc w:val="center"/>
                    <w:rPr>
                      <w:color w:val="FF0000"/>
                    </w:rPr>
                  </w:pPr>
                </w:p>
              </w:tc>
              <w:tc>
                <w:tcPr>
                  <w:tcW w:w="851" w:type="dxa"/>
                  <w:vMerge w:val="continue"/>
                  <w:tcBorders>
                    <w:tl2br w:val="nil"/>
                    <w:tr2bl w:val="nil"/>
                  </w:tcBorders>
                  <w:tcMar>
                    <w:left w:w="28" w:type="dxa"/>
                    <w:right w:w="28" w:type="dxa"/>
                  </w:tcMar>
                  <w:vAlign w:val="center"/>
                </w:tcPr>
                <w:p>
                  <w:pPr>
                    <w:spacing w:line="300" w:lineRule="exact"/>
                    <w:jc w:val="center"/>
                    <w:rPr>
                      <w:color w:val="FF0000"/>
                    </w:rPr>
                  </w:pPr>
                </w:p>
              </w:tc>
              <w:tc>
                <w:tcPr>
                  <w:tcW w:w="992" w:type="dxa"/>
                  <w:tcBorders>
                    <w:tl2br w:val="nil"/>
                    <w:tr2bl w:val="nil"/>
                  </w:tcBorders>
                  <w:tcMar>
                    <w:left w:w="57" w:type="dxa"/>
                    <w:right w:w="57" w:type="dxa"/>
                  </w:tcMar>
                  <w:vAlign w:val="center"/>
                </w:tcPr>
                <w:p>
                  <w:pPr>
                    <w:spacing w:line="300" w:lineRule="exact"/>
                    <w:jc w:val="center"/>
                    <w:rPr>
                      <w:color w:val="000000"/>
                    </w:rPr>
                  </w:pPr>
                  <w:r>
                    <w:rPr>
                      <w:color w:val="000000"/>
                    </w:rPr>
                    <w:t>SS</w:t>
                  </w:r>
                </w:p>
              </w:tc>
              <w:tc>
                <w:tcPr>
                  <w:tcW w:w="992" w:type="dxa"/>
                  <w:tcBorders>
                    <w:tl2br w:val="nil"/>
                    <w:tr2bl w:val="nil"/>
                  </w:tcBorders>
                  <w:vAlign w:val="center"/>
                </w:tcPr>
                <w:p>
                  <w:pPr>
                    <w:jc w:val="center"/>
                    <w:rPr>
                      <w:rFonts w:hint="eastAsia"/>
                      <w:szCs w:val="21"/>
                      <w:lang w:val="en-US" w:eastAsia="zh-CN"/>
                    </w:rPr>
                  </w:pPr>
                  <w:r>
                    <w:rPr>
                      <w:rFonts w:hint="eastAsia"/>
                      <w:szCs w:val="21"/>
                      <w:lang w:val="en-US" w:eastAsia="zh-CN"/>
                    </w:rPr>
                    <w:t>200</w:t>
                  </w:r>
                </w:p>
              </w:tc>
              <w:tc>
                <w:tcPr>
                  <w:tcW w:w="851" w:type="dxa"/>
                  <w:tcBorders>
                    <w:tl2br w:val="nil"/>
                    <w:tr2bl w:val="nil"/>
                  </w:tcBorders>
                  <w:vAlign w:val="center"/>
                </w:tcPr>
                <w:p>
                  <w:pPr>
                    <w:jc w:val="center"/>
                    <w:rPr>
                      <w:rFonts w:hint="default"/>
                      <w:szCs w:val="21"/>
                      <w:lang w:val="en-US" w:eastAsia="zh-CN"/>
                    </w:rPr>
                  </w:pPr>
                  <w:r>
                    <w:rPr>
                      <w:rFonts w:hint="eastAsia"/>
                      <w:szCs w:val="21"/>
                      <w:lang w:val="en-US" w:eastAsia="zh-CN"/>
                    </w:rPr>
                    <w:t>0.020</w:t>
                  </w:r>
                </w:p>
              </w:tc>
              <w:tc>
                <w:tcPr>
                  <w:tcW w:w="850" w:type="dxa"/>
                  <w:tcBorders>
                    <w:top w:val="single" w:color="auto" w:sz="4" w:space="0"/>
                    <w:bottom w:val="single" w:color="auto" w:sz="4" w:space="0"/>
                    <w:tl2br w:val="nil"/>
                    <w:tr2bl w:val="nil"/>
                  </w:tcBorders>
                  <w:vAlign w:val="center"/>
                </w:tcPr>
                <w:p>
                  <w:pPr>
                    <w:jc w:val="center"/>
                    <w:rPr>
                      <w:rFonts w:hint="eastAsia"/>
                      <w:szCs w:val="21"/>
                      <w:lang w:val="en-US" w:eastAsia="zh-CN"/>
                    </w:rPr>
                  </w:pPr>
                  <w:r>
                    <w:rPr>
                      <w:rFonts w:hint="eastAsia"/>
                      <w:szCs w:val="21"/>
                      <w:lang w:val="en-US" w:eastAsia="zh-CN"/>
                    </w:rPr>
                    <w:t>10</w:t>
                  </w:r>
                </w:p>
              </w:tc>
              <w:tc>
                <w:tcPr>
                  <w:tcW w:w="969" w:type="dxa"/>
                  <w:tcBorders>
                    <w:top w:val="single" w:color="auto" w:sz="4" w:space="0"/>
                    <w:bottom w:val="single" w:color="auto" w:sz="4" w:space="0"/>
                    <w:right w:val="single" w:color="auto" w:sz="4" w:space="0"/>
                    <w:tl2br w:val="nil"/>
                    <w:tr2bl w:val="nil"/>
                  </w:tcBorders>
                  <w:vAlign w:val="center"/>
                </w:tcPr>
                <w:p>
                  <w:pPr>
                    <w:jc w:val="center"/>
                    <w:rPr>
                      <w:rFonts w:hint="default"/>
                      <w:szCs w:val="21"/>
                      <w:lang w:val="en-US" w:eastAsia="zh-CN"/>
                    </w:rPr>
                  </w:pPr>
                  <w:r>
                    <w:rPr>
                      <w:rFonts w:hint="eastAsia"/>
                      <w:szCs w:val="21"/>
                      <w:lang w:val="en-US" w:eastAsia="zh-CN"/>
                    </w:rPr>
                    <w:t>0.001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rPr>
                  </w:pPr>
                  <w:r>
                    <w:rPr>
                      <w:rFonts w:hint="eastAsia"/>
                      <w:color w:val="000000"/>
                    </w:rPr>
                    <w:t>400</w:t>
                  </w:r>
                </w:p>
              </w:tc>
              <w:tc>
                <w:tcPr>
                  <w:tcW w:w="1103" w:type="dxa"/>
                  <w:vMerge w:val="continue"/>
                  <w:tcBorders>
                    <w:left w:val="single" w:color="auto" w:sz="4" w:space="0"/>
                    <w:tl2br w:val="nil"/>
                    <w:tr2bl w:val="nil"/>
                  </w:tcBorders>
                  <w:vAlign w:val="center"/>
                </w:tcPr>
                <w:p>
                  <w:pPr>
                    <w:spacing w:line="300" w:lineRule="exact"/>
                    <w:jc w:val="center"/>
                    <w:rPr>
                      <w:color w:val="00000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0" w:type="dxa"/>
                  <w:vMerge w:val="continue"/>
                  <w:tcBorders>
                    <w:tl2br w:val="nil"/>
                    <w:tr2bl w:val="nil"/>
                  </w:tcBorders>
                  <w:vAlign w:val="center"/>
                </w:tcPr>
                <w:p>
                  <w:pPr>
                    <w:spacing w:line="300" w:lineRule="exact"/>
                    <w:jc w:val="center"/>
                    <w:rPr>
                      <w:color w:val="FF0000"/>
                    </w:rPr>
                  </w:pPr>
                </w:p>
              </w:tc>
              <w:tc>
                <w:tcPr>
                  <w:tcW w:w="851" w:type="dxa"/>
                  <w:vMerge w:val="continue"/>
                  <w:tcBorders>
                    <w:tl2br w:val="nil"/>
                    <w:tr2bl w:val="nil"/>
                  </w:tcBorders>
                  <w:tcMar>
                    <w:left w:w="28" w:type="dxa"/>
                    <w:right w:w="28" w:type="dxa"/>
                  </w:tcMar>
                  <w:vAlign w:val="center"/>
                </w:tcPr>
                <w:p>
                  <w:pPr>
                    <w:spacing w:line="300" w:lineRule="exact"/>
                    <w:jc w:val="center"/>
                    <w:rPr>
                      <w:color w:val="FF0000"/>
                    </w:rPr>
                  </w:pPr>
                </w:p>
              </w:tc>
              <w:tc>
                <w:tcPr>
                  <w:tcW w:w="992" w:type="dxa"/>
                  <w:tcBorders>
                    <w:tl2br w:val="nil"/>
                    <w:tr2bl w:val="nil"/>
                  </w:tcBorders>
                  <w:tcMar>
                    <w:left w:w="57" w:type="dxa"/>
                    <w:right w:w="57" w:type="dxa"/>
                  </w:tcMar>
                  <w:vAlign w:val="center"/>
                </w:tcPr>
                <w:p>
                  <w:pPr>
                    <w:spacing w:line="300" w:lineRule="exact"/>
                    <w:jc w:val="center"/>
                    <w:rPr>
                      <w:color w:val="000000"/>
                    </w:rPr>
                  </w:pPr>
                  <w:r>
                    <w:rPr>
                      <w:color w:val="000000"/>
                    </w:rPr>
                    <w:t>NH</w:t>
                  </w:r>
                  <w:r>
                    <w:rPr>
                      <w:color w:val="000000"/>
                      <w:vertAlign w:val="subscript"/>
                    </w:rPr>
                    <w:t>3</w:t>
                  </w:r>
                  <w:r>
                    <w:rPr>
                      <w:color w:val="000000"/>
                    </w:rPr>
                    <w:t>-N</w:t>
                  </w:r>
                </w:p>
              </w:tc>
              <w:tc>
                <w:tcPr>
                  <w:tcW w:w="992" w:type="dxa"/>
                  <w:tcBorders>
                    <w:tl2br w:val="nil"/>
                    <w:tr2bl w:val="nil"/>
                  </w:tcBorders>
                  <w:vAlign w:val="center"/>
                </w:tcPr>
                <w:p>
                  <w:pPr>
                    <w:jc w:val="center"/>
                    <w:rPr>
                      <w:rFonts w:hint="eastAsia"/>
                      <w:szCs w:val="21"/>
                      <w:lang w:val="en-US" w:eastAsia="zh-CN"/>
                    </w:rPr>
                  </w:pPr>
                  <w:r>
                    <w:rPr>
                      <w:rFonts w:hint="eastAsia"/>
                      <w:szCs w:val="21"/>
                      <w:lang w:val="en-US" w:eastAsia="zh-CN"/>
                    </w:rPr>
                    <w:t>35</w:t>
                  </w:r>
                </w:p>
              </w:tc>
              <w:tc>
                <w:tcPr>
                  <w:tcW w:w="851" w:type="dxa"/>
                  <w:tcBorders>
                    <w:tl2br w:val="nil"/>
                    <w:tr2bl w:val="nil"/>
                  </w:tcBorders>
                  <w:vAlign w:val="center"/>
                </w:tcPr>
                <w:p>
                  <w:pPr>
                    <w:jc w:val="center"/>
                    <w:rPr>
                      <w:rFonts w:hint="default"/>
                      <w:szCs w:val="21"/>
                      <w:lang w:val="en-US" w:eastAsia="zh-CN"/>
                    </w:rPr>
                  </w:pPr>
                  <w:r>
                    <w:rPr>
                      <w:rFonts w:hint="eastAsia"/>
                      <w:szCs w:val="21"/>
                      <w:lang w:val="en-US" w:eastAsia="zh-CN"/>
                    </w:rPr>
                    <w:t>0.0035</w:t>
                  </w:r>
                </w:p>
              </w:tc>
              <w:tc>
                <w:tcPr>
                  <w:tcW w:w="850" w:type="dxa"/>
                  <w:tcBorders>
                    <w:top w:val="single" w:color="auto" w:sz="4" w:space="0"/>
                    <w:bottom w:val="single" w:color="auto" w:sz="4" w:space="0"/>
                    <w:tl2br w:val="nil"/>
                    <w:tr2bl w:val="nil"/>
                  </w:tcBorders>
                  <w:vAlign w:val="center"/>
                </w:tcPr>
                <w:p>
                  <w:pPr>
                    <w:jc w:val="center"/>
                    <w:rPr>
                      <w:rFonts w:hint="eastAsia"/>
                      <w:szCs w:val="21"/>
                      <w:lang w:val="en-US" w:eastAsia="zh-CN"/>
                    </w:rPr>
                  </w:pPr>
                  <w:r>
                    <w:rPr>
                      <w:rFonts w:hint="eastAsia"/>
                      <w:szCs w:val="21"/>
                      <w:lang w:val="en-US" w:eastAsia="zh-CN"/>
                    </w:rPr>
                    <w:t>5</w:t>
                  </w:r>
                </w:p>
              </w:tc>
              <w:tc>
                <w:tcPr>
                  <w:tcW w:w="969" w:type="dxa"/>
                  <w:tcBorders>
                    <w:top w:val="single" w:color="auto" w:sz="4" w:space="0"/>
                    <w:bottom w:val="single" w:color="auto" w:sz="4" w:space="0"/>
                    <w:right w:val="single" w:color="auto" w:sz="4" w:space="0"/>
                    <w:tl2br w:val="nil"/>
                    <w:tr2bl w:val="nil"/>
                  </w:tcBorders>
                  <w:vAlign w:val="center"/>
                </w:tcPr>
                <w:p>
                  <w:pPr>
                    <w:jc w:val="center"/>
                    <w:rPr>
                      <w:rFonts w:hint="default"/>
                      <w:szCs w:val="21"/>
                      <w:lang w:val="en-US" w:eastAsia="zh-CN"/>
                    </w:rPr>
                  </w:pPr>
                  <w:r>
                    <w:rPr>
                      <w:rFonts w:hint="eastAsia"/>
                      <w:szCs w:val="21"/>
                      <w:lang w:val="en-US" w:eastAsia="zh-CN"/>
                    </w:rPr>
                    <w:t>0.0005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rPr>
                  </w:pPr>
                  <w:r>
                    <w:rPr>
                      <w:rFonts w:hint="eastAsia"/>
                      <w:color w:val="000000"/>
                    </w:rPr>
                    <w:t>45</w:t>
                  </w:r>
                </w:p>
              </w:tc>
              <w:tc>
                <w:tcPr>
                  <w:tcW w:w="1103" w:type="dxa"/>
                  <w:vMerge w:val="continue"/>
                  <w:tcBorders>
                    <w:left w:val="single" w:color="auto" w:sz="4" w:space="0"/>
                    <w:tl2br w:val="nil"/>
                    <w:tr2bl w:val="nil"/>
                  </w:tcBorders>
                  <w:vAlign w:val="center"/>
                </w:tcPr>
                <w:p>
                  <w:pPr>
                    <w:spacing w:line="300" w:lineRule="exact"/>
                    <w:jc w:val="center"/>
                    <w:rPr>
                      <w:color w:val="00000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25" w:hRule="atLeast"/>
                <w:jc w:val="center"/>
              </w:trPr>
              <w:tc>
                <w:tcPr>
                  <w:tcW w:w="730" w:type="dxa"/>
                  <w:vMerge w:val="continue"/>
                  <w:tcBorders>
                    <w:tl2br w:val="nil"/>
                    <w:tr2bl w:val="nil"/>
                  </w:tcBorders>
                  <w:vAlign w:val="center"/>
                </w:tcPr>
                <w:p>
                  <w:pPr>
                    <w:spacing w:line="300" w:lineRule="exact"/>
                    <w:jc w:val="center"/>
                    <w:rPr>
                      <w:color w:val="FF0000"/>
                    </w:rPr>
                  </w:pPr>
                </w:p>
              </w:tc>
              <w:tc>
                <w:tcPr>
                  <w:tcW w:w="851" w:type="dxa"/>
                  <w:vMerge w:val="continue"/>
                  <w:tcBorders>
                    <w:tl2br w:val="nil"/>
                    <w:tr2bl w:val="nil"/>
                  </w:tcBorders>
                  <w:tcMar>
                    <w:left w:w="28" w:type="dxa"/>
                    <w:right w:w="28" w:type="dxa"/>
                  </w:tcMar>
                  <w:vAlign w:val="center"/>
                </w:tcPr>
                <w:p>
                  <w:pPr>
                    <w:spacing w:line="300" w:lineRule="exact"/>
                    <w:jc w:val="center"/>
                    <w:rPr>
                      <w:color w:val="FF0000"/>
                    </w:rPr>
                  </w:pPr>
                </w:p>
              </w:tc>
              <w:tc>
                <w:tcPr>
                  <w:tcW w:w="992" w:type="dxa"/>
                  <w:tcBorders>
                    <w:tl2br w:val="nil"/>
                    <w:tr2bl w:val="nil"/>
                  </w:tcBorders>
                  <w:tcMar>
                    <w:left w:w="57" w:type="dxa"/>
                    <w:right w:w="57" w:type="dxa"/>
                  </w:tcMar>
                  <w:vAlign w:val="center"/>
                </w:tcPr>
                <w:p>
                  <w:pPr>
                    <w:spacing w:line="300" w:lineRule="exact"/>
                    <w:jc w:val="center"/>
                    <w:rPr>
                      <w:color w:val="000000"/>
                    </w:rPr>
                  </w:pPr>
                  <w:r>
                    <w:rPr>
                      <w:color w:val="000000"/>
                    </w:rPr>
                    <w:t>TP</w:t>
                  </w:r>
                </w:p>
              </w:tc>
              <w:tc>
                <w:tcPr>
                  <w:tcW w:w="992" w:type="dxa"/>
                  <w:tcBorders>
                    <w:tl2br w:val="nil"/>
                    <w:tr2bl w:val="nil"/>
                  </w:tcBorders>
                  <w:vAlign w:val="center"/>
                </w:tcPr>
                <w:p>
                  <w:pPr>
                    <w:jc w:val="center"/>
                    <w:rPr>
                      <w:rFonts w:hint="eastAsia"/>
                      <w:szCs w:val="21"/>
                      <w:lang w:val="en-US" w:eastAsia="zh-CN"/>
                    </w:rPr>
                  </w:pPr>
                  <w:r>
                    <w:rPr>
                      <w:rFonts w:hint="eastAsia"/>
                      <w:szCs w:val="21"/>
                      <w:lang w:val="en-US" w:eastAsia="zh-CN"/>
                    </w:rPr>
                    <w:t>5</w:t>
                  </w:r>
                </w:p>
              </w:tc>
              <w:tc>
                <w:tcPr>
                  <w:tcW w:w="851" w:type="dxa"/>
                  <w:tcBorders>
                    <w:tl2br w:val="nil"/>
                    <w:tr2bl w:val="nil"/>
                  </w:tcBorders>
                  <w:vAlign w:val="center"/>
                </w:tcPr>
                <w:p>
                  <w:pPr>
                    <w:jc w:val="center"/>
                    <w:rPr>
                      <w:rFonts w:hint="default"/>
                      <w:szCs w:val="21"/>
                      <w:lang w:val="en-US" w:eastAsia="zh-CN"/>
                    </w:rPr>
                  </w:pPr>
                  <w:r>
                    <w:rPr>
                      <w:rFonts w:hint="eastAsia"/>
                      <w:szCs w:val="21"/>
                      <w:lang w:val="en-US" w:eastAsia="zh-CN"/>
                    </w:rPr>
                    <w:t>0.0005</w:t>
                  </w:r>
                </w:p>
              </w:tc>
              <w:tc>
                <w:tcPr>
                  <w:tcW w:w="850" w:type="dxa"/>
                  <w:tcBorders>
                    <w:top w:val="single" w:color="auto" w:sz="4" w:space="0"/>
                    <w:bottom w:val="single" w:color="auto" w:sz="4" w:space="0"/>
                    <w:tl2br w:val="nil"/>
                    <w:tr2bl w:val="nil"/>
                  </w:tcBorders>
                  <w:vAlign w:val="center"/>
                </w:tcPr>
                <w:p>
                  <w:pPr>
                    <w:jc w:val="center"/>
                    <w:rPr>
                      <w:rFonts w:hint="eastAsia"/>
                      <w:szCs w:val="21"/>
                      <w:lang w:val="en-US" w:eastAsia="zh-CN"/>
                    </w:rPr>
                  </w:pPr>
                  <w:r>
                    <w:rPr>
                      <w:rFonts w:hint="eastAsia"/>
                      <w:szCs w:val="21"/>
                      <w:lang w:val="en-US" w:eastAsia="zh-CN"/>
                    </w:rPr>
                    <w:t>0.5</w:t>
                  </w:r>
                </w:p>
              </w:tc>
              <w:tc>
                <w:tcPr>
                  <w:tcW w:w="969" w:type="dxa"/>
                  <w:tcBorders>
                    <w:top w:val="single" w:color="auto" w:sz="4" w:space="0"/>
                    <w:bottom w:val="single" w:color="auto" w:sz="4" w:space="0"/>
                    <w:right w:val="single" w:color="auto" w:sz="4" w:space="0"/>
                    <w:tl2br w:val="nil"/>
                    <w:tr2bl w:val="nil"/>
                  </w:tcBorders>
                  <w:vAlign w:val="center"/>
                </w:tcPr>
                <w:p>
                  <w:pPr>
                    <w:jc w:val="center"/>
                    <w:rPr>
                      <w:rFonts w:hint="default"/>
                      <w:szCs w:val="21"/>
                      <w:lang w:val="en-US" w:eastAsia="zh-CN"/>
                    </w:rPr>
                  </w:pPr>
                  <w:r>
                    <w:rPr>
                      <w:rFonts w:hint="eastAsia"/>
                      <w:szCs w:val="21"/>
                      <w:lang w:val="en-US" w:eastAsia="zh-CN"/>
                    </w:rPr>
                    <w:t>0.00005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rPr>
                  </w:pPr>
                  <w:r>
                    <w:rPr>
                      <w:rFonts w:hint="eastAsia"/>
                      <w:color w:val="000000"/>
                    </w:rPr>
                    <w:t>8</w:t>
                  </w:r>
                </w:p>
              </w:tc>
              <w:tc>
                <w:tcPr>
                  <w:tcW w:w="1103" w:type="dxa"/>
                  <w:vMerge w:val="continue"/>
                  <w:tcBorders>
                    <w:left w:val="single" w:color="auto" w:sz="4" w:space="0"/>
                    <w:tl2br w:val="nil"/>
                    <w:tr2bl w:val="nil"/>
                  </w:tcBorders>
                  <w:vAlign w:val="center"/>
                </w:tcPr>
                <w:p>
                  <w:pPr>
                    <w:spacing w:line="300" w:lineRule="exact"/>
                    <w:jc w:val="center"/>
                    <w:rPr>
                      <w:color w:val="00000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730" w:type="dxa"/>
                  <w:vMerge w:val="continue"/>
                  <w:tcBorders>
                    <w:tl2br w:val="nil"/>
                    <w:tr2bl w:val="nil"/>
                  </w:tcBorders>
                  <w:vAlign w:val="center"/>
                </w:tcPr>
                <w:p>
                  <w:pPr>
                    <w:spacing w:line="300" w:lineRule="exact"/>
                    <w:jc w:val="center"/>
                    <w:rPr>
                      <w:color w:val="FF0000"/>
                    </w:rPr>
                  </w:pPr>
                </w:p>
              </w:tc>
              <w:tc>
                <w:tcPr>
                  <w:tcW w:w="851" w:type="dxa"/>
                  <w:vMerge w:val="continue"/>
                  <w:tcBorders>
                    <w:tl2br w:val="nil"/>
                    <w:tr2bl w:val="nil"/>
                  </w:tcBorders>
                  <w:tcMar>
                    <w:left w:w="28" w:type="dxa"/>
                    <w:right w:w="28" w:type="dxa"/>
                  </w:tcMar>
                  <w:vAlign w:val="center"/>
                </w:tcPr>
                <w:p>
                  <w:pPr>
                    <w:spacing w:line="300" w:lineRule="exact"/>
                    <w:jc w:val="center"/>
                    <w:rPr>
                      <w:color w:val="FF0000"/>
                    </w:rPr>
                  </w:pPr>
                </w:p>
              </w:tc>
              <w:tc>
                <w:tcPr>
                  <w:tcW w:w="992" w:type="dxa"/>
                  <w:tcBorders>
                    <w:tl2br w:val="nil"/>
                    <w:tr2bl w:val="nil"/>
                  </w:tcBorders>
                  <w:tcMar>
                    <w:left w:w="57" w:type="dxa"/>
                    <w:right w:w="57" w:type="dxa"/>
                  </w:tcMar>
                  <w:vAlign w:val="center"/>
                </w:tcPr>
                <w:p>
                  <w:pPr>
                    <w:spacing w:line="300" w:lineRule="exact"/>
                    <w:jc w:val="center"/>
                    <w:rPr>
                      <w:color w:val="000000"/>
                    </w:rPr>
                  </w:pPr>
                  <w:r>
                    <w:rPr>
                      <w:rFonts w:hint="eastAsia"/>
                      <w:kern w:val="0"/>
                      <w:szCs w:val="21"/>
                    </w:rPr>
                    <w:t>TN</w:t>
                  </w:r>
                </w:p>
              </w:tc>
              <w:tc>
                <w:tcPr>
                  <w:tcW w:w="992" w:type="dxa"/>
                  <w:tcBorders>
                    <w:tl2br w:val="nil"/>
                    <w:tr2bl w:val="nil"/>
                  </w:tcBorders>
                  <w:vAlign w:val="center"/>
                </w:tcPr>
                <w:p>
                  <w:pPr>
                    <w:jc w:val="center"/>
                    <w:rPr>
                      <w:rFonts w:hint="eastAsia"/>
                      <w:szCs w:val="21"/>
                      <w:lang w:val="en-US" w:eastAsia="zh-CN"/>
                    </w:rPr>
                  </w:pPr>
                  <w:r>
                    <w:rPr>
                      <w:rFonts w:hint="eastAsia"/>
                      <w:szCs w:val="21"/>
                      <w:lang w:val="en-US" w:eastAsia="zh-CN"/>
                    </w:rPr>
                    <w:t>45</w:t>
                  </w:r>
                </w:p>
              </w:tc>
              <w:tc>
                <w:tcPr>
                  <w:tcW w:w="851" w:type="dxa"/>
                  <w:tcBorders>
                    <w:tl2br w:val="nil"/>
                    <w:tr2bl w:val="nil"/>
                  </w:tcBorders>
                  <w:vAlign w:val="center"/>
                </w:tcPr>
                <w:p>
                  <w:pPr>
                    <w:jc w:val="center"/>
                    <w:rPr>
                      <w:rFonts w:hint="default"/>
                      <w:szCs w:val="21"/>
                      <w:lang w:val="en-US" w:eastAsia="zh-CN"/>
                    </w:rPr>
                  </w:pPr>
                  <w:r>
                    <w:rPr>
                      <w:rFonts w:hint="eastAsia"/>
                      <w:szCs w:val="21"/>
                      <w:lang w:val="en-US" w:eastAsia="zh-CN"/>
                    </w:rPr>
                    <w:t>0.0045</w:t>
                  </w:r>
                </w:p>
              </w:tc>
              <w:tc>
                <w:tcPr>
                  <w:tcW w:w="850" w:type="dxa"/>
                  <w:tcBorders>
                    <w:top w:val="single" w:color="auto" w:sz="4" w:space="0"/>
                    <w:tl2br w:val="nil"/>
                    <w:tr2bl w:val="nil"/>
                  </w:tcBorders>
                  <w:vAlign w:val="center"/>
                </w:tcPr>
                <w:p>
                  <w:pPr>
                    <w:jc w:val="center"/>
                    <w:rPr>
                      <w:rFonts w:hint="eastAsia"/>
                      <w:szCs w:val="21"/>
                      <w:lang w:val="en-US" w:eastAsia="zh-CN"/>
                    </w:rPr>
                  </w:pPr>
                  <w:r>
                    <w:rPr>
                      <w:rFonts w:hint="eastAsia"/>
                      <w:szCs w:val="21"/>
                      <w:lang w:val="en-US" w:eastAsia="zh-CN"/>
                    </w:rPr>
                    <w:t>15</w:t>
                  </w:r>
                </w:p>
              </w:tc>
              <w:tc>
                <w:tcPr>
                  <w:tcW w:w="969" w:type="dxa"/>
                  <w:tcBorders>
                    <w:top w:val="single" w:color="auto" w:sz="4" w:space="0"/>
                    <w:right w:val="single" w:color="auto" w:sz="4" w:space="0"/>
                    <w:tl2br w:val="nil"/>
                    <w:tr2bl w:val="nil"/>
                  </w:tcBorders>
                  <w:vAlign w:val="center"/>
                </w:tcPr>
                <w:p>
                  <w:pPr>
                    <w:jc w:val="center"/>
                    <w:rPr>
                      <w:rFonts w:hint="default"/>
                      <w:szCs w:val="21"/>
                      <w:lang w:val="en-US" w:eastAsia="zh-CN"/>
                    </w:rPr>
                  </w:pPr>
                  <w:r>
                    <w:rPr>
                      <w:rFonts w:hint="eastAsia"/>
                      <w:szCs w:val="21"/>
                      <w:lang w:val="en-US" w:eastAsia="zh-CN"/>
                    </w:rPr>
                    <w:t>0.0015</w:t>
                  </w:r>
                </w:p>
              </w:tc>
              <w:tc>
                <w:tcPr>
                  <w:tcW w:w="1016" w:type="dxa"/>
                  <w:tcBorders>
                    <w:top w:val="single" w:color="auto" w:sz="4" w:space="0"/>
                    <w:left w:val="single" w:color="auto" w:sz="4" w:space="0"/>
                    <w:right w:val="single" w:color="auto" w:sz="4" w:space="0"/>
                    <w:tl2br w:val="nil"/>
                    <w:tr2bl w:val="nil"/>
                  </w:tcBorders>
                  <w:vAlign w:val="center"/>
                </w:tcPr>
                <w:p>
                  <w:pPr>
                    <w:spacing w:line="300" w:lineRule="exact"/>
                    <w:jc w:val="center"/>
                    <w:rPr>
                      <w:color w:val="000000"/>
                    </w:rPr>
                  </w:pPr>
                  <w:r>
                    <w:rPr>
                      <w:rFonts w:hint="eastAsia"/>
                      <w:color w:val="000000"/>
                    </w:rPr>
                    <w:t>70</w:t>
                  </w:r>
                </w:p>
              </w:tc>
              <w:tc>
                <w:tcPr>
                  <w:tcW w:w="1103" w:type="dxa"/>
                  <w:vMerge w:val="continue"/>
                  <w:tcBorders>
                    <w:left w:val="single" w:color="auto" w:sz="4" w:space="0"/>
                    <w:tl2br w:val="nil"/>
                    <w:tr2bl w:val="nil"/>
                  </w:tcBorders>
                  <w:vAlign w:val="center"/>
                </w:tcPr>
                <w:p>
                  <w:pPr>
                    <w:spacing w:line="300" w:lineRule="exact"/>
                    <w:jc w:val="center"/>
                    <w:rPr>
                      <w:color w:val="000000"/>
                    </w:rPr>
                  </w:pPr>
                </w:p>
              </w:tc>
            </w:tr>
          </w:tbl>
          <w:p>
            <w:pPr>
              <w:autoSpaceDE w:val="0"/>
              <w:autoSpaceDN w:val="0"/>
              <w:adjustRightInd w:val="0"/>
              <w:spacing w:beforeLines="50" w:line="360" w:lineRule="auto"/>
              <w:ind w:firstLine="360" w:firstLineChars="150"/>
              <w:jc w:val="left"/>
              <w:rPr>
                <w:kern w:val="0"/>
                <w:sz w:val="24"/>
                <w:szCs w:val="24"/>
              </w:rPr>
            </w:pPr>
            <w:r>
              <w:rPr>
                <w:kern w:val="0"/>
                <w:sz w:val="24"/>
                <w:szCs w:val="24"/>
              </w:rPr>
              <w:t>（</w:t>
            </w:r>
            <w:r>
              <w:rPr>
                <w:rFonts w:hint="eastAsia"/>
                <w:kern w:val="0"/>
                <w:sz w:val="24"/>
                <w:szCs w:val="24"/>
              </w:rPr>
              <w:t>3</w:t>
            </w:r>
            <w:r>
              <w:rPr>
                <w:kern w:val="0"/>
                <w:sz w:val="24"/>
                <w:szCs w:val="24"/>
              </w:rPr>
              <w:t>）</w:t>
            </w:r>
            <w:r>
              <w:rPr>
                <w:kern w:val="0"/>
                <w:sz w:val="24"/>
                <w:szCs w:val="24"/>
                <w:lang w:val="en-US"/>
              </w:rPr>
              <w:t>噪声</w:t>
            </w:r>
          </w:p>
          <w:p>
            <w:pPr>
              <w:autoSpaceDE w:val="0"/>
              <w:autoSpaceDN w:val="0"/>
              <w:adjustRightInd w:val="0"/>
              <w:spacing w:line="360" w:lineRule="auto"/>
              <w:ind w:firstLine="480" w:firstLineChars="200"/>
              <w:jc w:val="left"/>
            </w:pPr>
            <w:r>
              <w:rPr>
                <w:rFonts w:hint="eastAsia"/>
                <w:kern w:val="0"/>
                <w:sz w:val="24"/>
                <w:szCs w:val="24"/>
                <w:lang w:val="en-US"/>
              </w:rPr>
              <w:t>本项目噪声源主要为设备运行时产生的噪声。根据同类企业类比调查，设备噪声级见表</w:t>
            </w:r>
            <w:r>
              <w:rPr>
                <w:kern w:val="0"/>
                <w:sz w:val="24"/>
                <w:szCs w:val="24"/>
                <w:lang w:val="en-US"/>
              </w:rPr>
              <w:t>5-</w:t>
            </w:r>
            <w:r>
              <w:rPr>
                <w:rFonts w:hint="eastAsia"/>
                <w:kern w:val="0"/>
                <w:sz w:val="24"/>
                <w:szCs w:val="24"/>
                <w:lang w:val="en-US"/>
              </w:rPr>
              <w:t>3</w:t>
            </w:r>
            <w:r>
              <w:rPr>
                <w:kern w:val="0"/>
                <w:sz w:val="24"/>
                <w:szCs w:val="24"/>
                <w:lang w:val="en-US"/>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color w:val="000000" w:themeColor="text1"/>
                <w:sz w:val="24"/>
                <w:szCs w:val="24"/>
                <w:lang w:val="fi-FI"/>
              </w:rPr>
            </w:pPr>
            <w:r>
              <w:rPr>
                <w:rFonts w:hint="default" w:ascii="Times New Roman" w:hAnsi="Times New Roman" w:cs="Times New Roman" w:eastAsiaTheme="minorEastAsia"/>
                <w:b/>
                <w:color w:val="000000" w:themeColor="text1"/>
                <w:sz w:val="24"/>
                <w:szCs w:val="24"/>
                <w:lang w:val="en-US"/>
              </w:rPr>
              <w:t>表5-</w:t>
            </w:r>
            <w:r>
              <w:rPr>
                <w:rFonts w:hint="eastAsia" w:ascii="Times New Roman" w:hAnsi="Times New Roman" w:cs="Times New Roman" w:eastAsiaTheme="minorEastAsia"/>
                <w:b/>
                <w:color w:val="000000" w:themeColor="text1"/>
                <w:sz w:val="24"/>
                <w:szCs w:val="24"/>
                <w:lang w:val="en-US"/>
              </w:rPr>
              <w:t>3  本项目主要设备噪声源强</w:t>
            </w:r>
          </w:p>
          <w:tbl>
            <w:tblPr>
              <w:tblStyle w:val="75"/>
              <w:tblW w:w="825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18"/>
              <w:gridCol w:w="1266"/>
              <w:gridCol w:w="1525"/>
              <w:gridCol w:w="19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7" w:type="dxa"/>
                  <w:vAlign w:val="center"/>
                </w:tcPr>
                <w:p>
                  <w:pPr>
                    <w:jc w:val="center"/>
                    <w:rPr>
                      <w:b/>
                      <w:bCs/>
                      <w:szCs w:val="21"/>
                    </w:rPr>
                  </w:pPr>
                  <w:r>
                    <w:rPr>
                      <w:rFonts w:hint="eastAsia"/>
                      <w:b/>
                      <w:bCs/>
                      <w:szCs w:val="21"/>
                    </w:rPr>
                    <w:t>序号</w:t>
                  </w:r>
                </w:p>
              </w:tc>
              <w:tc>
                <w:tcPr>
                  <w:tcW w:w="2618" w:type="dxa"/>
                  <w:vAlign w:val="center"/>
                </w:tcPr>
                <w:p>
                  <w:pPr>
                    <w:jc w:val="center"/>
                    <w:rPr>
                      <w:b/>
                      <w:bCs/>
                      <w:szCs w:val="21"/>
                    </w:rPr>
                  </w:pPr>
                  <w:r>
                    <w:rPr>
                      <w:rFonts w:hint="eastAsia"/>
                      <w:b/>
                      <w:bCs/>
                      <w:szCs w:val="21"/>
                    </w:rPr>
                    <w:t>设备名称</w:t>
                  </w:r>
                </w:p>
              </w:tc>
              <w:tc>
                <w:tcPr>
                  <w:tcW w:w="1266" w:type="dxa"/>
                  <w:vAlign w:val="center"/>
                </w:tcPr>
                <w:p>
                  <w:pPr>
                    <w:jc w:val="center"/>
                    <w:rPr>
                      <w:b/>
                      <w:bCs/>
                      <w:szCs w:val="21"/>
                    </w:rPr>
                  </w:pPr>
                  <w:r>
                    <w:rPr>
                      <w:rFonts w:hint="eastAsia"/>
                      <w:b/>
                      <w:bCs/>
                      <w:szCs w:val="21"/>
                    </w:rPr>
                    <w:t>数量</w:t>
                  </w:r>
                </w:p>
              </w:tc>
              <w:tc>
                <w:tcPr>
                  <w:tcW w:w="1525" w:type="dxa"/>
                  <w:vAlign w:val="center"/>
                </w:tcPr>
                <w:p>
                  <w:pPr>
                    <w:jc w:val="center"/>
                    <w:rPr>
                      <w:b/>
                      <w:bCs/>
                      <w:szCs w:val="21"/>
                    </w:rPr>
                  </w:pPr>
                  <w:r>
                    <w:rPr>
                      <w:rFonts w:hint="eastAsia"/>
                      <w:b/>
                      <w:bCs/>
                      <w:szCs w:val="21"/>
                    </w:rPr>
                    <w:t>排放方式</w:t>
                  </w:r>
                </w:p>
              </w:tc>
              <w:tc>
                <w:tcPr>
                  <w:tcW w:w="1944" w:type="dxa"/>
                  <w:vAlign w:val="center"/>
                </w:tcPr>
                <w:p>
                  <w:pPr>
                    <w:jc w:val="center"/>
                    <w:rPr>
                      <w:b/>
                      <w:bCs/>
                      <w:szCs w:val="21"/>
                    </w:rPr>
                  </w:pPr>
                  <w:r>
                    <w:rPr>
                      <w:rFonts w:hint="eastAsia"/>
                      <w:b/>
                      <w:bCs/>
                      <w:szCs w:val="21"/>
                    </w:rPr>
                    <w:t>噪声值dB（A）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7" w:type="dxa"/>
                  <w:vAlign w:val="center"/>
                </w:tcPr>
                <w:p>
                  <w:pPr>
                    <w:jc w:val="center"/>
                    <w:rPr>
                      <w:kern w:val="0"/>
                      <w:szCs w:val="21"/>
                    </w:rPr>
                  </w:pPr>
                  <w:r>
                    <w:rPr>
                      <w:rFonts w:hint="eastAsia"/>
                      <w:kern w:val="0"/>
                      <w:szCs w:val="21"/>
                    </w:rPr>
                    <w:t>1</w:t>
                  </w:r>
                </w:p>
              </w:tc>
              <w:tc>
                <w:tcPr>
                  <w:tcW w:w="2618"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辊道窑</w:t>
                  </w:r>
                </w:p>
              </w:tc>
              <w:tc>
                <w:tcPr>
                  <w:tcW w:w="1266" w:type="dxa"/>
                  <w:vAlign w:val="center"/>
                </w:tcPr>
                <w:p>
                  <w:pPr>
                    <w:jc w:val="center"/>
                    <w:rPr>
                      <w:szCs w:val="21"/>
                    </w:rPr>
                  </w:pPr>
                  <w:r>
                    <w:rPr>
                      <w:rFonts w:hint="eastAsia"/>
                      <w:lang w:val="en-US" w:eastAsia="zh-CN"/>
                    </w:rPr>
                    <w:t>1</w:t>
                  </w:r>
                  <w:r>
                    <w:rPr>
                      <w:rFonts w:hint="eastAsia"/>
                      <w:szCs w:val="21"/>
                      <w:lang w:val="en-US"/>
                    </w:rPr>
                    <w:t>台</w:t>
                  </w:r>
                </w:p>
              </w:tc>
              <w:tc>
                <w:tcPr>
                  <w:tcW w:w="1525" w:type="dxa"/>
                  <w:vAlign w:val="center"/>
                </w:tcPr>
                <w:p>
                  <w:pPr>
                    <w:jc w:val="center"/>
                    <w:outlineLvl w:val="2"/>
                    <w:rPr>
                      <w:bCs/>
                      <w:kern w:val="0"/>
                      <w:szCs w:val="21"/>
                    </w:rPr>
                  </w:pPr>
                  <w:r>
                    <w:rPr>
                      <w:bCs/>
                      <w:kern w:val="0"/>
                      <w:szCs w:val="21"/>
                    </w:rPr>
                    <w:t>间歇</w:t>
                  </w:r>
                </w:p>
              </w:tc>
              <w:tc>
                <w:tcPr>
                  <w:tcW w:w="1944" w:type="dxa"/>
                  <w:vAlign w:val="center"/>
                </w:tcPr>
                <w:p>
                  <w:pPr>
                    <w:jc w:val="center"/>
                    <w:rPr>
                      <w:bCs/>
                      <w:szCs w:val="21"/>
                    </w:rPr>
                  </w:pPr>
                  <w:r>
                    <w:rPr>
                      <w:rFonts w:hint="eastAsia"/>
                      <w:bCs/>
                      <w:szCs w:val="21"/>
                    </w:rPr>
                    <w:t>70~80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7" w:type="dxa"/>
                  <w:vAlign w:val="center"/>
                </w:tcPr>
                <w:p>
                  <w:pPr>
                    <w:jc w:val="center"/>
                    <w:rPr>
                      <w:kern w:val="0"/>
                      <w:szCs w:val="21"/>
                    </w:rPr>
                  </w:pPr>
                  <w:r>
                    <w:rPr>
                      <w:rFonts w:hint="eastAsia"/>
                      <w:kern w:val="0"/>
                      <w:szCs w:val="21"/>
                    </w:rPr>
                    <w:t>2</w:t>
                  </w:r>
                </w:p>
              </w:tc>
              <w:tc>
                <w:tcPr>
                  <w:tcW w:w="2618" w:type="dxa"/>
                  <w:vAlign w:val="center"/>
                </w:tcPr>
                <w:p>
                  <w:pPr>
                    <w:jc w:val="center"/>
                    <w:rPr>
                      <w:rFonts w:hint="eastAsia" w:ascii="Times New Roman" w:hAnsi="Times New Roman" w:eastAsia="宋体" w:cs="Times New Roman"/>
                      <w:kern w:val="2"/>
                      <w:sz w:val="21"/>
                      <w:szCs w:val="21"/>
                      <w:lang w:val="fi-FI" w:eastAsia="zh-CN" w:bidi="ar-SA"/>
                    </w:rPr>
                  </w:pPr>
                  <w:r>
                    <w:rPr>
                      <w:rFonts w:hint="eastAsia"/>
                      <w:szCs w:val="21"/>
                      <w:lang w:eastAsia="zh-CN"/>
                    </w:rPr>
                    <w:t>球磨机</w:t>
                  </w:r>
                </w:p>
              </w:tc>
              <w:tc>
                <w:tcPr>
                  <w:tcW w:w="1266" w:type="dxa"/>
                  <w:vAlign w:val="center"/>
                </w:tcPr>
                <w:p>
                  <w:pPr>
                    <w:jc w:val="center"/>
                    <w:rPr>
                      <w:szCs w:val="21"/>
                    </w:rPr>
                  </w:pPr>
                  <w:r>
                    <w:rPr>
                      <w:rFonts w:hint="eastAsia"/>
                      <w:szCs w:val="21"/>
                      <w:lang w:val="en-US" w:eastAsia="zh-CN"/>
                    </w:rPr>
                    <w:t>6</w:t>
                  </w:r>
                  <w:r>
                    <w:rPr>
                      <w:rFonts w:hint="eastAsia"/>
                      <w:szCs w:val="21"/>
                      <w:lang w:val="en-US"/>
                    </w:rPr>
                    <w:t>台</w:t>
                  </w:r>
                </w:p>
              </w:tc>
              <w:tc>
                <w:tcPr>
                  <w:tcW w:w="1525" w:type="dxa"/>
                  <w:vAlign w:val="center"/>
                </w:tcPr>
                <w:p>
                  <w:pPr>
                    <w:jc w:val="center"/>
                    <w:outlineLvl w:val="2"/>
                    <w:rPr>
                      <w:bCs/>
                      <w:kern w:val="0"/>
                      <w:szCs w:val="21"/>
                    </w:rPr>
                  </w:pPr>
                  <w:r>
                    <w:rPr>
                      <w:bCs/>
                      <w:kern w:val="0"/>
                      <w:szCs w:val="21"/>
                    </w:rPr>
                    <w:t>间歇</w:t>
                  </w:r>
                </w:p>
              </w:tc>
              <w:tc>
                <w:tcPr>
                  <w:tcW w:w="1944" w:type="dxa"/>
                  <w:vAlign w:val="center"/>
                </w:tcPr>
                <w:p>
                  <w:pPr>
                    <w:jc w:val="center"/>
                    <w:rPr>
                      <w:rFonts w:hint="eastAsia" w:eastAsia="宋体"/>
                      <w:bCs/>
                      <w:szCs w:val="21"/>
                      <w:lang w:eastAsia="zh-CN"/>
                    </w:rPr>
                  </w:pPr>
                  <w:r>
                    <w:rPr>
                      <w:rFonts w:hint="eastAsia"/>
                      <w:bCs/>
                      <w:szCs w:val="21"/>
                    </w:rPr>
                    <w:t>7</w:t>
                  </w:r>
                  <w:r>
                    <w:rPr>
                      <w:rFonts w:hint="eastAsia"/>
                      <w:bCs/>
                      <w:szCs w:val="21"/>
                      <w:lang w:val="en-US" w:eastAsia="zh-CN"/>
                    </w:rPr>
                    <w:t>5</w:t>
                  </w:r>
                  <w:r>
                    <w:rPr>
                      <w:rFonts w:hint="eastAsia"/>
                      <w:bCs/>
                      <w:szCs w:val="21"/>
                    </w:rPr>
                    <w:t>~8</w:t>
                  </w:r>
                  <w:r>
                    <w:rPr>
                      <w:rFonts w:hint="eastAsia"/>
                      <w:bCs/>
                      <w:szCs w:val="21"/>
                      <w:lang w:val="en-US" w:eastAsia="zh-CN"/>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7" w:type="dxa"/>
                  <w:vAlign w:val="center"/>
                </w:tcPr>
                <w:p>
                  <w:pPr>
                    <w:jc w:val="center"/>
                    <w:rPr>
                      <w:rFonts w:hint="eastAsia" w:eastAsia="宋体"/>
                      <w:kern w:val="0"/>
                      <w:szCs w:val="21"/>
                      <w:lang w:eastAsia="zh-CN"/>
                    </w:rPr>
                  </w:pPr>
                  <w:r>
                    <w:rPr>
                      <w:rFonts w:hint="eastAsia"/>
                      <w:kern w:val="0"/>
                      <w:szCs w:val="21"/>
                      <w:lang w:val="en-US" w:eastAsia="zh-CN"/>
                    </w:rPr>
                    <w:t>3</w:t>
                  </w:r>
                </w:p>
              </w:tc>
              <w:tc>
                <w:tcPr>
                  <w:tcW w:w="26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干压机</w:t>
                  </w:r>
                </w:p>
              </w:tc>
              <w:tc>
                <w:tcPr>
                  <w:tcW w:w="1266" w:type="dxa"/>
                  <w:vAlign w:val="center"/>
                </w:tcPr>
                <w:p>
                  <w:pPr>
                    <w:jc w:val="center"/>
                    <w:rPr>
                      <w:szCs w:val="21"/>
                    </w:rPr>
                  </w:pPr>
                  <w:r>
                    <w:rPr>
                      <w:rFonts w:hint="eastAsia"/>
                      <w:szCs w:val="21"/>
                      <w:lang w:val="en-US" w:eastAsia="zh-CN"/>
                    </w:rPr>
                    <w:t>10</w:t>
                  </w:r>
                  <w:r>
                    <w:rPr>
                      <w:rFonts w:hint="eastAsia"/>
                      <w:szCs w:val="21"/>
                      <w:lang w:val="en-US"/>
                    </w:rPr>
                    <w:t>台</w:t>
                  </w:r>
                </w:p>
              </w:tc>
              <w:tc>
                <w:tcPr>
                  <w:tcW w:w="1525" w:type="dxa"/>
                  <w:vAlign w:val="center"/>
                </w:tcPr>
                <w:p>
                  <w:pPr>
                    <w:jc w:val="center"/>
                    <w:outlineLvl w:val="2"/>
                    <w:rPr>
                      <w:bCs/>
                      <w:kern w:val="0"/>
                      <w:szCs w:val="21"/>
                    </w:rPr>
                  </w:pPr>
                  <w:r>
                    <w:rPr>
                      <w:bCs/>
                      <w:kern w:val="0"/>
                      <w:szCs w:val="21"/>
                    </w:rPr>
                    <w:t>间歇</w:t>
                  </w:r>
                </w:p>
              </w:tc>
              <w:tc>
                <w:tcPr>
                  <w:tcW w:w="1944" w:type="dxa"/>
                  <w:vAlign w:val="center"/>
                </w:tcPr>
                <w:p>
                  <w:pPr>
                    <w:jc w:val="center"/>
                    <w:rPr>
                      <w:bCs/>
                      <w:szCs w:val="21"/>
                    </w:rPr>
                  </w:pPr>
                  <w:r>
                    <w:rPr>
                      <w:rFonts w:hint="eastAsia"/>
                      <w:bCs/>
                      <w:szCs w:val="21"/>
                    </w:rPr>
                    <w:t>75~85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7" w:type="dxa"/>
                  <w:vAlign w:val="center"/>
                </w:tcPr>
                <w:p>
                  <w:pPr>
                    <w:jc w:val="center"/>
                    <w:rPr>
                      <w:rFonts w:hint="eastAsia" w:eastAsia="宋体"/>
                      <w:kern w:val="0"/>
                      <w:szCs w:val="21"/>
                      <w:lang w:eastAsia="zh-CN"/>
                    </w:rPr>
                  </w:pPr>
                  <w:r>
                    <w:rPr>
                      <w:rFonts w:hint="eastAsia"/>
                      <w:kern w:val="0"/>
                      <w:szCs w:val="21"/>
                      <w:lang w:val="en-US" w:eastAsia="zh-CN"/>
                    </w:rPr>
                    <w:t>4</w:t>
                  </w:r>
                </w:p>
              </w:tc>
              <w:tc>
                <w:tcPr>
                  <w:tcW w:w="26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喷雾造粒设备</w:t>
                  </w:r>
                </w:p>
              </w:tc>
              <w:tc>
                <w:tcPr>
                  <w:tcW w:w="1266" w:type="dxa"/>
                  <w:vAlign w:val="center"/>
                </w:tcPr>
                <w:p>
                  <w:pPr>
                    <w:jc w:val="center"/>
                    <w:rPr>
                      <w:lang w:val="en-US"/>
                    </w:rPr>
                  </w:pPr>
                  <w:r>
                    <w:rPr>
                      <w:rFonts w:hint="eastAsia"/>
                      <w:lang w:val="en-US" w:eastAsia="zh-CN"/>
                    </w:rPr>
                    <w:t>2</w:t>
                  </w:r>
                  <w:r>
                    <w:rPr>
                      <w:rFonts w:hint="eastAsia"/>
                      <w:szCs w:val="21"/>
                      <w:lang w:val="en-US"/>
                    </w:rPr>
                    <w:t>台</w:t>
                  </w:r>
                </w:p>
              </w:tc>
              <w:tc>
                <w:tcPr>
                  <w:tcW w:w="1525" w:type="dxa"/>
                  <w:vAlign w:val="center"/>
                </w:tcPr>
                <w:p>
                  <w:pPr>
                    <w:jc w:val="center"/>
                    <w:outlineLvl w:val="2"/>
                    <w:rPr>
                      <w:bCs/>
                      <w:kern w:val="0"/>
                      <w:szCs w:val="21"/>
                    </w:rPr>
                  </w:pPr>
                  <w:r>
                    <w:rPr>
                      <w:bCs/>
                      <w:kern w:val="0"/>
                      <w:szCs w:val="21"/>
                    </w:rPr>
                    <w:t>间歇</w:t>
                  </w:r>
                </w:p>
              </w:tc>
              <w:tc>
                <w:tcPr>
                  <w:tcW w:w="1944" w:type="dxa"/>
                  <w:vAlign w:val="center"/>
                </w:tcPr>
                <w:p>
                  <w:pPr>
                    <w:jc w:val="center"/>
                    <w:rPr>
                      <w:rFonts w:hint="eastAsia" w:eastAsia="宋体"/>
                      <w:bCs/>
                      <w:szCs w:val="21"/>
                      <w:lang w:eastAsia="zh-CN"/>
                    </w:rPr>
                  </w:pPr>
                  <w:r>
                    <w:rPr>
                      <w:rFonts w:hint="eastAsia"/>
                      <w:bCs/>
                      <w:szCs w:val="21"/>
                    </w:rPr>
                    <w:t>7</w:t>
                  </w:r>
                  <w:r>
                    <w:rPr>
                      <w:rFonts w:hint="eastAsia"/>
                      <w:bCs/>
                      <w:szCs w:val="21"/>
                      <w:lang w:val="en-US" w:eastAsia="zh-CN"/>
                    </w:rPr>
                    <w:t>0</w:t>
                  </w:r>
                  <w:r>
                    <w:rPr>
                      <w:rFonts w:hint="eastAsia"/>
                      <w:bCs/>
                      <w:szCs w:val="21"/>
                    </w:rPr>
                    <w:t>~8</w:t>
                  </w:r>
                  <w:r>
                    <w:rPr>
                      <w:rFonts w:hint="eastAsia"/>
                      <w:bCs/>
                      <w:szCs w:val="21"/>
                      <w:lang w:val="en-US" w:eastAsia="zh-CN"/>
                    </w:rPr>
                    <w:t>0</w:t>
                  </w:r>
                </w:p>
              </w:tc>
            </w:tr>
          </w:tbl>
          <w:p>
            <w:pPr>
              <w:autoSpaceDE w:val="0"/>
              <w:autoSpaceDN w:val="0"/>
              <w:adjustRightInd w:val="0"/>
              <w:spacing w:beforeLines="50" w:line="360" w:lineRule="auto"/>
              <w:ind w:firstLine="480" w:firstLineChars="200"/>
              <w:jc w:val="left"/>
              <w:rPr>
                <w:kern w:val="0"/>
                <w:sz w:val="24"/>
                <w:szCs w:val="24"/>
                <w:lang w:val="en-US"/>
              </w:rPr>
            </w:pPr>
            <w:r>
              <w:rPr>
                <w:kern w:val="0"/>
                <w:sz w:val="24"/>
                <w:szCs w:val="24"/>
                <w:lang w:val="en-US"/>
              </w:rPr>
              <w:t>（4）固废</w:t>
            </w:r>
          </w:p>
          <w:p>
            <w:pPr>
              <w:adjustRightInd w:val="0"/>
              <w:snapToGrid w:val="0"/>
              <w:spacing w:line="360" w:lineRule="auto"/>
              <w:ind w:firstLine="480" w:firstLineChars="200"/>
              <w:rPr>
                <w:rFonts w:hAnsi="宋体"/>
                <w:sz w:val="24"/>
                <w:szCs w:val="24"/>
                <w:lang w:val="en-US"/>
              </w:rPr>
            </w:pPr>
            <w:r>
              <w:rPr>
                <w:rFonts w:hint="eastAsia" w:hAnsi="宋体"/>
                <w:sz w:val="24"/>
                <w:szCs w:val="24"/>
                <w:lang w:val="en-US"/>
              </w:rPr>
              <w:t>本项目生产过程中固废主要为检验工序产生的次品、包装工序产生的废包装袋、布袋除尘器收集的</w:t>
            </w:r>
            <w:r>
              <w:rPr>
                <w:rFonts w:hint="eastAsia" w:hAnsi="宋体"/>
                <w:sz w:val="24"/>
                <w:szCs w:val="24"/>
              </w:rPr>
              <w:t>粉尘</w:t>
            </w:r>
            <w:r>
              <w:rPr>
                <w:rFonts w:hint="eastAsia" w:hAnsi="宋体"/>
                <w:sz w:val="24"/>
                <w:szCs w:val="24"/>
                <w:lang w:val="en-US"/>
              </w:rPr>
              <w:t>与员工的生活垃圾。</w:t>
            </w:r>
          </w:p>
          <w:p>
            <w:pPr>
              <w:adjustRightInd w:val="0"/>
              <w:snapToGrid w:val="0"/>
              <w:spacing w:line="360" w:lineRule="auto"/>
              <w:ind w:firstLine="480" w:firstLineChars="200"/>
              <w:rPr>
                <w:kern w:val="0"/>
                <w:sz w:val="24"/>
                <w:szCs w:val="24"/>
                <w:lang w:val="en-US"/>
              </w:rPr>
            </w:pPr>
            <w:r>
              <w:rPr>
                <w:rFonts w:hint="eastAsia"/>
                <w:kern w:val="0"/>
                <w:sz w:val="24"/>
                <w:szCs w:val="24"/>
                <w:lang w:val="en-US"/>
              </w:rPr>
              <w:t>①</w:t>
            </w:r>
            <w:r>
              <w:rPr>
                <w:rFonts w:hint="eastAsia"/>
                <w:color w:val="000000"/>
                <w:sz w:val="24"/>
                <w:lang w:val="en-US"/>
              </w:rPr>
              <w:t>次品</w:t>
            </w:r>
            <w:r>
              <w:rPr>
                <w:rFonts w:hint="eastAsia"/>
                <w:kern w:val="0"/>
                <w:sz w:val="24"/>
                <w:szCs w:val="24"/>
                <w:lang w:val="en-US"/>
              </w:rPr>
              <w:t>：本项目次品产生量约为</w:t>
            </w:r>
            <w:r>
              <w:rPr>
                <w:rFonts w:hint="eastAsia"/>
                <w:kern w:val="0"/>
                <w:sz w:val="24"/>
                <w:szCs w:val="24"/>
                <w:lang w:val="en-US" w:eastAsia="zh-CN"/>
              </w:rPr>
              <w:t>10</w:t>
            </w:r>
            <w:r>
              <w:rPr>
                <w:rFonts w:hint="eastAsia"/>
                <w:kern w:val="0"/>
                <w:sz w:val="24"/>
                <w:szCs w:val="24"/>
                <w:lang w:val="en-US"/>
              </w:rPr>
              <w:t>t/a，</w:t>
            </w:r>
            <w:r>
              <w:rPr>
                <w:rFonts w:hint="eastAsia" w:hAnsi="宋体"/>
                <w:kern w:val="0"/>
                <w:sz w:val="24"/>
                <w:szCs w:val="24"/>
                <w:lang w:val="en-US"/>
              </w:rPr>
              <w:t>收集后</w:t>
            </w:r>
            <w:r>
              <w:rPr>
                <w:rFonts w:hint="eastAsia" w:hAnsi="宋体"/>
                <w:kern w:val="0"/>
                <w:sz w:val="24"/>
                <w:szCs w:val="24"/>
              </w:rPr>
              <w:t>统一外售</w:t>
            </w:r>
            <w:r>
              <w:rPr>
                <w:rFonts w:hint="eastAsia"/>
                <w:kern w:val="0"/>
                <w:sz w:val="24"/>
                <w:szCs w:val="24"/>
                <w:lang w:val="en-US"/>
              </w:rPr>
              <w:t>。</w:t>
            </w:r>
          </w:p>
          <w:p>
            <w:pPr>
              <w:adjustRightInd w:val="0"/>
              <w:snapToGrid w:val="0"/>
              <w:spacing w:line="360" w:lineRule="auto"/>
              <w:ind w:firstLine="480" w:firstLineChars="200"/>
              <w:rPr>
                <w:kern w:val="0"/>
                <w:sz w:val="24"/>
                <w:szCs w:val="24"/>
                <w:lang w:val="en-US"/>
              </w:rPr>
            </w:pPr>
            <w:r>
              <w:rPr>
                <w:rFonts w:hint="eastAsia"/>
                <w:color w:val="000000"/>
                <w:sz w:val="24"/>
                <w:lang w:val="en-US"/>
              </w:rPr>
              <w:t>②废包装袋</w:t>
            </w:r>
            <w:r>
              <w:rPr>
                <w:rFonts w:hint="eastAsia"/>
                <w:kern w:val="0"/>
                <w:sz w:val="24"/>
                <w:szCs w:val="24"/>
                <w:lang w:val="en-US"/>
              </w:rPr>
              <w:t>：本项目废包装袋产生量约为</w:t>
            </w:r>
            <w:r>
              <w:rPr>
                <w:rFonts w:hint="eastAsia"/>
                <w:kern w:val="0"/>
                <w:sz w:val="24"/>
                <w:szCs w:val="24"/>
                <w:lang w:val="en-US" w:eastAsia="zh-CN"/>
              </w:rPr>
              <w:t>2</w:t>
            </w:r>
            <w:r>
              <w:rPr>
                <w:rFonts w:hint="eastAsia"/>
                <w:kern w:val="0"/>
                <w:sz w:val="24"/>
                <w:szCs w:val="24"/>
                <w:lang w:val="en-US"/>
              </w:rPr>
              <w:t>t/a，</w:t>
            </w:r>
            <w:r>
              <w:rPr>
                <w:rFonts w:hint="eastAsia" w:hAnsi="宋体"/>
                <w:kern w:val="0"/>
                <w:sz w:val="24"/>
                <w:szCs w:val="24"/>
                <w:lang w:val="en-US"/>
              </w:rPr>
              <w:t>收集后</w:t>
            </w:r>
            <w:r>
              <w:rPr>
                <w:rFonts w:hint="eastAsia" w:hAnsi="宋体"/>
                <w:kern w:val="0"/>
                <w:sz w:val="24"/>
                <w:szCs w:val="24"/>
              </w:rPr>
              <w:t>统一外售</w:t>
            </w:r>
            <w:r>
              <w:rPr>
                <w:rFonts w:hint="eastAsia"/>
                <w:kern w:val="0"/>
                <w:sz w:val="24"/>
                <w:szCs w:val="24"/>
                <w:lang w:val="en-US"/>
              </w:rPr>
              <w:t>。</w:t>
            </w:r>
          </w:p>
          <w:p>
            <w:pPr>
              <w:adjustRightInd w:val="0"/>
              <w:snapToGrid w:val="0"/>
              <w:spacing w:line="360" w:lineRule="auto"/>
              <w:ind w:firstLine="480" w:firstLineChars="200"/>
              <w:rPr>
                <w:rFonts w:hAnsi="宋体"/>
                <w:kern w:val="0"/>
                <w:sz w:val="24"/>
                <w:szCs w:val="24"/>
                <w:lang w:val="en-US"/>
              </w:rPr>
            </w:pPr>
            <w:r>
              <w:rPr>
                <w:rFonts w:hint="eastAsia" w:hAnsi="宋体"/>
                <w:kern w:val="0"/>
                <w:sz w:val="24"/>
                <w:szCs w:val="24"/>
                <w:lang w:val="en-US"/>
              </w:rPr>
              <w:t>③收集粉尘：</w:t>
            </w:r>
            <w:r>
              <w:rPr>
                <w:rFonts w:hint="eastAsia"/>
                <w:color w:val="000000"/>
                <w:sz w:val="24"/>
                <w:lang w:val="en-US"/>
              </w:rPr>
              <w:t>收集</w:t>
            </w:r>
            <w:r>
              <w:rPr>
                <w:rFonts w:hint="eastAsia"/>
                <w:color w:val="000000"/>
                <w:sz w:val="24"/>
              </w:rPr>
              <w:t>粉尘</w:t>
            </w:r>
            <w:r>
              <w:rPr>
                <w:rFonts w:hint="eastAsia"/>
                <w:color w:val="000000"/>
                <w:sz w:val="24"/>
                <w:lang w:val="en-US"/>
              </w:rPr>
              <w:t>为</w:t>
            </w:r>
            <w:r>
              <w:rPr>
                <w:rFonts w:hint="eastAsia"/>
                <w:color w:val="000000"/>
                <w:sz w:val="24"/>
                <w:lang w:val="en-US" w:eastAsia="zh-CN"/>
              </w:rPr>
              <w:t>3.25</w:t>
            </w:r>
            <w:r>
              <w:rPr>
                <w:rFonts w:hint="eastAsia"/>
                <w:color w:val="000000"/>
                <w:sz w:val="24"/>
                <w:lang w:val="en-US"/>
              </w:rPr>
              <w:t>t/a，收集后</w:t>
            </w:r>
            <w:r>
              <w:rPr>
                <w:rFonts w:hint="eastAsia"/>
                <w:color w:val="000000"/>
                <w:sz w:val="24"/>
              </w:rPr>
              <w:t>回用于生产</w:t>
            </w:r>
            <w:r>
              <w:rPr>
                <w:rFonts w:hint="eastAsia"/>
                <w:color w:val="000000"/>
                <w:sz w:val="24"/>
                <w:lang w:val="en-US"/>
              </w:rPr>
              <w:t>。</w:t>
            </w:r>
          </w:p>
          <w:p>
            <w:pPr>
              <w:adjustRightInd w:val="0"/>
              <w:snapToGrid w:val="0"/>
              <w:spacing w:line="360" w:lineRule="auto"/>
              <w:ind w:firstLine="480" w:firstLineChars="200"/>
              <w:rPr>
                <w:rFonts w:hAnsi="宋体"/>
                <w:kern w:val="0"/>
                <w:sz w:val="24"/>
                <w:szCs w:val="24"/>
                <w:lang w:val="en-US"/>
              </w:rPr>
            </w:pPr>
            <w:r>
              <w:rPr>
                <w:rFonts w:hint="eastAsia"/>
                <w:sz w:val="24"/>
                <w:szCs w:val="24"/>
                <w:lang w:val="en-US"/>
              </w:rPr>
              <w:t>④</w:t>
            </w:r>
            <w:r>
              <w:rPr>
                <w:rFonts w:hint="eastAsia" w:hAnsi="宋体"/>
                <w:kern w:val="0"/>
                <w:sz w:val="24"/>
                <w:szCs w:val="24"/>
                <w:lang w:val="en-US"/>
              </w:rPr>
              <w:t>生活垃圾：</w:t>
            </w:r>
            <w:r>
              <w:rPr>
                <w:rFonts w:hint="eastAsia" w:hAnsi="宋体"/>
                <w:kern w:val="0"/>
                <w:sz w:val="24"/>
                <w:szCs w:val="24"/>
              </w:rPr>
              <w:t>本项目</w:t>
            </w:r>
            <w:r>
              <w:rPr>
                <w:rFonts w:hint="eastAsia" w:hAnsi="宋体"/>
                <w:kern w:val="0"/>
                <w:sz w:val="24"/>
                <w:szCs w:val="24"/>
                <w:lang w:val="en-US"/>
              </w:rPr>
              <w:t>新增</w:t>
            </w:r>
            <w:r>
              <w:rPr>
                <w:rFonts w:hint="eastAsia" w:hAnsi="宋体"/>
                <w:kern w:val="0"/>
                <w:sz w:val="24"/>
                <w:szCs w:val="24"/>
                <w:lang w:val="en-US" w:eastAsia="zh-CN"/>
              </w:rPr>
              <w:t>员工8</w:t>
            </w:r>
            <w:r>
              <w:rPr>
                <w:rFonts w:hint="eastAsia" w:hAnsi="宋体"/>
                <w:kern w:val="0"/>
                <w:sz w:val="24"/>
                <w:szCs w:val="24"/>
                <w:lang w:val="en-US"/>
              </w:rPr>
              <w:t>人</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int="eastAsia" w:hAnsi="宋体"/>
                <w:kern w:val="0"/>
                <w:sz w:val="24"/>
                <w:szCs w:val="24"/>
                <w:lang w:val="en-US" w:eastAsia="zh-CN"/>
              </w:rPr>
              <w:t>1.25</w:t>
            </w:r>
            <w:r>
              <w:rPr>
                <w:kern w:val="0"/>
                <w:sz w:val="24"/>
                <w:szCs w:val="24"/>
                <w:lang w:val="en-US"/>
              </w:rPr>
              <w:t>t</w:t>
            </w:r>
            <w:r>
              <w:rPr>
                <w:rFonts w:hint="eastAsia"/>
                <w:kern w:val="0"/>
                <w:sz w:val="24"/>
                <w:szCs w:val="24"/>
                <w:lang w:val="en-US"/>
              </w:rPr>
              <w:t>/a</w:t>
            </w:r>
            <w:r>
              <w:rPr>
                <w:rFonts w:hint="eastAsia" w:hAnsi="宋体"/>
                <w:kern w:val="0"/>
                <w:sz w:val="24"/>
                <w:szCs w:val="24"/>
                <w:lang w:val="en-US"/>
              </w:rPr>
              <w:t>。收集后由环卫部门统一清运。</w:t>
            </w:r>
          </w:p>
          <w:p>
            <w:pPr>
              <w:adjustRightInd w:val="0"/>
              <w:snapToGrid w:val="0"/>
              <w:spacing w:line="360" w:lineRule="auto"/>
              <w:ind w:firstLine="482" w:firstLineChars="200"/>
              <w:rPr>
                <w:b/>
                <w:bCs/>
                <w:kern w:val="0"/>
                <w:sz w:val="24"/>
                <w:szCs w:val="24"/>
                <w:lang w:val="en-US"/>
              </w:rPr>
            </w:pPr>
            <w:r>
              <w:rPr>
                <w:rFonts w:hint="eastAsia"/>
                <w:b/>
                <w:bCs/>
                <w:kern w:val="0"/>
                <w:sz w:val="24"/>
                <w:szCs w:val="24"/>
                <w:lang w:val="en-US"/>
              </w:rPr>
              <w:t>1）副产物属性判断情况</w:t>
            </w:r>
          </w:p>
          <w:p>
            <w:pPr>
              <w:spacing w:line="360" w:lineRule="auto"/>
              <w:ind w:firstLine="480" w:firstLineChars="200"/>
              <w:rPr>
                <w:rFonts w:hint="eastAsia"/>
                <w:bCs/>
                <w:kern w:val="0"/>
                <w:sz w:val="24"/>
                <w:szCs w:val="24"/>
                <w:lang w:val="en-US"/>
              </w:rPr>
            </w:pPr>
            <w:r>
              <w:rPr>
                <w:rFonts w:hint="eastAsia"/>
                <w:bCs/>
                <w:kern w:val="0"/>
                <w:sz w:val="24"/>
                <w:szCs w:val="24"/>
                <w:lang w:val="en-US"/>
              </w:rPr>
              <w:t>固体废物属性判定：根据《固体废物鉴别标准 通则》（GB34330-2017），判断每种副产物是否属于固体废物，本项目各副产物产生情况及副产物属性判定结果详见表5-4所示。</w:t>
            </w:r>
          </w:p>
          <w:p>
            <w:pPr>
              <w:pStyle w:val="2"/>
              <w:rPr>
                <w:lang w:val="en-US"/>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 5-4  建设项目副产物产生情况汇总表</w:t>
            </w:r>
          </w:p>
          <w:tbl>
            <w:tblPr>
              <w:tblStyle w:val="75"/>
              <w:tblW w:w="8280"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38"/>
              <w:gridCol w:w="882"/>
              <w:gridCol w:w="828"/>
              <w:gridCol w:w="469"/>
              <w:gridCol w:w="958"/>
              <w:gridCol w:w="871"/>
              <w:gridCol w:w="1275"/>
              <w:gridCol w:w="851"/>
              <w:gridCol w:w="120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Merge w:val="restart"/>
                  <w:vAlign w:val="center"/>
                </w:tcPr>
                <w:p>
                  <w:pPr>
                    <w:jc w:val="center"/>
                    <w:rPr>
                      <w:b/>
                      <w:bCs/>
                      <w:szCs w:val="21"/>
                    </w:rPr>
                  </w:pPr>
                  <w:r>
                    <w:rPr>
                      <w:b/>
                      <w:bCs/>
                      <w:szCs w:val="21"/>
                    </w:rPr>
                    <w:t>序号</w:t>
                  </w:r>
                </w:p>
              </w:tc>
              <w:tc>
                <w:tcPr>
                  <w:tcW w:w="882" w:type="dxa"/>
                  <w:vMerge w:val="restart"/>
                  <w:vAlign w:val="center"/>
                </w:tcPr>
                <w:p>
                  <w:pPr>
                    <w:jc w:val="center"/>
                    <w:rPr>
                      <w:b/>
                      <w:bCs/>
                      <w:szCs w:val="21"/>
                    </w:rPr>
                  </w:pPr>
                  <w:r>
                    <w:rPr>
                      <w:b/>
                      <w:bCs/>
                      <w:szCs w:val="21"/>
                    </w:rPr>
                    <w:t>副产物</w:t>
                  </w:r>
                  <w:r>
                    <w:rPr>
                      <w:rFonts w:hint="eastAsia"/>
                      <w:b/>
                      <w:bCs/>
                      <w:szCs w:val="21"/>
                    </w:rPr>
                    <w:t>名称</w:t>
                  </w:r>
                </w:p>
              </w:tc>
              <w:tc>
                <w:tcPr>
                  <w:tcW w:w="828" w:type="dxa"/>
                  <w:vMerge w:val="restart"/>
                  <w:vAlign w:val="center"/>
                </w:tcPr>
                <w:p>
                  <w:pPr>
                    <w:jc w:val="center"/>
                    <w:rPr>
                      <w:b/>
                      <w:bCs/>
                      <w:szCs w:val="21"/>
                    </w:rPr>
                  </w:pPr>
                  <w:r>
                    <w:rPr>
                      <w:b/>
                      <w:bCs/>
                      <w:szCs w:val="21"/>
                    </w:rPr>
                    <w:t>产生工序</w:t>
                  </w:r>
                </w:p>
              </w:tc>
              <w:tc>
                <w:tcPr>
                  <w:tcW w:w="469" w:type="dxa"/>
                  <w:vMerge w:val="restart"/>
                  <w:vAlign w:val="center"/>
                </w:tcPr>
                <w:p>
                  <w:pPr>
                    <w:jc w:val="center"/>
                    <w:rPr>
                      <w:b/>
                      <w:bCs/>
                      <w:szCs w:val="21"/>
                    </w:rPr>
                  </w:pPr>
                  <w:r>
                    <w:rPr>
                      <w:b/>
                      <w:bCs/>
                      <w:szCs w:val="21"/>
                    </w:rPr>
                    <w:t>形态</w:t>
                  </w:r>
                </w:p>
              </w:tc>
              <w:tc>
                <w:tcPr>
                  <w:tcW w:w="958" w:type="dxa"/>
                  <w:vMerge w:val="restart"/>
                  <w:vAlign w:val="center"/>
                </w:tcPr>
                <w:p>
                  <w:pPr>
                    <w:jc w:val="center"/>
                    <w:rPr>
                      <w:b/>
                      <w:bCs/>
                      <w:szCs w:val="21"/>
                    </w:rPr>
                  </w:pPr>
                  <w:r>
                    <w:rPr>
                      <w:b/>
                      <w:bCs/>
                      <w:szCs w:val="21"/>
                    </w:rPr>
                    <w:t>主要</w:t>
                  </w:r>
                </w:p>
                <w:p>
                  <w:pPr>
                    <w:jc w:val="center"/>
                    <w:rPr>
                      <w:b/>
                      <w:bCs/>
                      <w:szCs w:val="21"/>
                    </w:rPr>
                  </w:pPr>
                  <w:r>
                    <w:rPr>
                      <w:b/>
                      <w:bCs/>
                      <w:szCs w:val="21"/>
                    </w:rPr>
                    <w:t>成分</w:t>
                  </w:r>
                </w:p>
              </w:tc>
              <w:tc>
                <w:tcPr>
                  <w:tcW w:w="871" w:type="dxa"/>
                  <w:vMerge w:val="restart"/>
                  <w:vAlign w:val="center"/>
                </w:tcPr>
                <w:p>
                  <w:pPr>
                    <w:jc w:val="center"/>
                    <w:rPr>
                      <w:b/>
                      <w:bCs/>
                      <w:szCs w:val="21"/>
                    </w:rPr>
                  </w:pPr>
                  <w:r>
                    <w:rPr>
                      <w:b/>
                      <w:bCs/>
                      <w:szCs w:val="21"/>
                    </w:rPr>
                    <w:t>产生量</w:t>
                  </w:r>
                  <w:r>
                    <w:rPr>
                      <w:rFonts w:hint="eastAsia"/>
                      <w:b/>
                      <w:bCs/>
                      <w:szCs w:val="21"/>
                    </w:rPr>
                    <w:t>（</w:t>
                  </w:r>
                  <w:r>
                    <w:rPr>
                      <w:rFonts w:hint="eastAsia"/>
                      <w:b/>
                      <w:bCs/>
                      <w:szCs w:val="21"/>
                      <w:lang w:val="en-US"/>
                    </w:rPr>
                    <w:t>t/a</w:t>
                  </w:r>
                  <w:r>
                    <w:rPr>
                      <w:rFonts w:hint="eastAsia"/>
                      <w:b/>
                      <w:bCs/>
                      <w:szCs w:val="21"/>
                    </w:rPr>
                    <w:t>）</w:t>
                  </w:r>
                </w:p>
              </w:tc>
              <w:tc>
                <w:tcPr>
                  <w:tcW w:w="3334" w:type="dxa"/>
                  <w:gridSpan w:val="3"/>
                  <w:vAlign w:val="center"/>
                </w:tcPr>
                <w:p>
                  <w:pPr>
                    <w:jc w:val="center"/>
                    <w:rPr>
                      <w:b/>
                      <w:bCs/>
                      <w:szCs w:val="21"/>
                    </w:rPr>
                  </w:pPr>
                  <w:r>
                    <w:rPr>
                      <w:b/>
                      <w:bCs/>
                      <w:szCs w:val="21"/>
                    </w:rPr>
                    <w:t>种类判断</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Merge w:val="continue"/>
                  <w:vAlign w:val="center"/>
                </w:tcPr>
                <w:p>
                  <w:pPr>
                    <w:jc w:val="center"/>
                    <w:rPr>
                      <w:b/>
                      <w:bCs/>
                      <w:szCs w:val="21"/>
                    </w:rPr>
                  </w:pPr>
                </w:p>
              </w:tc>
              <w:tc>
                <w:tcPr>
                  <w:tcW w:w="882" w:type="dxa"/>
                  <w:vMerge w:val="continue"/>
                  <w:vAlign w:val="center"/>
                </w:tcPr>
                <w:p>
                  <w:pPr>
                    <w:jc w:val="center"/>
                    <w:rPr>
                      <w:b/>
                      <w:bCs/>
                      <w:szCs w:val="21"/>
                    </w:rPr>
                  </w:pPr>
                </w:p>
              </w:tc>
              <w:tc>
                <w:tcPr>
                  <w:tcW w:w="828" w:type="dxa"/>
                  <w:vMerge w:val="continue"/>
                  <w:vAlign w:val="center"/>
                </w:tcPr>
                <w:p>
                  <w:pPr>
                    <w:jc w:val="center"/>
                    <w:rPr>
                      <w:b/>
                      <w:bCs/>
                      <w:szCs w:val="21"/>
                    </w:rPr>
                  </w:pPr>
                </w:p>
              </w:tc>
              <w:tc>
                <w:tcPr>
                  <w:tcW w:w="469" w:type="dxa"/>
                  <w:vMerge w:val="continue"/>
                  <w:vAlign w:val="center"/>
                </w:tcPr>
                <w:p>
                  <w:pPr>
                    <w:jc w:val="center"/>
                    <w:rPr>
                      <w:b/>
                      <w:bCs/>
                      <w:szCs w:val="21"/>
                    </w:rPr>
                  </w:pPr>
                </w:p>
              </w:tc>
              <w:tc>
                <w:tcPr>
                  <w:tcW w:w="958" w:type="dxa"/>
                  <w:vMerge w:val="continue"/>
                  <w:vAlign w:val="center"/>
                </w:tcPr>
                <w:p>
                  <w:pPr>
                    <w:jc w:val="center"/>
                    <w:rPr>
                      <w:b/>
                      <w:bCs/>
                      <w:szCs w:val="21"/>
                    </w:rPr>
                  </w:pPr>
                </w:p>
              </w:tc>
              <w:tc>
                <w:tcPr>
                  <w:tcW w:w="871" w:type="dxa"/>
                  <w:vMerge w:val="continue"/>
                  <w:vAlign w:val="center"/>
                </w:tcPr>
                <w:p>
                  <w:pPr>
                    <w:jc w:val="center"/>
                    <w:rPr>
                      <w:b/>
                      <w:bCs/>
                      <w:szCs w:val="21"/>
                    </w:rPr>
                  </w:pPr>
                </w:p>
              </w:tc>
              <w:tc>
                <w:tcPr>
                  <w:tcW w:w="1275" w:type="dxa"/>
                  <w:vAlign w:val="center"/>
                </w:tcPr>
                <w:p>
                  <w:pPr>
                    <w:jc w:val="center"/>
                    <w:rPr>
                      <w:b/>
                      <w:bCs/>
                      <w:szCs w:val="21"/>
                    </w:rPr>
                  </w:pPr>
                  <w:r>
                    <w:rPr>
                      <w:b/>
                      <w:bCs/>
                      <w:szCs w:val="21"/>
                    </w:rPr>
                    <w:t>固体废</w:t>
                  </w:r>
                </w:p>
                <w:p>
                  <w:pPr>
                    <w:jc w:val="center"/>
                    <w:rPr>
                      <w:b/>
                      <w:bCs/>
                      <w:szCs w:val="21"/>
                    </w:rPr>
                  </w:pPr>
                  <w:r>
                    <w:rPr>
                      <w:b/>
                      <w:bCs/>
                      <w:szCs w:val="21"/>
                    </w:rPr>
                    <w:t>物</w:t>
                  </w:r>
                </w:p>
              </w:tc>
              <w:tc>
                <w:tcPr>
                  <w:tcW w:w="851" w:type="dxa"/>
                  <w:vAlign w:val="center"/>
                </w:tcPr>
                <w:p>
                  <w:pPr>
                    <w:jc w:val="center"/>
                    <w:rPr>
                      <w:b/>
                      <w:bCs/>
                      <w:szCs w:val="21"/>
                    </w:rPr>
                  </w:pPr>
                  <w:r>
                    <w:rPr>
                      <w:rFonts w:hint="eastAsia"/>
                      <w:b/>
                      <w:bCs/>
                      <w:szCs w:val="21"/>
                    </w:rPr>
                    <w:t>副产品</w:t>
                  </w:r>
                </w:p>
              </w:tc>
              <w:tc>
                <w:tcPr>
                  <w:tcW w:w="1208" w:type="dxa"/>
                  <w:vAlign w:val="center"/>
                </w:tcPr>
                <w:p>
                  <w:pPr>
                    <w:jc w:val="center"/>
                    <w:rPr>
                      <w:b/>
                      <w:bCs/>
                      <w:szCs w:val="21"/>
                      <w:lang w:val="en-US"/>
                    </w:rPr>
                  </w:pPr>
                  <w:r>
                    <w:rPr>
                      <w:rFonts w:hint="eastAsia"/>
                      <w:b/>
                      <w:bCs/>
                      <w:szCs w:val="21"/>
                      <w:lang w:val="en-US"/>
                    </w:rPr>
                    <w:t>判定依据</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bCs/>
                      <w:szCs w:val="21"/>
                    </w:rPr>
                  </w:pPr>
                  <w:r>
                    <w:rPr>
                      <w:bCs/>
                      <w:szCs w:val="21"/>
                    </w:rPr>
                    <w:t>1</w:t>
                  </w:r>
                </w:p>
              </w:tc>
              <w:tc>
                <w:tcPr>
                  <w:tcW w:w="882" w:type="dxa"/>
                  <w:vAlign w:val="center"/>
                </w:tcPr>
                <w:p>
                  <w:pPr>
                    <w:jc w:val="center"/>
                    <w:rPr>
                      <w:bCs/>
                      <w:szCs w:val="21"/>
                    </w:rPr>
                  </w:pPr>
                  <w:r>
                    <w:rPr>
                      <w:rFonts w:hint="eastAsia"/>
                      <w:bCs/>
                      <w:szCs w:val="21"/>
                    </w:rPr>
                    <w:t>次品</w:t>
                  </w:r>
                </w:p>
              </w:tc>
              <w:tc>
                <w:tcPr>
                  <w:tcW w:w="828" w:type="dxa"/>
                  <w:vAlign w:val="center"/>
                </w:tcPr>
                <w:p>
                  <w:pPr>
                    <w:pStyle w:val="127"/>
                    <w:spacing w:line="240" w:lineRule="auto"/>
                    <w:rPr>
                      <w:szCs w:val="21"/>
                    </w:rPr>
                  </w:pPr>
                  <w:r>
                    <w:rPr>
                      <w:rFonts w:hint="eastAsia" w:ascii="Times New Roman" w:hAnsi="Times New Roman" w:cs="Times New Roman"/>
                      <w:lang w:val="fi-FI"/>
                    </w:rPr>
                    <w:t>检验</w:t>
                  </w:r>
                </w:p>
              </w:tc>
              <w:tc>
                <w:tcPr>
                  <w:tcW w:w="469" w:type="dxa"/>
                  <w:vAlign w:val="center"/>
                </w:tcPr>
                <w:p>
                  <w:pPr>
                    <w:jc w:val="center"/>
                    <w:rPr>
                      <w:szCs w:val="21"/>
                    </w:rPr>
                  </w:pPr>
                  <w:r>
                    <w:rPr>
                      <w:rFonts w:hint="eastAsia"/>
                      <w:szCs w:val="21"/>
                    </w:rPr>
                    <w:t>固</w:t>
                  </w:r>
                </w:p>
              </w:tc>
              <w:tc>
                <w:tcPr>
                  <w:tcW w:w="958" w:type="dxa"/>
                  <w:vAlign w:val="center"/>
                </w:tcPr>
                <w:p>
                  <w:pPr>
                    <w:jc w:val="center"/>
                    <w:rPr>
                      <w:rFonts w:hint="eastAsia" w:eastAsia="宋体"/>
                      <w:szCs w:val="21"/>
                      <w:lang w:eastAsia="zh-CN"/>
                    </w:rPr>
                  </w:pPr>
                  <w:r>
                    <w:rPr>
                      <w:rFonts w:hint="eastAsia"/>
                      <w:szCs w:val="21"/>
                      <w:lang w:eastAsia="zh-CN"/>
                    </w:rPr>
                    <w:t>陶瓷</w:t>
                  </w:r>
                </w:p>
              </w:tc>
              <w:tc>
                <w:tcPr>
                  <w:tcW w:w="871" w:type="dxa"/>
                  <w:vAlign w:val="center"/>
                </w:tcPr>
                <w:p>
                  <w:pPr>
                    <w:pStyle w:val="127"/>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275" w:type="dxa"/>
                  <w:vAlign w:val="center"/>
                </w:tcPr>
                <w:p>
                  <w:pPr>
                    <w:jc w:val="center"/>
                    <w:rPr>
                      <w:szCs w:val="21"/>
                    </w:rPr>
                  </w:pPr>
                  <w:r>
                    <w:rPr>
                      <w:szCs w:val="21"/>
                    </w:rPr>
                    <w:t>√</w:t>
                  </w:r>
                </w:p>
              </w:tc>
              <w:tc>
                <w:tcPr>
                  <w:tcW w:w="851" w:type="dxa"/>
                  <w:vAlign w:val="center"/>
                </w:tcPr>
                <w:p>
                  <w:pPr>
                    <w:jc w:val="center"/>
                    <w:rPr>
                      <w:szCs w:val="21"/>
                      <w:lang w:val="en-US"/>
                    </w:rPr>
                  </w:pPr>
                  <w:r>
                    <w:rPr>
                      <w:rFonts w:hint="eastAsia"/>
                      <w:szCs w:val="21"/>
                      <w:lang w:val="en-US"/>
                    </w:rPr>
                    <w:t>/</w:t>
                  </w:r>
                </w:p>
              </w:tc>
              <w:tc>
                <w:tcPr>
                  <w:tcW w:w="1208" w:type="dxa"/>
                  <w:vMerge w:val="restart"/>
                  <w:vAlign w:val="center"/>
                </w:tcPr>
                <w:p>
                  <w:pPr>
                    <w:adjustRightInd w:val="0"/>
                    <w:snapToGrid w:val="0"/>
                    <w:jc w:val="center"/>
                    <w:rPr>
                      <w:szCs w:val="21"/>
                    </w:rPr>
                  </w:pPr>
                  <w:r>
                    <w:rPr>
                      <w:rFonts w:hint="eastAsia"/>
                      <w:szCs w:val="21"/>
                    </w:rPr>
                    <w:t>《固体废物鉴</w:t>
                  </w:r>
                </w:p>
                <w:p>
                  <w:pPr>
                    <w:adjustRightInd w:val="0"/>
                    <w:snapToGrid w:val="0"/>
                    <w:jc w:val="center"/>
                    <w:rPr>
                      <w:b/>
                      <w:bCs/>
                      <w:szCs w:val="21"/>
                      <w:lang w:val="en-US"/>
                    </w:rPr>
                  </w:pPr>
                  <w:r>
                    <w:rPr>
                      <w:rFonts w:hint="eastAsia"/>
                      <w:szCs w:val="21"/>
                    </w:rPr>
                    <w:t>别标准 通则》（GB34330-2017</w:t>
                  </w:r>
                  <w:r>
                    <w:rPr>
                      <w:rFonts w:hint="eastAsia"/>
                      <w:snapToGrid w:val="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szCs w:val="21"/>
                    </w:rPr>
                  </w:pPr>
                  <w:r>
                    <w:rPr>
                      <w:rFonts w:hint="eastAsia"/>
                      <w:szCs w:val="21"/>
                    </w:rPr>
                    <w:t>2</w:t>
                  </w:r>
                </w:p>
              </w:tc>
              <w:tc>
                <w:tcPr>
                  <w:tcW w:w="882" w:type="dxa"/>
                  <w:vAlign w:val="center"/>
                </w:tcPr>
                <w:p>
                  <w:pPr>
                    <w:pStyle w:val="127"/>
                    <w:spacing w:line="240" w:lineRule="auto"/>
                    <w:rPr>
                      <w:szCs w:val="21"/>
                    </w:rPr>
                  </w:pPr>
                  <w:r>
                    <w:rPr>
                      <w:rFonts w:hint="eastAsia" w:ascii="Times New Roman" w:hAnsi="Times New Roman" w:cs="Times New Roman"/>
                      <w:lang w:val="fi-FI"/>
                    </w:rPr>
                    <w:t>废包装袋</w:t>
                  </w:r>
                </w:p>
              </w:tc>
              <w:tc>
                <w:tcPr>
                  <w:tcW w:w="828" w:type="dxa"/>
                  <w:vAlign w:val="center"/>
                </w:tcPr>
                <w:p>
                  <w:pPr>
                    <w:pStyle w:val="127"/>
                    <w:spacing w:line="240" w:lineRule="auto"/>
                    <w:rPr>
                      <w:szCs w:val="21"/>
                    </w:rPr>
                  </w:pPr>
                  <w:r>
                    <w:rPr>
                      <w:rFonts w:hint="eastAsia" w:ascii="Times New Roman" w:hAnsi="Times New Roman" w:cs="Times New Roman"/>
                      <w:lang w:val="fi-FI"/>
                    </w:rPr>
                    <w:t>包装</w:t>
                  </w:r>
                </w:p>
              </w:tc>
              <w:tc>
                <w:tcPr>
                  <w:tcW w:w="469" w:type="dxa"/>
                  <w:vAlign w:val="center"/>
                </w:tcPr>
                <w:p>
                  <w:pPr>
                    <w:jc w:val="center"/>
                    <w:rPr>
                      <w:szCs w:val="21"/>
                    </w:rPr>
                  </w:pPr>
                  <w:r>
                    <w:rPr>
                      <w:rFonts w:hint="eastAsia"/>
                      <w:szCs w:val="21"/>
                    </w:rPr>
                    <w:t>固</w:t>
                  </w:r>
                </w:p>
              </w:tc>
              <w:tc>
                <w:tcPr>
                  <w:tcW w:w="958" w:type="dxa"/>
                  <w:vAlign w:val="center"/>
                </w:tcPr>
                <w:p>
                  <w:pPr>
                    <w:jc w:val="center"/>
                    <w:rPr>
                      <w:szCs w:val="21"/>
                    </w:rPr>
                  </w:pPr>
                  <w:r>
                    <w:rPr>
                      <w:rFonts w:hint="eastAsia"/>
                      <w:szCs w:val="21"/>
                    </w:rPr>
                    <w:t>塑料袋</w:t>
                  </w:r>
                </w:p>
              </w:tc>
              <w:tc>
                <w:tcPr>
                  <w:tcW w:w="871" w:type="dxa"/>
                  <w:vAlign w:val="center"/>
                </w:tcPr>
                <w:p>
                  <w:pPr>
                    <w:pStyle w:val="127"/>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1275" w:type="dxa"/>
                  <w:vAlign w:val="center"/>
                </w:tcPr>
                <w:p>
                  <w:pPr>
                    <w:jc w:val="center"/>
                    <w:rPr>
                      <w:szCs w:val="21"/>
                    </w:rPr>
                  </w:pPr>
                  <w:r>
                    <w:rPr>
                      <w:szCs w:val="21"/>
                    </w:rPr>
                    <w:t>√</w:t>
                  </w:r>
                </w:p>
              </w:tc>
              <w:tc>
                <w:tcPr>
                  <w:tcW w:w="851" w:type="dxa"/>
                  <w:vAlign w:val="center"/>
                </w:tcPr>
                <w:p>
                  <w:pPr>
                    <w:jc w:val="center"/>
                    <w:rPr>
                      <w:szCs w:val="21"/>
                    </w:rPr>
                  </w:pPr>
                  <w:r>
                    <w:rPr>
                      <w:rFonts w:hint="eastAsia"/>
                      <w:szCs w:val="21"/>
                    </w:rPr>
                    <w:t>/</w:t>
                  </w:r>
                </w:p>
              </w:tc>
              <w:tc>
                <w:tcPr>
                  <w:tcW w:w="1208" w:type="dxa"/>
                  <w:vMerge w:val="continue"/>
                  <w:vAlign w:val="center"/>
                </w:tcPr>
                <w:p>
                  <w:pPr>
                    <w:adjustRightInd w:val="0"/>
                    <w:snapToGrid w:val="0"/>
                    <w:jc w:val="center"/>
                    <w:rPr>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szCs w:val="21"/>
                    </w:rPr>
                  </w:pPr>
                  <w:r>
                    <w:rPr>
                      <w:rFonts w:hint="eastAsia"/>
                      <w:szCs w:val="21"/>
                    </w:rPr>
                    <w:t>3</w:t>
                  </w:r>
                </w:p>
              </w:tc>
              <w:tc>
                <w:tcPr>
                  <w:tcW w:w="882"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收集粉尘</w:t>
                  </w:r>
                </w:p>
              </w:tc>
              <w:tc>
                <w:tcPr>
                  <w:tcW w:w="828"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投料、喷雾干燥、造粒</w:t>
                  </w:r>
                </w:p>
              </w:tc>
              <w:tc>
                <w:tcPr>
                  <w:tcW w:w="469" w:type="dxa"/>
                  <w:vAlign w:val="center"/>
                </w:tcPr>
                <w:p>
                  <w:pPr>
                    <w:jc w:val="center"/>
                    <w:rPr>
                      <w:szCs w:val="21"/>
                    </w:rPr>
                  </w:pPr>
                  <w:r>
                    <w:rPr>
                      <w:rFonts w:hint="eastAsia"/>
                      <w:szCs w:val="21"/>
                    </w:rPr>
                    <w:t>固</w:t>
                  </w:r>
                </w:p>
              </w:tc>
              <w:tc>
                <w:tcPr>
                  <w:tcW w:w="958" w:type="dxa"/>
                  <w:vAlign w:val="center"/>
                </w:tcPr>
                <w:p>
                  <w:pPr>
                    <w:jc w:val="center"/>
                    <w:rPr>
                      <w:szCs w:val="21"/>
                    </w:rPr>
                  </w:pPr>
                  <w:r>
                    <w:rPr>
                      <w:rFonts w:hint="eastAsia"/>
                      <w:szCs w:val="21"/>
                    </w:rPr>
                    <w:t>滑石粉、碳酸钡等</w:t>
                  </w:r>
                </w:p>
              </w:tc>
              <w:tc>
                <w:tcPr>
                  <w:tcW w:w="871" w:type="dxa"/>
                  <w:vAlign w:val="center"/>
                </w:tcPr>
                <w:p>
                  <w:pPr>
                    <w:pStyle w:val="127"/>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3.25</w:t>
                  </w:r>
                </w:p>
              </w:tc>
              <w:tc>
                <w:tcPr>
                  <w:tcW w:w="1275" w:type="dxa"/>
                  <w:vAlign w:val="center"/>
                </w:tcPr>
                <w:p>
                  <w:pPr>
                    <w:jc w:val="center"/>
                    <w:rPr>
                      <w:szCs w:val="21"/>
                    </w:rPr>
                  </w:pPr>
                  <w:r>
                    <w:rPr>
                      <w:szCs w:val="21"/>
                    </w:rPr>
                    <w:t>√</w:t>
                  </w:r>
                </w:p>
              </w:tc>
              <w:tc>
                <w:tcPr>
                  <w:tcW w:w="851" w:type="dxa"/>
                  <w:vAlign w:val="center"/>
                </w:tcPr>
                <w:p>
                  <w:pPr>
                    <w:jc w:val="center"/>
                    <w:rPr>
                      <w:szCs w:val="21"/>
                    </w:rPr>
                  </w:pPr>
                  <w:r>
                    <w:rPr>
                      <w:rFonts w:hint="eastAsia"/>
                      <w:szCs w:val="21"/>
                    </w:rPr>
                    <w:t>/</w:t>
                  </w:r>
                </w:p>
              </w:tc>
              <w:tc>
                <w:tcPr>
                  <w:tcW w:w="1208" w:type="dxa"/>
                  <w:vMerge w:val="continue"/>
                  <w:vAlign w:val="center"/>
                </w:tcPr>
                <w:p>
                  <w:pPr>
                    <w:adjustRightInd w:val="0"/>
                    <w:snapToGrid w:val="0"/>
                    <w:jc w:val="center"/>
                    <w:rPr>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8" w:type="dxa"/>
                  <w:vAlign w:val="center"/>
                </w:tcPr>
                <w:p>
                  <w:pPr>
                    <w:jc w:val="center"/>
                    <w:rPr>
                      <w:szCs w:val="21"/>
                      <w:lang w:val="en-US"/>
                    </w:rPr>
                  </w:pPr>
                  <w:r>
                    <w:rPr>
                      <w:rFonts w:hint="eastAsia"/>
                      <w:szCs w:val="21"/>
                      <w:lang w:val="en-US"/>
                    </w:rPr>
                    <w:t>4</w:t>
                  </w:r>
                </w:p>
              </w:tc>
              <w:tc>
                <w:tcPr>
                  <w:tcW w:w="882" w:type="dxa"/>
                  <w:vAlign w:val="center"/>
                </w:tcPr>
                <w:p>
                  <w:pPr>
                    <w:pStyle w:val="127"/>
                    <w:spacing w:line="240" w:lineRule="auto"/>
                    <w:rPr>
                      <w:szCs w:val="21"/>
                    </w:rPr>
                  </w:pPr>
                  <w:r>
                    <w:rPr>
                      <w:rFonts w:hint="eastAsia" w:ascii="Times New Roman" w:hAnsi="Times New Roman" w:cs="Times New Roman"/>
                      <w:lang w:val="fi-FI"/>
                    </w:rPr>
                    <w:t>生活垃圾</w:t>
                  </w:r>
                </w:p>
              </w:tc>
              <w:tc>
                <w:tcPr>
                  <w:tcW w:w="828" w:type="dxa"/>
                  <w:vAlign w:val="center"/>
                </w:tcPr>
                <w:p>
                  <w:pPr>
                    <w:pStyle w:val="127"/>
                    <w:spacing w:line="240" w:lineRule="auto"/>
                    <w:rPr>
                      <w:szCs w:val="21"/>
                    </w:rPr>
                  </w:pPr>
                  <w:r>
                    <w:rPr>
                      <w:rFonts w:hint="eastAsia" w:ascii="Times New Roman" w:hAnsi="Times New Roman" w:cs="Times New Roman"/>
                      <w:lang w:val="fi-FI"/>
                    </w:rPr>
                    <w:t>职工生活</w:t>
                  </w:r>
                </w:p>
              </w:tc>
              <w:tc>
                <w:tcPr>
                  <w:tcW w:w="469" w:type="dxa"/>
                  <w:vAlign w:val="center"/>
                </w:tcPr>
                <w:p>
                  <w:pPr>
                    <w:jc w:val="center"/>
                    <w:rPr>
                      <w:szCs w:val="21"/>
                    </w:rPr>
                  </w:pPr>
                  <w:r>
                    <w:rPr>
                      <w:rFonts w:hint="eastAsia"/>
                      <w:szCs w:val="21"/>
                    </w:rPr>
                    <w:t>固</w:t>
                  </w:r>
                </w:p>
              </w:tc>
              <w:tc>
                <w:tcPr>
                  <w:tcW w:w="958" w:type="dxa"/>
                  <w:vAlign w:val="center"/>
                </w:tcPr>
                <w:p>
                  <w:pPr>
                    <w:jc w:val="center"/>
                    <w:rPr>
                      <w:szCs w:val="21"/>
                    </w:rPr>
                  </w:pPr>
                  <w:r>
                    <w:rPr>
                      <w:szCs w:val="21"/>
                    </w:rPr>
                    <w:t>纸张、果皮等</w:t>
                  </w:r>
                </w:p>
              </w:tc>
              <w:tc>
                <w:tcPr>
                  <w:tcW w:w="871" w:type="dxa"/>
                  <w:vAlign w:val="center"/>
                </w:tcPr>
                <w:p>
                  <w:pPr>
                    <w:pStyle w:val="127"/>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1.25</w:t>
                  </w:r>
                </w:p>
              </w:tc>
              <w:tc>
                <w:tcPr>
                  <w:tcW w:w="1275" w:type="dxa"/>
                  <w:vAlign w:val="center"/>
                </w:tcPr>
                <w:p>
                  <w:pPr>
                    <w:jc w:val="center"/>
                    <w:rPr>
                      <w:szCs w:val="21"/>
                    </w:rPr>
                  </w:pPr>
                  <w:r>
                    <w:rPr>
                      <w:szCs w:val="21"/>
                    </w:rPr>
                    <w:t>√</w:t>
                  </w:r>
                </w:p>
              </w:tc>
              <w:tc>
                <w:tcPr>
                  <w:tcW w:w="851" w:type="dxa"/>
                  <w:vAlign w:val="center"/>
                </w:tcPr>
                <w:p>
                  <w:pPr>
                    <w:jc w:val="center"/>
                    <w:rPr>
                      <w:szCs w:val="21"/>
                      <w:lang w:val="en-US"/>
                    </w:rPr>
                  </w:pPr>
                  <w:r>
                    <w:rPr>
                      <w:rFonts w:hint="eastAsia"/>
                      <w:szCs w:val="21"/>
                      <w:lang w:val="en-US"/>
                    </w:rPr>
                    <w:t>/</w:t>
                  </w:r>
                </w:p>
              </w:tc>
              <w:tc>
                <w:tcPr>
                  <w:tcW w:w="1208" w:type="dxa"/>
                  <w:vMerge w:val="continue"/>
                  <w:vAlign w:val="center"/>
                </w:tcPr>
                <w:p>
                  <w:pPr>
                    <w:pStyle w:val="68"/>
                    <w:jc w:val="center"/>
                    <w:rPr>
                      <w:szCs w:val="21"/>
                      <w:lang w:val="en-US"/>
                    </w:rPr>
                  </w:pPr>
                </w:p>
              </w:tc>
            </w:tr>
          </w:tbl>
          <w:p>
            <w:pPr>
              <w:overflowPunct w:val="0"/>
              <w:autoSpaceDE w:val="0"/>
              <w:autoSpaceDN w:val="0"/>
              <w:adjustRightInd w:val="0"/>
              <w:snapToGrid w:val="0"/>
              <w:spacing w:beforeLines="50" w:line="360" w:lineRule="auto"/>
              <w:ind w:firstLine="602" w:firstLineChars="250"/>
              <w:rPr>
                <w:rFonts w:hAnsi="宋体"/>
                <w:b/>
                <w:bCs/>
                <w:sz w:val="24"/>
                <w:szCs w:val="24"/>
              </w:rPr>
            </w:pPr>
            <w:r>
              <w:rPr>
                <w:rFonts w:hint="eastAsia" w:hAnsi="宋体"/>
                <w:b/>
                <w:bCs/>
                <w:sz w:val="24"/>
                <w:szCs w:val="24"/>
              </w:rPr>
              <w:t>2）危险废物属性判定</w:t>
            </w:r>
          </w:p>
          <w:p>
            <w:pPr>
              <w:pStyle w:val="26"/>
              <w:spacing w:line="360" w:lineRule="auto"/>
              <w:ind w:firstLine="480" w:firstLineChars="200"/>
              <w:rPr>
                <w:lang w:val="en-US"/>
              </w:rPr>
            </w:pPr>
            <w:r>
              <w:rPr>
                <w:rFonts w:hint="eastAsia" w:hAnsi="宋体"/>
                <w:lang w:val="en-US"/>
              </w:rPr>
              <w:t>根据《国家危险废物名录》、</w:t>
            </w:r>
            <w:r>
              <w:rPr>
                <w:bCs/>
                <w:lang w:val="en-US"/>
              </w:rPr>
              <w:t>《危险废物鉴别标准通则》（GB5085.7</w:t>
            </w:r>
            <w:r>
              <w:rPr>
                <w:rFonts w:hint="eastAsia"/>
                <w:bCs/>
                <w:lang w:val="en-US"/>
              </w:rPr>
              <w:t>-2019</w:t>
            </w:r>
            <w:r>
              <w:rPr>
                <w:bCs/>
                <w:lang w:val="en-US"/>
              </w:rPr>
              <w:t>）</w:t>
            </w:r>
            <w:r>
              <w:rPr>
                <w:rFonts w:hint="eastAsia"/>
                <w:bCs/>
                <w:lang w:val="en-US"/>
              </w:rPr>
              <w:t>等</w:t>
            </w:r>
            <w:r>
              <w:rPr>
                <w:rFonts w:hint="eastAsia" w:hAnsi="宋体"/>
                <w:lang w:val="en-US"/>
              </w:rPr>
              <w:t>，判定建设项目的固体废物是否属于危险废物。根据副产物产生情况分析和副产物属性判定，本项目危险废物分析结果见表</w:t>
            </w:r>
            <w:r>
              <w:rPr>
                <w:lang w:val="en-US"/>
              </w:rPr>
              <w:t>5-5</w:t>
            </w:r>
            <w:r>
              <w:rPr>
                <w:rFonts w:hint="eastAsia" w:hAnsi="宋体"/>
                <w:lang w:val="en-US"/>
              </w:rPr>
              <w:t>所示</w:t>
            </w:r>
            <w:r>
              <w:rPr>
                <w:lang w:val="en-US"/>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表5-5 营运期固体废物分析结果汇总表</w:t>
            </w:r>
          </w:p>
          <w:tbl>
            <w:tblPr>
              <w:tblStyle w:val="76"/>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96"/>
              <w:gridCol w:w="1441"/>
              <w:gridCol w:w="981"/>
              <w:gridCol w:w="470"/>
              <w:gridCol w:w="713"/>
              <w:gridCol w:w="765"/>
              <w:gridCol w:w="826"/>
              <w:gridCol w:w="115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996" w:type="dxa"/>
                  <w:tcMar>
                    <w:left w:w="28" w:type="dxa"/>
                    <w:right w:w="28" w:type="dxa"/>
                  </w:tcMar>
                  <w:vAlign w:val="center"/>
                </w:tcPr>
                <w:p>
                  <w:pPr>
                    <w:jc w:val="center"/>
                    <w:rPr>
                      <w:rFonts w:ascii="宋体" w:hAnsi="宋体"/>
                      <w:b/>
                      <w:bCs/>
                      <w:color w:val="000000"/>
                      <w:szCs w:val="21"/>
                    </w:rPr>
                  </w:pPr>
                  <w:r>
                    <w:rPr>
                      <w:rFonts w:ascii="宋体" w:hAnsi="宋体"/>
                      <w:b/>
                      <w:bCs/>
                      <w:szCs w:val="21"/>
                    </w:rPr>
                    <w:t>固废名称</w:t>
                  </w:r>
                </w:p>
              </w:tc>
              <w:tc>
                <w:tcPr>
                  <w:tcW w:w="1441" w:type="dxa"/>
                  <w:tcMar>
                    <w:left w:w="28" w:type="dxa"/>
                    <w:right w:w="28" w:type="dxa"/>
                  </w:tcMar>
                  <w:vAlign w:val="center"/>
                </w:tcPr>
                <w:p>
                  <w:pPr>
                    <w:jc w:val="center"/>
                    <w:rPr>
                      <w:rFonts w:ascii="宋体" w:hAnsi="宋体"/>
                      <w:b/>
                      <w:bCs/>
                      <w:color w:val="000000"/>
                      <w:szCs w:val="21"/>
                    </w:rPr>
                  </w:pPr>
                  <w:r>
                    <w:rPr>
                      <w:rFonts w:ascii="宋体" w:hAnsi="宋体"/>
                      <w:b/>
                      <w:bCs/>
                      <w:szCs w:val="21"/>
                    </w:rPr>
                    <w:t>属性（危险废物、一般工业固体废物或待鉴别</w:t>
                  </w:r>
                </w:p>
              </w:tc>
              <w:tc>
                <w:tcPr>
                  <w:tcW w:w="981" w:type="dxa"/>
                  <w:tcMar>
                    <w:left w:w="28" w:type="dxa"/>
                    <w:right w:w="28" w:type="dxa"/>
                  </w:tcMar>
                  <w:vAlign w:val="center"/>
                </w:tcPr>
                <w:p>
                  <w:pPr>
                    <w:jc w:val="center"/>
                    <w:rPr>
                      <w:rFonts w:ascii="宋体" w:hAnsi="宋体"/>
                      <w:b/>
                      <w:bCs/>
                      <w:color w:val="000000"/>
                      <w:szCs w:val="21"/>
                    </w:rPr>
                  </w:pPr>
                  <w:r>
                    <w:rPr>
                      <w:rFonts w:ascii="宋体" w:hAnsi="宋体"/>
                      <w:b/>
                      <w:bCs/>
                      <w:szCs w:val="21"/>
                    </w:rPr>
                    <w:t>产生工序</w:t>
                  </w:r>
                </w:p>
              </w:tc>
              <w:tc>
                <w:tcPr>
                  <w:tcW w:w="470" w:type="dxa"/>
                  <w:tcMar>
                    <w:left w:w="28" w:type="dxa"/>
                    <w:right w:w="28" w:type="dxa"/>
                  </w:tcMar>
                  <w:vAlign w:val="center"/>
                </w:tcPr>
                <w:p>
                  <w:pPr>
                    <w:jc w:val="center"/>
                    <w:rPr>
                      <w:rFonts w:ascii="宋体" w:hAnsi="宋体"/>
                      <w:b/>
                      <w:bCs/>
                      <w:color w:val="000000"/>
                      <w:szCs w:val="21"/>
                    </w:rPr>
                  </w:pPr>
                  <w:r>
                    <w:rPr>
                      <w:rFonts w:ascii="宋体" w:hAnsi="宋体"/>
                      <w:b/>
                      <w:bCs/>
                      <w:szCs w:val="21"/>
                    </w:rPr>
                    <w:t>形态</w:t>
                  </w:r>
                </w:p>
              </w:tc>
              <w:tc>
                <w:tcPr>
                  <w:tcW w:w="713" w:type="dxa"/>
                  <w:tcMar>
                    <w:left w:w="28" w:type="dxa"/>
                    <w:right w:w="28" w:type="dxa"/>
                  </w:tcMar>
                  <w:vAlign w:val="center"/>
                </w:tcPr>
                <w:p>
                  <w:pPr>
                    <w:jc w:val="center"/>
                    <w:rPr>
                      <w:rFonts w:ascii="宋体" w:hAnsi="宋体"/>
                      <w:b/>
                      <w:bCs/>
                      <w:color w:val="000000"/>
                      <w:szCs w:val="21"/>
                    </w:rPr>
                  </w:pPr>
                  <w:r>
                    <w:rPr>
                      <w:rFonts w:ascii="宋体" w:hAnsi="宋体"/>
                      <w:b/>
                      <w:bCs/>
                      <w:szCs w:val="21"/>
                    </w:rPr>
                    <w:t>主要成分</w:t>
                  </w:r>
                </w:p>
              </w:tc>
              <w:tc>
                <w:tcPr>
                  <w:tcW w:w="765" w:type="dxa"/>
                  <w:tcMar>
                    <w:left w:w="28" w:type="dxa"/>
                    <w:right w:w="28" w:type="dxa"/>
                  </w:tcMar>
                  <w:vAlign w:val="center"/>
                </w:tcPr>
                <w:p>
                  <w:pPr>
                    <w:jc w:val="center"/>
                    <w:rPr>
                      <w:rFonts w:ascii="宋体" w:hAnsi="宋体"/>
                      <w:b/>
                      <w:bCs/>
                      <w:color w:val="000000"/>
                      <w:szCs w:val="21"/>
                    </w:rPr>
                  </w:pPr>
                  <w:r>
                    <w:rPr>
                      <w:rFonts w:ascii="宋体" w:hAnsi="宋体"/>
                      <w:b/>
                      <w:bCs/>
                      <w:szCs w:val="21"/>
                    </w:rPr>
                    <w:t>危险特性</w:t>
                  </w:r>
                </w:p>
              </w:tc>
              <w:tc>
                <w:tcPr>
                  <w:tcW w:w="826" w:type="dxa"/>
                  <w:vAlign w:val="center"/>
                </w:tcPr>
                <w:p>
                  <w:pPr>
                    <w:jc w:val="center"/>
                    <w:rPr>
                      <w:rFonts w:ascii="宋体" w:hAnsi="宋体"/>
                      <w:b/>
                      <w:bCs/>
                      <w:color w:val="000000"/>
                      <w:szCs w:val="21"/>
                    </w:rPr>
                  </w:pPr>
                  <w:r>
                    <w:rPr>
                      <w:b/>
                      <w:bCs/>
                      <w:szCs w:val="21"/>
                    </w:rPr>
                    <w:t>废物代码</w:t>
                  </w:r>
                </w:p>
              </w:tc>
              <w:tc>
                <w:tcPr>
                  <w:tcW w:w="1156" w:type="dxa"/>
                  <w:tcMar>
                    <w:left w:w="28" w:type="dxa"/>
                    <w:right w:w="28" w:type="dxa"/>
                  </w:tcMar>
                  <w:vAlign w:val="center"/>
                </w:tcPr>
                <w:p>
                  <w:pPr>
                    <w:jc w:val="center"/>
                    <w:rPr>
                      <w:rFonts w:ascii="宋体" w:hAnsi="宋体"/>
                      <w:b/>
                      <w:bCs/>
                      <w:color w:val="000000"/>
                      <w:szCs w:val="21"/>
                    </w:rPr>
                  </w:pPr>
                  <w:r>
                    <w:rPr>
                      <w:rFonts w:ascii="宋体" w:hAnsi="宋体"/>
                      <w:b/>
                      <w:bCs/>
                      <w:szCs w:val="21"/>
                    </w:rPr>
                    <w:t>估算产生量（吨／年）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rFonts w:ascii="宋体" w:hAnsi="宋体"/>
                      <w:szCs w:val="21"/>
                    </w:rPr>
                  </w:pPr>
                  <w:r>
                    <w:rPr>
                      <w:rFonts w:hint="eastAsia"/>
                      <w:szCs w:val="21"/>
                    </w:rPr>
                    <w:t>1</w:t>
                  </w:r>
                </w:p>
              </w:tc>
              <w:tc>
                <w:tcPr>
                  <w:tcW w:w="996" w:type="dxa"/>
                  <w:tcMar>
                    <w:left w:w="28" w:type="dxa"/>
                    <w:right w:w="28" w:type="dxa"/>
                  </w:tcMar>
                  <w:vAlign w:val="center"/>
                </w:tcPr>
                <w:p>
                  <w:pPr>
                    <w:jc w:val="center"/>
                    <w:rPr>
                      <w:bCs/>
                      <w:szCs w:val="21"/>
                    </w:rPr>
                  </w:pPr>
                  <w:r>
                    <w:rPr>
                      <w:rFonts w:hint="eastAsia"/>
                      <w:bCs/>
                      <w:szCs w:val="21"/>
                    </w:rPr>
                    <w:t>次品</w:t>
                  </w:r>
                </w:p>
              </w:tc>
              <w:tc>
                <w:tcPr>
                  <w:tcW w:w="1441" w:type="dxa"/>
                  <w:tcMar>
                    <w:left w:w="28" w:type="dxa"/>
                    <w:right w:w="28" w:type="dxa"/>
                  </w:tcMar>
                  <w:vAlign w:val="center"/>
                </w:tcPr>
                <w:p>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pPr>
                    <w:pStyle w:val="127"/>
                    <w:spacing w:line="240" w:lineRule="auto"/>
                    <w:rPr>
                      <w:szCs w:val="21"/>
                    </w:rPr>
                  </w:pPr>
                  <w:r>
                    <w:rPr>
                      <w:rFonts w:hint="eastAsia" w:ascii="Times New Roman" w:hAnsi="Times New Roman" w:cs="Times New Roman"/>
                      <w:lang w:val="fi-FI"/>
                    </w:rPr>
                    <w:t>检验</w:t>
                  </w:r>
                </w:p>
              </w:tc>
              <w:tc>
                <w:tcPr>
                  <w:tcW w:w="470" w:type="dxa"/>
                  <w:tcMar>
                    <w:left w:w="28" w:type="dxa"/>
                    <w:right w:w="28" w:type="dxa"/>
                  </w:tcMar>
                  <w:vAlign w:val="center"/>
                </w:tcPr>
                <w:p>
                  <w:pPr>
                    <w:spacing w:line="240" w:lineRule="exact"/>
                    <w:jc w:val="center"/>
                    <w:rPr>
                      <w:rFonts w:ascii="宋体" w:hAnsi="宋体"/>
                      <w:szCs w:val="21"/>
                    </w:rPr>
                  </w:pPr>
                  <w:r>
                    <w:rPr>
                      <w:rFonts w:hint="eastAsia" w:ascii="宋体" w:hAnsi="宋体"/>
                      <w:szCs w:val="21"/>
                    </w:rPr>
                    <w:t>固</w:t>
                  </w:r>
                </w:p>
              </w:tc>
              <w:tc>
                <w:tcPr>
                  <w:tcW w:w="713" w:type="dxa"/>
                  <w:tcMar>
                    <w:left w:w="28" w:type="dxa"/>
                    <w:right w:w="28" w:type="dxa"/>
                  </w:tcMar>
                  <w:vAlign w:val="center"/>
                </w:tcPr>
                <w:p>
                  <w:pPr>
                    <w:jc w:val="center"/>
                    <w:rPr>
                      <w:rFonts w:hint="eastAsia" w:eastAsia="宋体"/>
                      <w:szCs w:val="21"/>
                      <w:lang w:eastAsia="zh-CN"/>
                    </w:rPr>
                  </w:pPr>
                  <w:r>
                    <w:rPr>
                      <w:rFonts w:hint="eastAsia"/>
                      <w:szCs w:val="21"/>
                      <w:lang w:eastAsia="zh-CN"/>
                    </w:rPr>
                    <w:t>陶瓷</w:t>
                  </w:r>
                </w:p>
              </w:tc>
              <w:tc>
                <w:tcPr>
                  <w:tcW w:w="765" w:type="dxa"/>
                  <w:tcMar>
                    <w:left w:w="28" w:type="dxa"/>
                    <w:right w:w="28" w:type="dxa"/>
                  </w:tcMar>
                  <w:vAlign w:val="center"/>
                </w:tcPr>
                <w:p>
                  <w:pPr>
                    <w:jc w:val="center"/>
                    <w:rPr>
                      <w:rFonts w:ascii="宋体" w:hAnsi="宋体"/>
                      <w:szCs w:val="21"/>
                    </w:rPr>
                  </w:pPr>
                  <w:r>
                    <w:rPr>
                      <w:rFonts w:hint="eastAsia" w:ascii="宋体" w:hAnsi="宋体"/>
                      <w:szCs w:val="21"/>
                    </w:rPr>
                    <w:t>/</w:t>
                  </w:r>
                </w:p>
              </w:tc>
              <w:tc>
                <w:tcPr>
                  <w:tcW w:w="826" w:type="dxa"/>
                  <w:vAlign w:val="center"/>
                </w:tcPr>
                <w:p>
                  <w:pPr>
                    <w:jc w:val="center"/>
                    <w:rPr>
                      <w:rFonts w:ascii="宋体" w:hAnsi="宋体"/>
                      <w:szCs w:val="21"/>
                    </w:rPr>
                  </w:pPr>
                  <w:r>
                    <w:rPr>
                      <w:rFonts w:hint="eastAsia" w:ascii="宋体" w:hAnsi="宋体"/>
                      <w:szCs w:val="21"/>
                    </w:rPr>
                    <w:t>/</w:t>
                  </w:r>
                </w:p>
              </w:tc>
              <w:tc>
                <w:tcPr>
                  <w:tcW w:w="1156" w:type="dxa"/>
                  <w:tcMar>
                    <w:left w:w="28" w:type="dxa"/>
                    <w:right w:w="28" w:type="dxa"/>
                  </w:tcMar>
                  <w:vAlign w:val="center"/>
                </w:tcPr>
                <w:p>
                  <w:pPr>
                    <w:pStyle w:val="127"/>
                    <w:spacing w:line="240" w:lineRule="auto"/>
                    <w:rPr>
                      <w:szCs w:val="21"/>
                    </w:rPr>
                  </w:pPr>
                  <w:r>
                    <w:rPr>
                      <w:rFonts w:hint="eastAsia" w:ascii="Times New Roman" w:hAnsi="Times New Roman" w:cs="Times New Roman"/>
                      <w:lang w:val="en-US" w:eastAsia="zh-CN"/>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rFonts w:ascii="宋体" w:hAnsi="宋体"/>
                      <w:szCs w:val="21"/>
                      <w:lang w:val="en-US"/>
                    </w:rPr>
                  </w:pPr>
                  <w:r>
                    <w:rPr>
                      <w:rFonts w:hint="eastAsia"/>
                      <w:szCs w:val="21"/>
                      <w:lang w:val="en-US"/>
                    </w:rPr>
                    <w:t>2</w:t>
                  </w:r>
                </w:p>
              </w:tc>
              <w:tc>
                <w:tcPr>
                  <w:tcW w:w="996" w:type="dxa"/>
                  <w:tcMar>
                    <w:left w:w="28" w:type="dxa"/>
                    <w:right w:w="28" w:type="dxa"/>
                  </w:tcMar>
                  <w:vAlign w:val="center"/>
                </w:tcPr>
                <w:p>
                  <w:pPr>
                    <w:pStyle w:val="127"/>
                    <w:spacing w:line="240" w:lineRule="auto"/>
                    <w:rPr>
                      <w:szCs w:val="21"/>
                    </w:rPr>
                  </w:pPr>
                  <w:r>
                    <w:rPr>
                      <w:rFonts w:hint="eastAsia" w:ascii="Times New Roman" w:hAnsi="Times New Roman" w:cs="Times New Roman"/>
                      <w:lang w:val="fi-FI"/>
                    </w:rPr>
                    <w:t>废包装袋</w:t>
                  </w:r>
                </w:p>
              </w:tc>
              <w:tc>
                <w:tcPr>
                  <w:tcW w:w="1441" w:type="dxa"/>
                  <w:tcMar>
                    <w:left w:w="28" w:type="dxa"/>
                    <w:right w:w="28" w:type="dxa"/>
                  </w:tcMar>
                  <w:vAlign w:val="center"/>
                </w:tcPr>
                <w:p>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pPr>
                    <w:pStyle w:val="127"/>
                    <w:spacing w:line="240" w:lineRule="auto"/>
                    <w:rPr>
                      <w:szCs w:val="21"/>
                    </w:rPr>
                  </w:pPr>
                  <w:r>
                    <w:rPr>
                      <w:rFonts w:hint="eastAsia" w:ascii="Times New Roman" w:hAnsi="Times New Roman" w:cs="Times New Roman"/>
                      <w:lang w:val="fi-FI"/>
                    </w:rPr>
                    <w:t>包装</w:t>
                  </w:r>
                </w:p>
              </w:tc>
              <w:tc>
                <w:tcPr>
                  <w:tcW w:w="470" w:type="dxa"/>
                  <w:tcMar>
                    <w:left w:w="28" w:type="dxa"/>
                    <w:right w:w="28" w:type="dxa"/>
                  </w:tcMar>
                  <w:vAlign w:val="center"/>
                </w:tcPr>
                <w:p>
                  <w:pPr>
                    <w:spacing w:line="240" w:lineRule="exact"/>
                    <w:jc w:val="center"/>
                    <w:rPr>
                      <w:rFonts w:ascii="宋体" w:hAnsi="宋体"/>
                      <w:szCs w:val="21"/>
                    </w:rPr>
                  </w:pPr>
                  <w:r>
                    <w:rPr>
                      <w:rFonts w:hint="eastAsia" w:ascii="宋体" w:hAnsi="宋体"/>
                      <w:szCs w:val="21"/>
                    </w:rPr>
                    <w:t>固</w:t>
                  </w:r>
                </w:p>
              </w:tc>
              <w:tc>
                <w:tcPr>
                  <w:tcW w:w="713" w:type="dxa"/>
                  <w:tcMar>
                    <w:left w:w="28" w:type="dxa"/>
                    <w:right w:w="28" w:type="dxa"/>
                  </w:tcMar>
                  <w:vAlign w:val="center"/>
                </w:tcPr>
                <w:p>
                  <w:pPr>
                    <w:jc w:val="center"/>
                    <w:rPr>
                      <w:szCs w:val="21"/>
                    </w:rPr>
                  </w:pPr>
                  <w:r>
                    <w:rPr>
                      <w:rFonts w:hint="eastAsia"/>
                      <w:szCs w:val="21"/>
                    </w:rPr>
                    <w:t>塑料袋</w:t>
                  </w:r>
                </w:p>
              </w:tc>
              <w:tc>
                <w:tcPr>
                  <w:tcW w:w="765" w:type="dxa"/>
                  <w:tcMar>
                    <w:left w:w="28" w:type="dxa"/>
                    <w:right w:w="28" w:type="dxa"/>
                  </w:tcMar>
                  <w:vAlign w:val="center"/>
                </w:tcPr>
                <w:p>
                  <w:pPr>
                    <w:jc w:val="center"/>
                    <w:rPr>
                      <w:rFonts w:ascii="宋体" w:hAnsi="宋体"/>
                      <w:szCs w:val="21"/>
                      <w:lang w:val="en-US"/>
                    </w:rPr>
                  </w:pPr>
                  <w:r>
                    <w:rPr>
                      <w:rFonts w:hint="eastAsia" w:ascii="宋体" w:hAnsi="宋体"/>
                      <w:szCs w:val="21"/>
                      <w:lang w:val="en-US"/>
                    </w:rPr>
                    <w:t>/</w:t>
                  </w:r>
                </w:p>
              </w:tc>
              <w:tc>
                <w:tcPr>
                  <w:tcW w:w="826" w:type="dxa"/>
                  <w:vAlign w:val="center"/>
                </w:tcPr>
                <w:p>
                  <w:pPr>
                    <w:jc w:val="center"/>
                    <w:rPr>
                      <w:rFonts w:ascii="宋体" w:hAnsi="宋体"/>
                      <w:szCs w:val="21"/>
                      <w:lang w:val="en-US"/>
                    </w:rPr>
                  </w:pPr>
                  <w:r>
                    <w:rPr>
                      <w:rFonts w:hint="eastAsia" w:ascii="宋体" w:hAnsi="宋体"/>
                      <w:szCs w:val="21"/>
                      <w:lang w:val="en-US"/>
                    </w:rPr>
                    <w:t>/</w:t>
                  </w:r>
                </w:p>
              </w:tc>
              <w:tc>
                <w:tcPr>
                  <w:tcW w:w="1156" w:type="dxa"/>
                  <w:tcMar>
                    <w:left w:w="28" w:type="dxa"/>
                    <w:right w:w="28" w:type="dxa"/>
                  </w:tcMar>
                  <w:vAlign w:val="center"/>
                </w:tcPr>
                <w:p>
                  <w:pPr>
                    <w:pStyle w:val="127"/>
                    <w:spacing w:line="240" w:lineRule="auto"/>
                    <w:rPr>
                      <w:szCs w:val="21"/>
                    </w:rPr>
                  </w:pPr>
                  <w:r>
                    <w:rPr>
                      <w:rFonts w:hint="eastAsia" w:ascii="Times New Roman" w:hAnsi="Times New Roman" w:cs="Times New Roman"/>
                      <w:lang w:val="en-US" w:eastAsia="zh-CN"/>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szCs w:val="21"/>
                      <w:lang w:val="en-US"/>
                    </w:rPr>
                  </w:pPr>
                  <w:r>
                    <w:rPr>
                      <w:rFonts w:hint="eastAsia"/>
                      <w:szCs w:val="21"/>
                      <w:lang w:val="en-US"/>
                    </w:rPr>
                    <w:t>3</w:t>
                  </w:r>
                </w:p>
              </w:tc>
              <w:tc>
                <w:tcPr>
                  <w:tcW w:w="996" w:type="dxa"/>
                  <w:tcMar>
                    <w:left w:w="28" w:type="dxa"/>
                    <w:right w:w="28" w:type="dxa"/>
                  </w:tcMar>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收集粉尘</w:t>
                  </w:r>
                </w:p>
              </w:tc>
              <w:tc>
                <w:tcPr>
                  <w:tcW w:w="1441" w:type="dxa"/>
                  <w:tcMar>
                    <w:left w:w="28" w:type="dxa"/>
                    <w:right w:w="28" w:type="dxa"/>
                  </w:tcMar>
                  <w:vAlign w:val="center"/>
                </w:tcPr>
                <w:p>
                  <w:pPr>
                    <w:jc w:val="center"/>
                    <w:rPr>
                      <w:szCs w:val="21"/>
                      <w:lang w:val="en-US"/>
                    </w:rPr>
                  </w:pPr>
                  <w:r>
                    <w:rPr>
                      <w:szCs w:val="21"/>
                      <w:lang w:val="en-US"/>
                    </w:rPr>
                    <w:t>一般废物</w:t>
                  </w:r>
                </w:p>
              </w:tc>
              <w:tc>
                <w:tcPr>
                  <w:tcW w:w="981" w:type="dxa"/>
                  <w:tcMar>
                    <w:left w:w="28" w:type="dxa"/>
                    <w:right w:w="28" w:type="dxa"/>
                  </w:tcMar>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投料、喷雾干燥、造粒</w:t>
                  </w:r>
                </w:p>
              </w:tc>
              <w:tc>
                <w:tcPr>
                  <w:tcW w:w="470" w:type="dxa"/>
                  <w:tcMar>
                    <w:left w:w="28" w:type="dxa"/>
                    <w:right w:w="28" w:type="dxa"/>
                  </w:tcMar>
                  <w:vAlign w:val="center"/>
                </w:tcPr>
                <w:p>
                  <w:pPr>
                    <w:spacing w:line="240" w:lineRule="exact"/>
                    <w:jc w:val="center"/>
                    <w:rPr>
                      <w:rFonts w:ascii="宋体" w:hAnsi="宋体"/>
                      <w:szCs w:val="21"/>
                    </w:rPr>
                  </w:pPr>
                  <w:r>
                    <w:rPr>
                      <w:rFonts w:hint="eastAsia" w:ascii="宋体" w:hAnsi="宋体"/>
                      <w:szCs w:val="21"/>
                    </w:rPr>
                    <w:t>固</w:t>
                  </w:r>
                </w:p>
              </w:tc>
              <w:tc>
                <w:tcPr>
                  <w:tcW w:w="713" w:type="dxa"/>
                  <w:tcMar>
                    <w:left w:w="28" w:type="dxa"/>
                    <w:right w:w="28" w:type="dxa"/>
                  </w:tcMar>
                  <w:vAlign w:val="center"/>
                </w:tcPr>
                <w:p>
                  <w:pPr>
                    <w:jc w:val="center"/>
                    <w:rPr>
                      <w:szCs w:val="21"/>
                    </w:rPr>
                  </w:pPr>
                  <w:r>
                    <w:rPr>
                      <w:rFonts w:hint="eastAsia"/>
                      <w:szCs w:val="21"/>
                    </w:rPr>
                    <w:t>滑石粉、碳酸钡等</w:t>
                  </w:r>
                </w:p>
              </w:tc>
              <w:tc>
                <w:tcPr>
                  <w:tcW w:w="765" w:type="dxa"/>
                  <w:tcMar>
                    <w:left w:w="28" w:type="dxa"/>
                    <w:right w:w="28" w:type="dxa"/>
                  </w:tcMar>
                  <w:vAlign w:val="center"/>
                </w:tcPr>
                <w:p>
                  <w:pPr>
                    <w:jc w:val="center"/>
                    <w:rPr>
                      <w:rFonts w:ascii="宋体" w:hAnsi="宋体"/>
                      <w:szCs w:val="21"/>
                      <w:lang w:val="en-US"/>
                    </w:rPr>
                  </w:pPr>
                  <w:r>
                    <w:rPr>
                      <w:rFonts w:hint="eastAsia" w:ascii="宋体" w:hAnsi="宋体"/>
                      <w:szCs w:val="21"/>
                      <w:lang w:val="en-US"/>
                    </w:rPr>
                    <w:t>/</w:t>
                  </w:r>
                </w:p>
              </w:tc>
              <w:tc>
                <w:tcPr>
                  <w:tcW w:w="826" w:type="dxa"/>
                  <w:vAlign w:val="center"/>
                </w:tcPr>
                <w:p>
                  <w:pPr>
                    <w:jc w:val="center"/>
                    <w:rPr>
                      <w:rFonts w:ascii="宋体" w:hAnsi="宋体"/>
                      <w:szCs w:val="21"/>
                      <w:lang w:val="en-US"/>
                    </w:rPr>
                  </w:pPr>
                  <w:r>
                    <w:rPr>
                      <w:rFonts w:hint="eastAsia" w:ascii="宋体" w:hAnsi="宋体"/>
                      <w:szCs w:val="21"/>
                      <w:lang w:val="en-US"/>
                    </w:rPr>
                    <w:t>/</w:t>
                  </w:r>
                </w:p>
              </w:tc>
              <w:tc>
                <w:tcPr>
                  <w:tcW w:w="1156" w:type="dxa"/>
                  <w:tcMar>
                    <w:left w:w="28" w:type="dxa"/>
                    <w:right w:w="28" w:type="dxa"/>
                  </w:tcMar>
                  <w:vAlign w:val="center"/>
                </w:tcPr>
                <w:p>
                  <w:pPr>
                    <w:pStyle w:val="127"/>
                    <w:spacing w:line="240" w:lineRule="auto"/>
                    <w:rPr>
                      <w:rFonts w:ascii="Times New Roman" w:hAnsi="Times New Roman" w:cs="Times New Roman"/>
                    </w:rPr>
                  </w:pPr>
                  <w:r>
                    <w:rPr>
                      <w:rFonts w:hint="eastAsia" w:ascii="Times New Roman" w:hAnsi="Times New Roman" w:cs="Times New Roman"/>
                      <w:lang w:val="en-US" w:eastAsia="zh-CN"/>
                    </w:rPr>
                    <w:t>3.25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8" w:type="dxa"/>
                  <w:tcMar>
                    <w:left w:w="28" w:type="dxa"/>
                    <w:right w:w="28" w:type="dxa"/>
                  </w:tcMar>
                  <w:vAlign w:val="center"/>
                </w:tcPr>
                <w:p>
                  <w:pPr>
                    <w:spacing w:line="240" w:lineRule="exact"/>
                    <w:jc w:val="center"/>
                    <w:rPr>
                      <w:szCs w:val="21"/>
                      <w:lang w:val="en-US"/>
                    </w:rPr>
                  </w:pPr>
                  <w:r>
                    <w:rPr>
                      <w:rFonts w:hint="eastAsia"/>
                      <w:szCs w:val="21"/>
                      <w:lang w:val="en-US"/>
                    </w:rPr>
                    <w:t>4</w:t>
                  </w:r>
                </w:p>
              </w:tc>
              <w:tc>
                <w:tcPr>
                  <w:tcW w:w="996" w:type="dxa"/>
                  <w:tcMar>
                    <w:left w:w="28" w:type="dxa"/>
                    <w:right w:w="28" w:type="dxa"/>
                  </w:tcMar>
                  <w:vAlign w:val="center"/>
                </w:tcPr>
                <w:p>
                  <w:pPr>
                    <w:pStyle w:val="127"/>
                    <w:spacing w:line="240" w:lineRule="auto"/>
                    <w:rPr>
                      <w:szCs w:val="21"/>
                    </w:rPr>
                  </w:pPr>
                  <w:r>
                    <w:rPr>
                      <w:rFonts w:hint="eastAsia" w:ascii="Times New Roman" w:hAnsi="Times New Roman" w:cs="Times New Roman"/>
                      <w:lang w:val="fi-FI"/>
                    </w:rPr>
                    <w:t>生活垃圾</w:t>
                  </w:r>
                </w:p>
              </w:tc>
              <w:tc>
                <w:tcPr>
                  <w:tcW w:w="1441" w:type="dxa"/>
                  <w:tcMar>
                    <w:left w:w="28" w:type="dxa"/>
                    <w:right w:w="28" w:type="dxa"/>
                  </w:tcMar>
                  <w:vAlign w:val="center"/>
                </w:tcPr>
                <w:p>
                  <w:pPr>
                    <w:jc w:val="center"/>
                    <w:rPr>
                      <w:szCs w:val="21"/>
                      <w:lang w:val="en-US"/>
                    </w:rPr>
                  </w:pPr>
                  <w:r>
                    <w:rPr>
                      <w:szCs w:val="21"/>
                      <w:lang w:val="en-US"/>
                    </w:rPr>
                    <w:t>一般废物</w:t>
                  </w:r>
                </w:p>
              </w:tc>
              <w:tc>
                <w:tcPr>
                  <w:tcW w:w="981" w:type="dxa"/>
                  <w:tcMar>
                    <w:left w:w="28" w:type="dxa"/>
                    <w:right w:w="28" w:type="dxa"/>
                  </w:tcMar>
                  <w:vAlign w:val="center"/>
                </w:tcPr>
                <w:p>
                  <w:pPr>
                    <w:pStyle w:val="127"/>
                    <w:spacing w:line="240" w:lineRule="auto"/>
                    <w:rPr>
                      <w:szCs w:val="21"/>
                    </w:rPr>
                  </w:pPr>
                  <w:r>
                    <w:rPr>
                      <w:rFonts w:hint="eastAsia" w:ascii="Times New Roman" w:hAnsi="Times New Roman" w:cs="Times New Roman"/>
                      <w:lang w:val="fi-FI"/>
                    </w:rPr>
                    <w:t>职工生活</w:t>
                  </w:r>
                </w:p>
              </w:tc>
              <w:tc>
                <w:tcPr>
                  <w:tcW w:w="470" w:type="dxa"/>
                  <w:tcMar>
                    <w:left w:w="28" w:type="dxa"/>
                    <w:right w:w="28" w:type="dxa"/>
                  </w:tcMar>
                  <w:vAlign w:val="center"/>
                </w:tcPr>
                <w:p>
                  <w:pPr>
                    <w:spacing w:line="240" w:lineRule="exact"/>
                    <w:jc w:val="center"/>
                    <w:rPr>
                      <w:rFonts w:ascii="宋体" w:hAnsi="宋体"/>
                      <w:szCs w:val="21"/>
                    </w:rPr>
                  </w:pPr>
                  <w:r>
                    <w:rPr>
                      <w:rFonts w:hint="eastAsia" w:ascii="宋体" w:hAnsi="宋体"/>
                      <w:szCs w:val="21"/>
                    </w:rPr>
                    <w:t>固</w:t>
                  </w:r>
                </w:p>
              </w:tc>
              <w:tc>
                <w:tcPr>
                  <w:tcW w:w="713" w:type="dxa"/>
                  <w:tcMar>
                    <w:left w:w="28" w:type="dxa"/>
                    <w:right w:w="28" w:type="dxa"/>
                  </w:tcMar>
                  <w:vAlign w:val="center"/>
                </w:tcPr>
                <w:p>
                  <w:pPr>
                    <w:jc w:val="center"/>
                    <w:rPr>
                      <w:szCs w:val="21"/>
                    </w:rPr>
                  </w:pPr>
                  <w:r>
                    <w:rPr>
                      <w:szCs w:val="21"/>
                    </w:rPr>
                    <w:t>纸张、果皮等</w:t>
                  </w:r>
                </w:p>
              </w:tc>
              <w:tc>
                <w:tcPr>
                  <w:tcW w:w="765" w:type="dxa"/>
                  <w:tcMar>
                    <w:left w:w="28" w:type="dxa"/>
                    <w:right w:w="28" w:type="dxa"/>
                  </w:tcMar>
                  <w:vAlign w:val="center"/>
                </w:tcPr>
                <w:p>
                  <w:pPr>
                    <w:jc w:val="center"/>
                    <w:rPr>
                      <w:rFonts w:ascii="宋体" w:hAnsi="宋体"/>
                      <w:szCs w:val="21"/>
                      <w:lang w:val="en-US"/>
                    </w:rPr>
                  </w:pPr>
                  <w:r>
                    <w:rPr>
                      <w:rFonts w:hint="eastAsia" w:ascii="宋体" w:hAnsi="宋体"/>
                      <w:szCs w:val="21"/>
                      <w:lang w:val="en-US"/>
                    </w:rPr>
                    <w:t>/</w:t>
                  </w:r>
                </w:p>
              </w:tc>
              <w:tc>
                <w:tcPr>
                  <w:tcW w:w="826" w:type="dxa"/>
                  <w:vAlign w:val="center"/>
                </w:tcPr>
                <w:p>
                  <w:pPr>
                    <w:jc w:val="center"/>
                    <w:rPr>
                      <w:rFonts w:ascii="宋体" w:hAnsi="宋体"/>
                      <w:szCs w:val="21"/>
                      <w:lang w:val="en-US"/>
                    </w:rPr>
                  </w:pPr>
                  <w:r>
                    <w:rPr>
                      <w:rFonts w:hint="eastAsia" w:ascii="宋体" w:hAnsi="宋体"/>
                      <w:szCs w:val="21"/>
                      <w:lang w:val="en-US"/>
                    </w:rPr>
                    <w:t>/</w:t>
                  </w:r>
                </w:p>
              </w:tc>
              <w:tc>
                <w:tcPr>
                  <w:tcW w:w="1156" w:type="dxa"/>
                  <w:tcMar>
                    <w:left w:w="28" w:type="dxa"/>
                    <w:right w:w="28" w:type="dxa"/>
                  </w:tcMar>
                  <w:vAlign w:val="center"/>
                </w:tcPr>
                <w:p>
                  <w:pPr>
                    <w:pStyle w:val="127"/>
                    <w:spacing w:line="240" w:lineRule="auto"/>
                    <w:rPr>
                      <w:szCs w:val="21"/>
                    </w:rPr>
                  </w:pPr>
                  <w:r>
                    <w:rPr>
                      <w:rFonts w:hint="eastAsia" w:ascii="Times New Roman" w:hAnsi="Times New Roman" w:cs="Times New Roman"/>
                      <w:lang w:val="en-US" w:eastAsia="zh-CN"/>
                    </w:rPr>
                    <w:t>1.25</w:t>
                  </w:r>
                </w:p>
              </w:tc>
            </w:tr>
          </w:tbl>
          <w:p>
            <w:pPr>
              <w:autoSpaceDE w:val="0"/>
              <w:autoSpaceDN w:val="0"/>
              <w:adjustRightInd w:val="0"/>
              <w:spacing w:line="360" w:lineRule="auto"/>
              <w:jc w:val="left"/>
              <w:rPr>
                <w:kern w:val="0"/>
                <w:sz w:val="24"/>
                <w:szCs w:val="24"/>
                <w:lang w:val="en-US"/>
              </w:rPr>
            </w:pPr>
          </w:p>
          <w:p>
            <w:pPr>
              <w:autoSpaceDE w:val="0"/>
              <w:autoSpaceDN w:val="0"/>
              <w:adjustRightInd w:val="0"/>
              <w:spacing w:line="360" w:lineRule="auto"/>
              <w:jc w:val="left"/>
              <w:rPr>
                <w:kern w:val="0"/>
                <w:sz w:val="24"/>
                <w:szCs w:val="24"/>
                <w:lang w:val="en-US"/>
              </w:rPr>
            </w:pPr>
          </w:p>
          <w:p>
            <w:pPr>
              <w:pStyle w:val="2"/>
              <w:rPr>
                <w:kern w:val="0"/>
                <w:sz w:val="24"/>
                <w:szCs w:val="24"/>
                <w:lang w:val="en-US"/>
              </w:rPr>
            </w:pPr>
          </w:p>
          <w:p>
            <w:pPr>
              <w:pStyle w:val="3"/>
              <w:rPr>
                <w:kern w:val="0"/>
                <w:sz w:val="24"/>
                <w:szCs w:val="24"/>
                <w:lang w:val="en-US"/>
              </w:rPr>
            </w:pPr>
          </w:p>
          <w:p>
            <w:pPr>
              <w:pStyle w:val="3"/>
              <w:rPr>
                <w:kern w:val="0"/>
                <w:sz w:val="24"/>
                <w:szCs w:val="24"/>
                <w:lang w:val="en-US"/>
              </w:rPr>
            </w:pPr>
          </w:p>
          <w:p>
            <w:pPr>
              <w:pStyle w:val="3"/>
              <w:rPr>
                <w:kern w:val="0"/>
                <w:sz w:val="24"/>
                <w:szCs w:val="24"/>
                <w:lang w:val="en-US"/>
              </w:rPr>
            </w:pPr>
          </w:p>
          <w:p>
            <w:pPr>
              <w:pStyle w:val="3"/>
              <w:rPr>
                <w:kern w:val="0"/>
                <w:sz w:val="24"/>
                <w:szCs w:val="24"/>
                <w:lang w:val="en-US"/>
              </w:rPr>
            </w:pPr>
          </w:p>
          <w:p>
            <w:pPr>
              <w:pStyle w:val="3"/>
              <w:ind w:left="0" w:leftChars="0" w:firstLine="0" w:firstLineChars="0"/>
              <w:rPr>
                <w:kern w:val="0"/>
                <w:sz w:val="24"/>
                <w:szCs w:val="24"/>
                <w:lang w:val="en-US"/>
              </w:rPr>
            </w:pPr>
          </w:p>
          <w:p>
            <w:pPr>
              <w:autoSpaceDE w:val="0"/>
              <w:autoSpaceDN w:val="0"/>
              <w:adjustRightInd w:val="0"/>
              <w:spacing w:line="360" w:lineRule="auto"/>
              <w:jc w:val="left"/>
              <w:rPr>
                <w:kern w:val="0"/>
                <w:sz w:val="24"/>
                <w:szCs w:val="24"/>
                <w:lang w:val="en-US"/>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8" w:name="_Toc199814215"/>
      <w:bookmarkStart w:id="39" w:name="_Toc294082157"/>
      <w:bookmarkStart w:id="40" w:name="_Toc303260178"/>
      <w:bookmarkStart w:id="41" w:name="_Toc367970829"/>
      <w:bookmarkStart w:id="42" w:name="_Toc367970635"/>
      <w:bookmarkStart w:id="43" w:name="_Toc367970390"/>
    </w:p>
    <w:p>
      <w:pPr>
        <w:pStyle w:val="4"/>
        <w:spacing w:line="240" w:lineRule="auto"/>
        <w:jc w:val="both"/>
        <w:rPr>
          <w:rFonts w:hAnsi="宋体"/>
          <w:bCs w:val="0"/>
          <w:spacing w:val="0"/>
          <w:kern w:val="0"/>
          <w:sz w:val="32"/>
          <w:szCs w:val="32"/>
        </w:rPr>
      </w:pPr>
      <w:bookmarkStart w:id="44" w:name="_Toc386379878"/>
      <w:r>
        <w:rPr>
          <w:rFonts w:hint="eastAsia" w:hAnsi="宋体"/>
          <w:bCs w:val="0"/>
          <w:spacing w:val="0"/>
          <w:kern w:val="0"/>
          <w:sz w:val="32"/>
          <w:szCs w:val="32"/>
          <w:lang w:val="en-US"/>
        </w:rPr>
        <w:t>6</w:t>
      </w:r>
      <w:r>
        <w:rPr>
          <w:rFonts w:hAnsi="宋体"/>
          <w:bCs w:val="0"/>
          <w:spacing w:val="0"/>
          <w:kern w:val="0"/>
          <w:sz w:val="32"/>
          <w:szCs w:val="32"/>
        </w:rPr>
        <w:t>、</w:t>
      </w:r>
      <w:bookmarkEnd w:id="38"/>
      <w:bookmarkEnd w:id="39"/>
      <w:bookmarkEnd w:id="40"/>
      <w:bookmarkStart w:id="45" w:name="_Toc199814216"/>
      <w:bookmarkStart w:id="46" w:name="_Toc294082158"/>
      <w:bookmarkStart w:id="47" w:name="_Toc303260179"/>
      <w:bookmarkStart w:id="48" w:name="_Toc199814217"/>
      <w:r>
        <w:rPr>
          <w:rFonts w:hAnsi="宋体"/>
          <w:bCs w:val="0"/>
          <w:spacing w:val="0"/>
          <w:kern w:val="0"/>
          <w:sz w:val="32"/>
          <w:szCs w:val="32"/>
        </w:rPr>
        <w:t>项目主要污染物产生及预计排放情况</w:t>
      </w:r>
      <w:bookmarkEnd w:id="41"/>
      <w:bookmarkEnd w:id="42"/>
      <w:bookmarkEnd w:id="43"/>
      <w:bookmarkEnd w:id="44"/>
    </w:p>
    <w:tbl>
      <w:tblPr>
        <w:tblStyle w:val="7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32"/>
        <w:gridCol w:w="1009"/>
        <w:gridCol w:w="10"/>
        <w:gridCol w:w="1040"/>
        <w:gridCol w:w="1303"/>
        <w:gridCol w:w="797"/>
        <w:gridCol w:w="1065"/>
        <w:gridCol w:w="92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rPr>
                <w:b/>
              </w:rPr>
            </w:pPr>
            <w:r>
              <w:rPr>
                <w:rFonts w:hAnsi="宋体"/>
                <w:b/>
              </w:rPr>
              <w:t>内容</w:t>
            </w:r>
          </w:p>
          <w:p>
            <w:pPr>
              <w:jc w:val="center"/>
              <w:rPr>
                <w:b/>
              </w:rPr>
            </w:pPr>
            <w:r>
              <w:rPr>
                <w:rFonts w:hAnsi="宋体"/>
                <w:b/>
              </w:rPr>
              <w:t>类型</w:t>
            </w:r>
          </w:p>
        </w:tc>
        <w:tc>
          <w:tcPr>
            <w:tcW w:w="1432" w:type="dxa"/>
            <w:vAlign w:val="center"/>
          </w:tcPr>
          <w:p>
            <w:pPr>
              <w:jc w:val="center"/>
              <w:rPr>
                <w:b/>
              </w:rPr>
            </w:pPr>
            <w:r>
              <w:rPr>
                <w:rFonts w:hAnsi="宋体"/>
                <w:b/>
              </w:rPr>
              <w:t>排放源</w:t>
            </w:r>
          </w:p>
        </w:tc>
        <w:tc>
          <w:tcPr>
            <w:tcW w:w="1009" w:type="dxa"/>
            <w:vAlign w:val="center"/>
          </w:tcPr>
          <w:p>
            <w:pPr>
              <w:jc w:val="center"/>
              <w:rPr>
                <w:b/>
              </w:rPr>
            </w:pPr>
            <w:r>
              <w:rPr>
                <w:rFonts w:hAnsi="宋体"/>
                <w:b/>
              </w:rPr>
              <w:t>污染物名称</w:t>
            </w:r>
          </w:p>
        </w:tc>
        <w:tc>
          <w:tcPr>
            <w:tcW w:w="1050" w:type="dxa"/>
            <w:gridSpan w:val="2"/>
            <w:vAlign w:val="center"/>
          </w:tcPr>
          <w:p>
            <w:pPr>
              <w:jc w:val="center"/>
              <w:rPr>
                <w:b/>
              </w:rPr>
            </w:pPr>
            <w:r>
              <w:rPr>
                <w:rFonts w:hAnsi="宋体"/>
                <w:b/>
              </w:rPr>
              <w:t>产生浓度</w:t>
            </w:r>
            <w:r>
              <w:rPr>
                <w:b/>
                <w:kern w:val="0"/>
                <w:szCs w:val="21"/>
              </w:rPr>
              <w:t>mg/m</w:t>
            </w:r>
            <w:r>
              <w:rPr>
                <w:b/>
                <w:kern w:val="0"/>
                <w:szCs w:val="21"/>
                <w:vertAlign w:val="superscript"/>
              </w:rPr>
              <w:t>3</w:t>
            </w:r>
          </w:p>
        </w:tc>
        <w:tc>
          <w:tcPr>
            <w:tcW w:w="1303" w:type="dxa"/>
            <w:vAlign w:val="center"/>
          </w:tcPr>
          <w:p>
            <w:pPr>
              <w:jc w:val="center"/>
              <w:rPr>
                <w:b/>
              </w:rPr>
            </w:pPr>
            <w:r>
              <w:rPr>
                <w:rFonts w:hAnsi="宋体"/>
                <w:b/>
              </w:rPr>
              <w:t>产生量</w:t>
            </w:r>
            <w:r>
              <w:rPr>
                <w:b/>
                <w:kern w:val="0"/>
                <w:szCs w:val="21"/>
              </w:rPr>
              <w:t>t/a</w:t>
            </w:r>
          </w:p>
        </w:tc>
        <w:tc>
          <w:tcPr>
            <w:tcW w:w="797" w:type="dxa"/>
            <w:vAlign w:val="center"/>
          </w:tcPr>
          <w:p>
            <w:pPr>
              <w:jc w:val="center"/>
              <w:rPr>
                <w:b/>
              </w:rPr>
            </w:pPr>
            <w:r>
              <w:rPr>
                <w:rFonts w:hAnsi="宋体"/>
                <w:b/>
              </w:rPr>
              <w:t>排放浓度</w:t>
            </w:r>
            <w:r>
              <w:rPr>
                <w:b/>
                <w:kern w:val="0"/>
                <w:szCs w:val="21"/>
              </w:rPr>
              <w:t>mg/m</w:t>
            </w:r>
            <w:r>
              <w:rPr>
                <w:b/>
                <w:kern w:val="0"/>
                <w:szCs w:val="21"/>
                <w:vertAlign w:val="superscript"/>
              </w:rPr>
              <w:t>3</w:t>
            </w:r>
          </w:p>
        </w:tc>
        <w:tc>
          <w:tcPr>
            <w:tcW w:w="1065" w:type="dxa"/>
            <w:vAlign w:val="center"/>
          </w:tcPr>
          <w:p>
            <w:pPr>
              <w:jc w:val="center"/>
              <w:rPr>
                <w:b/>
              </w:rPr>
            </w:pPr>
            <w:r>
              <w:rPr>
                <w:rFonts w:hAnsi="宋体"/>
                <w:b/>
              </w:rPr>
              <w:t>排放速率</w:t>
            </w:r>
            <w:r>
              <w:rPr>
                <w:b/>
              </w:rPr>
              <w:t>kg/h</w:t>
            </w:r>
          </w:p>
        </w:tc>
        <w:tc>
          <w:tcPr>
            <w:tcW w:w="926" w:type="dxa"/>
            <w:vAlign w:val="center"/>
          </w:tcPr>
          <w:p>
            <w:pPr>
              <w:jc w:val="center"/>
              <w:rPr>
                <w:b/>
              </w:rPr>
            </w:pPr>
            <w:r>
              <w:rPr>
                <w:rFonts w:hAnsi="宋体"/>
                <w:b/>
              </w:rPr>
              <w:t>排放量</w:t>
            </w:r>
            <w:r>
              <w:rPr>
                <w:b/>
                <w:kern w:val="0"/>
                <w:szCs w:val="21"/>
              </w:rPr>
              <w:t>t/a</w:t>
            </w:r>
          </w:p>
        </w:tc>
        <w:tc>
          <w:tcPr>
            <w:tcW w:w="978" w:type="dxa"/>
            <w:vAlign w:val="center"/>
          </w:tcPr>
          <w:p>
            <w:pPr>
              <w:jc w:val="center"/>
              <w:rPr>
                <w:b/>
              </w:rPr>
            </w:pPr>
            <w:r>
              <w:rPr>
                <w:rFonts w:hAnsi="宋体"/>
                <w:b/>
              </w:rPr>
              <w:t>排放</w:t>
            </w:r>
          </w:p>
          <w:p>
            <w:pPr>
              <w:jc w:val="center"/>
              <w:rPr>
                <w:b/>
              </w:rPr>
            </w:pPr>
            <w:r>
              <w:rPr>
                <w:rFonts w:hAnsi="宋体"/>
                <w:b/>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49" w:type="dxa"/>
            <w:vMerge w:val="restart"/>
            <w:vAlign w:val="center"/>
          </w:tcPr>
          <w:p>
            <w:pPr>
              <w:jc w:val="center"/>
              <w:rPr>
                <w:rFonts w:hAnsi="宋体"/>
                <w:b/>
              </w:rPr>
            </w:pPr>
            <w:r>
              <w:rPr>
                <w:rFonts w:hint="eastAsia"/>
              </w:rPr>
              <w:t>大气污染物</w:t>
            </w:r>
          </w:p>
        </w:tc>
        <w:tc>
          <w:tcPr>
            <w:tcW w:w="1432" w:type="dxa"/>
            <w:vMerge w:val="restart"/>
            <w:vAlign w:val="center"/>
          </w:tcPr>
          <w:p>
            <w:pPr>
              <w:jc w:val="center"/>
              <w:rPr>
                <w:rFonts w:hAnsi="宋体"/>
                <w:b/>
              </w:rPr>
            </w:pPr>
            <w:r>
              <w:rPr>
                <w:rFonts w:hint="eastAsia"/>
                <w:szCs w:val="21"/>
              </w:rPr>
              <w:t>投料工序</w:t>
            </w:r>
          </w:p>
        </w:tc>
        <w:tc>
          <w:tcPr>
            <w:tcW w:w="1009" w:type="dxa"/>
            <w:vAlign w:val="center"/>
          </w:tcPr>
          <w:p>
            <w:pPr>
              <w:jc w:val="center"/>
              <w:rPr>
                <w:szCs w:val="21"/>
              </w:rPr>
            </w:pPr>
            <w:r>
              <w:rPr>
                <w:szCs w:val="21"/>
              </w:rPr>
              <w:t>颗粒物</w:t>
            </w:r>
          </w:p>
        </w:tc>
        <w:tc>
          <w:tcPr>
            <w:tcW w:w="1050" w:type="dxa"/>
            <w:gridSpan w:val="2"/>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w:t>
            </w:r>
          </w:p>
        </w:tc>
        <w:tc>
          <w:tcPr>
            <w:tcW w:w="1303"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0.11</w:t>
            </w:r>
          </w:p>
        </w:tc>
        <w:tc>
          <w:tcPr>
            <w:tcW w:w="797" w:type="dxa"/>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w:t>
            </w:r>
          </w:p>
        </w:tc>
        <w:tc>
          <w:tcPr>
            <w:tcW w:w="1065" w:type="dxa"/>
            <w:vAlign w:val="center"/>
          </w:tcPr>
          <w:p>
            <w:pPr>
              <w:jc w:val="center"/>
              <w:rPr>
                <w:rFonts w:hint="eastAsia" w:eastAsiaTheme="minorEastAsia"/>
                <w:color w:val="000000" w:themeColor="text1"/>
                <w:szCs w:val="21"/>
                <w:lang w:val="en-US" w:eastAsia="zh-CN"/>
              </w:rPr>
            </w:pPr>
            <w:r>
              <w:rPr>
                <w:rFonts w:hint="eastAsia" w:eastAsiaTheme="minorEastAsia"/>
                <w:color w:val="000000" w:themeColor="text1"/>
                <w:szCs w:val="21"/>
                <w:lang w:val="en-US" w:eastAsia="zh-CN"/>
              </w:rPr>
              <w:t>/</w:t>
            </w:r>
          </w:p>
        </w:tc>
        <w:tc>
          <w:tcPr>
            <w:tcW w:w="926"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0.11</w:t>
            </w:r>
          </w:p>
        </w:tc>
        <w:tc>
          <w:tcPr>
            <w:tcW w:w="978" w:type="dxa"/>
            <w:vAlign w:val="center"/>
          </w:tcPr>
          <w:p>
            <w:pPr>
              <w:jc w:val="center"/>
              <w:rPr>
                <w:kern w:val="0"/>
                <w:szCs w:val="21"/>
              </w:rPr>
            </w:pPr>
            <w:r>
              <w:rPr>
                <w:rFonts w:hint="eastAsia"/>
                <w:kern w:val="0"/>
                <w:szCs w:val="21"/>
                <w:lang w:val="en-US"/>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49" w:type="dxa"/>
            <w:vMerge w:val="continue"/>
            <w:vAlign w:val="center"/>
          </w:tcPr>
          <w:p>
            <w:pPr>
              <w:jc w:val="center"/>
              <w:rPr>
                <w:rFonts w:hAnsi="宋体"/>
                <w:b/>
              </w:rPr>
            </w:pPr>
          </w:p>
        </w:tc>
        <w:tc>
          <w:tcPr>
            <w:tcW w:w="1432" w:type="dxa"/>
            <w:vMerge w:val="continue"/>
            <w:vAlign w:val="center"/>
          </w:tcPr>
          <w:p>
            <w:pPr>
              <w:jc w:val="center"/>
              <w:rPr>
                <w:rFonts w:hAnsi="宋体"/>
                <w:b/>
              </w:rPr>
            </w:pPr>
          </w:p>
        </w:tc>
        <w:tc>
          <w:tcPr>
            <w:tcW w:w="1009" w:type="dxa"/>
            <w:vAlign w:val="center"/>
          </w:tcPr>
          <w:p>
            <w:pPr>
              <w:jc w:val="center"/>
              <w:rPr>
                <w:szCs w:val="21"/>
              </w:rPr>
            </w:pPr>
            <w:r>
              <w:rPr>
                <w:szCs w:val="21"/>
              </w:rPr>
              <w:t>颗粒物</w:t>
            </w:r>
          </w:p>
        </w:tc>
        <w:tc>
          <w:tcPr>
            <w:tcW w:w="1050" w:type="dxa"/>
            <w:gridSpan w:val="2"/>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83.6</w:t>
            </w:r>
          </w:p>
        </w:tc>
        <w:tc>
          <w:tcPr>
            <w:tcW w:w="1303" w:type="dxa"/>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w:t>
            </w:r>
          </w:p>
        </w:tc>
        <w:tc>
          <w:tcPr>
            <w:tcW w:w="797" w:type="dxa"/>
            <w:vMerge w:val="restar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3.99</w:t>
            </w:r>
          </w:p>
        </w:tc>
        <w:tc>
          <w:tcPr>
            <w:tcW w:w="1065" w:type="dxa"/>
            <w:vMerge w:val="restart"/>
            <w:vAlign w:val="center"/>
          </w:tcPr>
          <w:p>
            <w:pPr>
              <w:jc w:val="center"/>
              <w:rPr>
                <w:rFonts w:hint="default" w:eastAsia="宋体"/>
                <w:color w:val="000000" w:themeColor="text1"/>
                <w:szCs w:val="21"/>
                <w:lang w:val="en-US" w:eastAsia="zh-CN"/>
              </w:rPr>
            </w:pPr>
            <w:r>
              <w:rPr>
                <w:rFonts w:hint="eastAsia" w:eastAsiaTheme="minorEastAsia"/>
                <w:color w:val="000000" w:themeColor="text1"/>
                <w:szCs w:val="21"/>
                <w:lang w:val="en-US" w:eastAsia="zh-CN"/>
              </w:rPr>
              <w:t>0.047</w:t>
            </w:r>
          </w:p>
        </w:tc>
        <w:tc>
          <w:tcPr>
            <w:tcW w:w="926" w:type="dxa"/>
            <w:vMerge w:val="restart"/>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cs="Times New Roman" w:eastAsiaTheme="minorEastAsia"/>
                <w:color w:val="000000" w:themeColor="text1"/>
                <w:kern w:val="2"/>
                <w:sz w:val="21"/>
                <w:szCs w:val="21"/>
                <w:lang w:val="en-US" w:eastAsia="zh-CN" w:bidi="ar-SA"/>
              </w:rPr>
              <w:t>0.113</w:t>
            </w:r>
          </w:p>
        </w:tc>
        <w:tc>
          <w:tcPr>
            <w:tcW w:w="978" w:type="dxa"/>
            <w:vMerge w:val="restart"/>
            <w:vAlign w:val="center"/>
          </w:tcPr>
          <w:p>
            <w:pPr>
              <w:jc w:val="center"/>
              <w:rPr>
                <w:rFonts w:hAnsi="宋体"/>
              </w:rPr>
            </w:pPr>
            <w:r>
              <w:rPr>
                <w:kern w:val="0"/>
                <w:szCs w:val="21"/>
              </w:rPr>
              <w:t>15米排气筒</w:t>
            </w:r>
            <w:r>
              <w:rPr>
                <w:rFonts w:hint="eastAsia"/>
                <w:kern w:val="0"/>
                <w:szCs w:val="21"/>
                <w:lang w:val="en-US" w:eastAsia="zh-CN"/>
              </w:rPr>
              <w:t>DA001</w:t>
            </w:r>
            <w:r>
              <w:rPr>
                <w:rFonts w:hint="eastAsia"/>
                <w:kern w:val="0"/>
                <w:szCs w:val="21"/>
                <w:lang w:val="en-US"/>
              </w:rPr>
              <w:t>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continue"/>
            <w:vAlign w:val="center"/>
          </w:tcPr>
          <w:p>
            <w:pPr>
              <w:jc w:val="center"/>
              <w:rPr>
                <w:rFonts w:hAnsi="宋体"/>
                <w:b/>
              </w:rPr>
            </w:pPr>
          </w:p>
        </w:tc>
        <w:tc>
          <w:tcPr>
            <w:tcW w:w="1432" w:type="dxa"/>
            <w:vAlign w:val="center"/>
          </w:tcPr>
          <w:p>
            <w:pPr>
              <w:jc w:val="center"/>
              <w:rPr>
                <w:rFonts w:hAnsi="宋体"/>
                <w:b/>
              </w:rPr>
            </w:pPr>
            <w:r>
              <w:rPr>
                <w:rFonts w:hint="eastAsia"/>
                <w:szCs w:val="21"/>
                <w:lang w:val="en-US"/>
              </w:rPr>
              <w:t>喷雾干燥造粒工序</w:t>
            </w:r>
          </w:p>
        </w:tc>
        <w:tc>
          <w:tcPr>
            <w:tcW w:w="1009" w:type="dxa"/>
            <w:vAlign w:val="center"/>
          </w:tcPr>
          <w:p>
            <w:pPr>
              <w:jc w:val="center"/>
              <w:rPr>
                <w:szCs w:val="21"/>
                <w:lang w:val="en-US"/>
              </w:rPr>
            </w:pPr>
            <w:r>
              <w:rPr>
                <w:szCs w:val="21"/>
              </w:rPr>
              <w:t>颗粒物</w:t>
            </w:r>
          </w:p>
        </w:tc>
        <w:tc>
          <w:tcPr>
            <w:tcW w:w="1050"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160.41</w:t>
            </w:r>
          </w:p>
        </w:tc>
        <w:tc>
          <w:tcPr>
            <w:tcW w:w="1303"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2.31</w:t>
            </w:r>
          </w:p>
        </w:tc>
        <w:tc>
          <w:tcPr>
            <w:tcW w:w="797" w:type="dxa"/>
            <w:vMerge w:val="continue"/>
            <w:vAlign w:val="center"/>
          </w:tcPr>
          <w:p>
            <w:pPr>
              <w:jc w:val="center"/>
              <w:rPr>
                <w:rFonts w:hint="default" w:ascii="Times New Roman" w:hAnsi="Times New Roman" w:eastAsia="宋体" w:cs="Times New Roman"/>
                <w:color w:val="000000" w:themeColor="text1"/>
                <w:kern w:val="2"/>
                <w:sz w:val="21"/>
                <w:szCs w:val="21"/>
                <w:lang w:val="en-US" w:eastAsia="zh-CN" w:bidi="ar-SA"/>
              </w:rPr>
            </w:pPr>
          </w:p>
        </w:tc>
        <w:tc>
          <w:tcPr>
            <w:tcW w:w="1065" w:type="dxa"/>
            <w:vMerge w:val="continue"/>
            <w:vAlign w:val="center"/>
          </w:tcPr>
          <w:p>
            <w:pPr>
              <w:jc w:val="center"/>
              <w:rPr>
                <w:rFonts w:hint="default" w:eastAsiaTheme="minorEastAsia"/>
                <w:color w:val="000000" w:themeColor="text1"/>
                <w:szCs w:val="21"/>
                <w:lang w:val="en-US" w:eastAsia="zh-CN"/>
              </w:rPr>
            </w:pPr>
          </w:p>
        </w:tc>
        <w:tc>
          <w:tcPr>
            <w:tcW w:w="926" w:type="dxa"/>
            <w:vMerge w:val="continue"/>
            <w:vAlign w:val="center"/>
          </w:tcPr>
          <w:p>
            <w:pPr>
              <w:jc w:val="center"/>
              <w:rPr>
                <w:rFonts w:hint="default" w:ascii="Times New Roman" w:hAnsi="Times New Roman" w:eastAsia="宋体" w:cs="Times New Roman"/>
                <w:color w:val="000000" w:themeColor="text1"/>
                <w:kern w:val="2"/>
                <w:sz w:val="21"/>
                <w:szCs w:val="21"/>
                <w:lang w:val="en-US" w:eastAsia="zh-CN" w:bidi="ar-SA"/>
              </w:rPr>
            </w:pPr>
          </w:p>
        </w:tc>
        <w:tc>
          <w:tcPr>
            <w:tcW w:w="978"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9" w:type="dxa"/>
            <w:vMerge w:val="continue"/>
            <w:vAlign w:val="center"/>
          </w:tcPr>
          <w:p>
            <w:pPr>
              <w:jc w:val="center"/>
            </w:pPr>
          </w:p>
        </w:tc>
        <w:tc>
          <w:tcPr>
            <w:tcW w:w="1432" w:type="dxa"/>
            <w:vMerge w:val="restart"/>
            <w:vAlign w:val="center"/>
          </w:tcPr>
          <w:p>
            <w:pPr>
              <w:jc w:val="center"/>
              <w:rPr>
                <w:kern w:val="0"/>
                <w:szCs w:val="21"/>
                <w:lang w:val="en-US"/>
              </w:rPr>
            </w:pPr>
            <w:r>
              <w:rPr>
                <w:kern w:val="0"/>
                <w:szCs w:val="21"/>
                <w:lang w:val="en-US"/>
              </w:rPr>
              <w:t>天然气热风装置</w:t>
            </w:r>
          </w:p>
        </w:tc>
        <w:tc>
          <w:tcPr>
            <w:tcW w:w="1009" w:type="dxa"/>
            <w:vAlign w:val="center"/>
          </w:tcPr>
          <w:p>
            <w:pPr>
              <w:pStyle w:val="59"/>
              <w:adjustRightInd w:val="0"/>
              <w:snapToGrid w:val="0"/>
              <w:spacing w:after="0" w:line="240" w:lineRule="auto"/>
              <w:ind w:left="0"/>
              <w:jc w:val="center"/>
              <w:rPr>
                <w:rFonts w:ascii="宋体" w:hAnsi="宋体"/>
                <w:sz w:val="21"/>
                <w:szCs w:val="21"/>
              </w:rPr>
            </w:pPr>
            <w:r>
              <w:rPr>
                <w:rFonts w:hint="eastAsia" w:ascii="宋体" w:hAnsi="宋体"/>
                <w:sz w:val="21"/>
                <w:szCs w:val="21"/>
              </w:rPr>
              <w:t>颗粒物</w:t>
            </w:r>
          </w:p>
        </w:tc>
        <w:tc>
          <w:tcPr>
            <w:tcW w:w="1050"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17.65</w:t>
            </w:r>
          </w:p>
        </w:tc>
        <w:tc>
          <w:tcPr>
            <w:tcW w:w="1303"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0.096</w:t>
            </w:r>
          </w:p>
        </w:tc>
        <w:tc>
          <w:tcPr>
            <w:tcW w:w="797" w:type="dxa"/>
            <w:vMerge w:val="continue"/>
            <w:vAlign w:val="center"/>
          </w:tcPr>
          <w:p>
            <w:pPr>
              <w:jc w:val="center"/>
              <w:rPr>
                <w:rFonts w:hint="default" w:ascii="Times New Roman" w:hAnsi="Times New Roman" w:eastAsia="宋体" w:cs="Times New Roman"/>
                <w:color w:val="000000" w:themeColor="text1"/>
                <w:kern w:val="2"/>
                <w:sz w:val="21"/>
                <w:szCs w:val="21"/>
                <w:lang w:val="en-US" w:eastAsia="zh-CN" w:bidi="ar-SA"/>
              </w:rPr>
            </w:pPr>
          </w:p>
        </w:tc>
        <w:tc>
          <w:tcPr>
            <w:tcW w:w="1065" w:type="dxa"/>
            <w:vMerge w:val="continue"/>
            <w:vAlign w:val="center"/>
          </w:tcPr>
          <w:p>
            <w:pPr>
              <w:jc w:val="center"/>
              <w:rPr>
                <w:rFonts w:hint="default" w:eastAsia="宋体"/>
                <w:color w:val="000000" w:themeColor="text1"/>
                <w:szCs w:val="21"/>
                <w:lang w:val="en-US" w:eastAsia="zh-CN"/>
              </w:rPr>
            </w:pPr>
          </w:p>
        </w:tc>
        <w:tc>
          <w:tcPr>
            <w:tcW w:w="926" w:type="dxa"/>
            <w:vMerge w:val="continue"/>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p>
        </w:tc>
        <w:tc>
          <w:tcPr>
            <w:tcW w:w="978"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9" w:type="dxa"/>
            <w:vMerge w:val="continue"/>
            <w:vAlign w:val="center"/>
          </w:tcPr>
          <w:p>
            <w:pPr>
              <w:jc w:val="center"/>
            </w:pPr>
          </w:p>
        </w:tc>
        <w:tc>
          <w:tcPr>
            <w:tcW w:w="1432" w:type="dxa"/>
            <w:vMerge w:val="continue"/>
            <w:vAlign w:val="center"/>
          </w:tcPr>
          <w:p>
            <w:pPr>
              <w:jc w:val="center"/>
              <w:rPr>
                <w:kern w:val="0"/>
                <w:szCs w:val="21"/>
              </w:rPr>
            </w:pPr>
          </w:p>
        </w:tc>
        <w:tc>
          <w:tcPr>
            <w:tcW w:w="1009" w:type="dxa"/>
            <w:vAlign w:val="center"/>
          </w:tcPr>
          <w:p>
            <w:pPr>
              <w:pStyle w:val="59"/>
              <w:adjustRightInd w:val="0"/>
              <w:snapToGrid w:val="0"/>
              <w:spacing w:after="0" w:line="240" w:lineRule="auto"/>
              <w:ind w:left="0"/>
              <w:jc w:val="center"/>
              <w:rPr>
                <w:rFonts w:ascii="宋体" w:hAnsi="宋体"/>
                <w:kern w:val="0"/>
                <w:sz w:val="21"/>
                <w:szCs w:val="21"/>
              </w:rPr>
            </w:pPr>
            <w:r>
              <w:rPr>
                <w:sz w:val="21"/>
                <w:szCs w:val="21"/>
              </w:rPr>
              <w:t>NO</w:t>
            </w:r>
            <w:r>
              <w:rPr>
                <w:sz w:val="21"/>
                <w:szCs w:val="21"/>
                <w:vertAlign w:val="subscript"/>
              </w:rPr>
              <w:t>X</w:t>
            </w:r>
          </w:p>
        </w:tc>
        <w:tc>
          <w:tcPr>
            <w:tcW w:w="1050"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137.57</w:t>
            </w:r>
          </w:p>
        </w:tc>
        <w:tc>
          <w:tcPr>
            <w:tcW w:w="1303"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0.75</w:t>
            </w:r>
          </w:p>
        </w:tc>
        <w:tc>
          <w:tcPr>
            <w:tcW w:w="797"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137.57</w:t>
            </w:r>
          </w:p>
        </w:tc>
        <w:tc>
          <w:tcPr>
            <w:tcW w:w="1065"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0.1</w:t>
            </w:r>
          </w:p>
        </w:tc>
        <w:tc>
          <w:tcPr>
            <w:tcW w:w="926"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0.75</w:t>
            </w:r>
          </w:p>
        </w:tc>
        <w:tc>
          <w:tcPr>
            <w:tcW w:w="978"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9" w:type="dxa"/>
            <w:vMerge w:val="continue"/>
            <w:vAlign w:val="center"/>
          </w:tcPr>
          <w:p>
            <w:pPr>
              <w:jc w:val="center"/>
            </w:pPr>
          </w:p>
        </w:tc>
        <w:tc>
          <w:tcPr>
            <w:tcW w:w="1432" w:type="dxa"/>
            <w:vMerge w:val="continue"/>
            <w:vAlign w:val="center"/>
          </w:tcPr>
          <w:p>
            <w:pPr>
              <w:jc w:val="center"/>
              <w:rPr>
                <w:kern w:val="0"/>
                <w:szCs w:val="21"/>
              </w:rPr>
            </w:pPr>
          </w:p>
        </w:tc>
        <w:tc>
          <w:tcPr>
            <w:tcW w:w="1009" w:type="dxa"/>
            <w:vAlign w:val="center"/>
          </w:tcPr>
          <w:p>
            <w:pPr>
              <w:pStyle w:val="59"/>
              <w:adjustRightInd w:val="0"/>
              <w:snapToGrid w:val="0"/>
              <w:spacing w:after="0" w:line="240" w:lineRule="auto"/>
              <w:ind w:left="0"/>
              <w:jc w:val="center"/>
              <w:rPr>
                <w:rFonts w:ascii="宋体" w:hAnsi="宋体"/>
                <w:kern w:val="0"/>
                <w:sz w:val="21"/>
                <w:szCs w:val="21"/>
              </w:rPr>
            </w:pPr>
            <w:r>
              <w:rPr>
                <w:sz w:val="21"/>
                <w:szCs w:val="21"/>
              </w:rPr>
              <w:t>SO</w:t>
            </w:r>
            <w:r>
              <w:rPr>
                <w:sz w:val="21"/>
                <w:szCs w:val="21"/>
                <w:vertAlign w:val="subscript"/>
              </w:rPr>
              <w:t>2</w:t>
            </w:r>
          </w:p>
        </w:tc>
        <w:tc>
          <w:tcPr>
            <w:tcW w:w="1050" w:type="dxa"/>
            <w:gridSpan w:val="2"/>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29.41</w:t>
            </w:r>
          </w:p>
        </w:tc>
        <w:tc>
          <w:tcPr>
            <w:tcW w:w="1303"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0.16</w:t>
            </w:r>
          </w:p>
        </w:tc>
        <w:tc>
          <w:tcPr>
            <w:tcW w:w="797" w:type="dxa"/>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29.41</w:t>
            </w:r>
          </w:p>
        </w:tc>
        <w:tc>
          <w:tcPr>
            <w:tcW w:w="1065"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0.0022</w:t>
            </w:r>
          </w:p>
        </w:tc>
        <w:tc>
          <w:tcPr>
            <w:tcW w:w="926"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0.16</w:t>
            </w:r>
          </w:p>
        </w:tc>
        <w:tc>
          <w:tcPr>
            <w:tcW w:w="978"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restart"/>
            <w:vAlign w:val="center"/>
          </w:tcPr>
          <w:p>
            <w:pPr>
              <w:jc w:val="center"/>
            </w:pPr>
            <w:r>
              <w:rPr>
                <w:rFonts w:hAnsi="宋体"/>
              </w:rPr>
              <w:t>水</w:t>
            </w:r>
          </w:p>
          <w:p>
            <w:pPr>
              <w:jc w:val="center"/>
            </w:pPr>
            <w:r>
              <w:rPr>
                <w:rFonts w:hAnsi="宋体"/>
              </w:rPr>
              <w:t>污</w:t>
            </w:r>
          </w:p>
          <w:p>
            <w:pPr>
              <w:jc w:val="center"/>
            </w:pPr>
            <w:r>
              <w:rPr>
                <w:rFonts w:hAnsi="宋体"/>
              </w:rPr>
              <w:t>染</w:t>
            </w:r>
          </w:p>
          <w:p>
            <w:pPr>
              <w:jc w:val="center"/>
            </w:pPr>
            <w:r>
              <w:rPr>
                <w:rFonts w:hAnsi="宋体"/>
              </w:rPr>
              <w:t>物</w:t>
            </w:r>
          </w:p>
        </w:tc>
        <w:tc>
          <w:tcPr>
            <w:tcW w:w="1432" w:type="dxa"/>
            <w:vAlign w:val="center"/>
          </w:tcPr>
          <w:p>
            <w:pPr>
              <w:jc w:val="center"/>
              <w:rPr>
                <w:b/>
              </w:rPr>
            </w:pPr>
            <w:r>
              <w:rPr>
                <w:rFonts w:hAnsi="宋体"/>
                <w:b/>
              </w:rPr>
              <w:t>排放源</w:t>
            </w:r>
          </w:p>
        </w:tc>
        <w:tc>
          <w:tcPr>
            <w:tcW w:w="1009" w:type="dxa"/>
            <w:vAlign w:val="center"/>
          </w:tcPr>
          <w:p>
            <w:pPr>
              <w:jc w:val="center"/>
              <w:rPr>
                <w:b/>
              </w:rPr>
            </w:pPr>
            <w:r>
              <w:rPr>
                <w:rFonts w:hAnsi="宋体"/>
                <w:b/>
              </w:rPr>
              <w:t>污染物名称</w:t>
            </w:r>
          </w:p>
        </w:tc>
        <w:tc>
          <w:tcPr>
            <w:tcW w:w="1050" w:type="dxa"/>
            <w:gridSpan w:val="2"/>
            <w:vAlign w:val="center"/>
          </w:tcPr>
          <w:p>
            <w:pPr>
              <w:jc w:val="center"/>
              <w:rPr>
                <w:b/>
              </w:rPr>
            </w:pPr>
            <w:r>
              <w:rPr>
                <w:rFonts w:hAnsi="宋体"/>
                <w:b/>
              </w:rPr>
              <w:t>废水量</w:t>
            </w:r>
            <w:r>
              <w:rPr>
                <w:b/>
              </w:rPr>
              <w:t>t/a</w:t>
            </w:r>
          </w:p>
        </w:tc>
        <w:tc>
          <w:tcPr>
            <w:tcW w:w="1303" w:type="dxa"/>
            <w:vAlign w:val="center"/>
          </w:tcPr>
          <w:p>
            <w:pPr>
              <w:jc w:val="center"/>
              <w:rPr>
                <w:rFonts w:hAnsi="宋体"/>
                <w:b/>
              </w:rPr>
            </w:pPr>
            <w:r>
              <w:rPr>
                <w:rFonts w:hAnsi="宋体"/>
                <w:b/>
              </w:rPr>
              <w:t>产生</w:t>
            </w:r>
          </w:p>
          <w:p>
            <w:pPr>
              <w:jc w:val="center"/>
              <w:rPr>
                <w:b/>
              </w:rPr>
            </w:pPr>
            <w:r>
              <w:rPr>
                <w:rFonts w:hAnsi="宋体"/>
                <w:b/>
              </w:rPr>
              <w:t>浓度</w:t>
            </w:r>
            <w:r>
              <w:rPr>
                <w:b/>
                <w:kern w:val="0"/>
                <w:szCs w:val="21"/>
              </w:rPr>
              <w:t>mg/L</w:t>
            </w:r>
          </w:p>
        </w:tc>
        <w:tc>
          <w:tcPr>
            <w:tcW w:w="797" w:type="dxa"/>
            <w:vAlign w:val="center"/>
          </w:tcPr>
          <w:p>
            <w:pPr>
              <w:jc w:val="center"/>
              <w:rPr>
                <w:b/>
              </w:rPr>
            </w:pPr>
            <w:r>
              <w:rPr>
                <w:rFonts w:hAnsi="宋体"/>
                <w:b/>
              </w:rPr>
              <w:t>产生量</w:t>
            </w:r>
            <w:r>
              <w:rPr>
                <w:b/>
                <w:kern w:val="0"/>
                <w:szCs w:val="21"/>
              </w:rPr>
              <w:t>t/a</w:t>
            </w:r>
          </w:p>
        </w:tc>
        <w:tc>
          <w:tcPr>
            <w:tcW w:w="1065" w:type="dxa"/>
            <w:vAlign w:val="center"/>
          </w:tcPr>
          <w:p>
            <w:pPr>
              <w:jc w:val="center"/>
              <w:rPr>
                <w:b/>
              </w:rPr>
            </w:pPr>
            <w:r>
              <w:rPr>
                <w:rFonts w:hAnsi="宋体"/>
                <w:b/>
              </w:rPr>
              <w:t>排放浓度</w:t>
            </w:r>
            <w:r>
              <w:rPr>
                <w:b/>
                <w:kern w:val="0"/>
                <w:szCs w:val="21"/>
              </w:rPr>
              <w:t>mg/L</w:t>
            </w:r>
          </w:p>
        </w:tc>
        <w:tc>
          <w:tcPr>
            <w:tcW w:w="926" w:type="dxa"/>
            <w:vAlign w:val="center"/>
          </w:tcPr>
          <w:p>
            <w:pPr>
              <w:jc w:val="center"/>
              <w:rPr>
                <w:b/>
              </w:rPr>
            </w:pPr>
            <w:r>
              <w:rPr>
                <w:rFonts w:hAnsi="宋体"/>
                <w:b/>
              </w:rPr>
              <w:t>排放量</w:t>
            </w:r>
            <w:r>
              <w:rPr>
                <w:b/>
                <w:kern w:val="0"/>
                <w:szCs w:val="21"/>
              </w:rPr>
              <w:t>t/a</w:t>
            </w:r>
          </w:p>
        </w:tc>
        <w:tc>
          <w:tcPr>
            <w:tcW w:w="978" w:type="dxa"/>
            <w:vAlign w:val="center"/>
          </w:tcPr>
          <w:p>
            <w:pPr>
              <w:jc w:val="center"/>
              <w:rPr>
                <w:b/>
              </w:rPr>
            </w:pPr>
            <w:r>
              <w:rPr>
                <w:rFonts w:hAnsi="宋体"/>
                <w:b/>
              </w:rPr>
              <w:t>排放</w:t>
            </w:r>
          </w:p>
          <w:p>
            <w:pPr>
              <w:jc w:val="center"/>
              <w:rPr>
                <w:b/>
              </w:rPr>
            </w:pPr>
            <w:r>
              <w:rPr>
                <w:rFonts w:hAnsi="宋体"/>
                <w:b/>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9" w:type="dxa"/>
            <w:vMerge w:val="continue"/>
            <w:vAlign w:val="center"/>
          </w:tcPr>
          <w:p>
            <w:pPr>
              <w:jc w:val="center"/>
            </w:pPr>
          </w:p>
        </w:tc>
        <w:tc>
          <w:tcPr>
            <w:tcW w:w="1432" w:type="dxa"/>
            <w:vMerge w:val="restart"/>
            <w:vAlign w:val="center"/>
          </w:tcPr>
          <w:p>
            <w:pPr>
              <w:jc w:val="center"/>
            </w:pPr>
            <w:r>
              <w:rPr>
                <w:rFonts w:hAnsi="宋体"/>
              </w:rPr>
              <w:t>生活</w:t>
            </w:r>
          </w:p>
          <w:p>
            <w:pPr>
              <w:jc w:val="center"/>
            </w:pPr>
            <w:r>
              <w:rPr>
                <w:rFonts w:hint="eastAsia" w:hAnsi="宋体"/>
              </w:rPr>
              <w:t>污水</w:t>
            </w:r>
          </w:p>
        </w:tc>
        <w:tc>
          <w:tcPr>
            <w:tcW w:w="1009" w:type="dxa"/>
            <w:vAlign w:val="center"/>
          </w:tcPr>
          <w:p>
            <w:pPr>
              <w:jc w:val="center"/>
              <w:rPr>
                <w:kern w:val="0"/>
                <w:szCs w:val="21"/>
              </w:rPr>
            </w:pPr>
            <w:r>
              <w:rPr>
                <w:kern w:val="0"/>
                <w:szCs w:val="21"/>
              </w:rPr>
              <w:t>COD</w:t>
            </w:r>
          </w:p>
        </w:tc>
        <w:tc>
          <w:tcPr>
            <w:tcW w:w="1050" w:type="dxa"/>
            <w:gridSpan w:val="2"/>
            <w:vMerge w:val="restart"/>
            <w:vAlign w:val="center"/>
          </w:tcPr>
          <w:p>
            <w:pPr>
              <w:jc w:val="center"/>
            </w:pPr>
            <w:r>
              <w:rPr>
                <w:rFonts w:hint="eastAsia"/>
                <w:color w:val="000000"/>
                <w:lang w:val="en-US" w:eastAsia="zh-CN"/>
              </w:rPr>
              <w:t>99.84</w:t>
            </w:r>
          </w:p>
        </w:tc>
        <w:tc>
          <w:tcPr>
            <w:tcW w:w="1303" w:type="dxa"/>
            <w:vAlign w:val="center"/>
          </w:tcPr>
          <w:p>
            <w:pPr>
              <w:jc w:val="center"/>
            </w:pPr>
            <w:r>
              <w:rPr>
                <w:rFonts w:hint="eastAsia"/>
              </w:rPr>
              <w:t>350</w:t>
            </w:r>
          </w:p>
        </w:tc>
        <w:tc>
          <w:tcPr>
            <w:tcW w:w="79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0.035</w:t>
            </w:r>
          </w:p>
        </w:tc>
        <w:tc>
          <w:tcPr>
            <w:tcW w:w="1065" w:type="dxa"/>
            <w:vAlign w:val="center"/>
          </w:tcPr>
          <w:p>
            <w:pPr>
              <w:jc w:val="center"/>
            </w:pPr>
            <w:r>
              <w:rPr>
                <w:rFonts w:hint="eastAsia"/>
              </w:rPr>
              <w:t>50</w:t>
            </w:r>
          </w:p>
        </w:tc>
        <w:tc>
          <w:tcPr>
            <w:tcW w:w="92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0.005</w:t>
            </w:r>
          </w:p>
        </w:tc>
        <w:tc>
          <w:tcPr>
            <w:tcW w:w="978" w:type="dxa"/>
            <w:vMerge w:val="restart"/>
            <w:vAlign w:val="center"/>
          </w:tcPr>
          <w:p>
            <w:pPr>
              <w:jc w:val="center"/>
            </w:pPr>
            <w:r>
              <w:rPr>
                <w:rFonts w:hint="eastAsia" w:hAnsi="宋体"/>
                <w:lang w:val="en-US"/>
              </w:rPr>
              <w:t>经化粪池预处理后</w:t>
            </w:r>
            <w:r>
              <w:rPr>
                <w:rFonts w:hint="eastAsia" w:hAnsi="宋体"/>
              </w:rPr>
              <w:t>接入</w:t>
            </w:r>
            <w:r>
              <w:rPr>
                <w:kern w:val="0"/>
                <w:szCs w:val="21"/>
              </w:rPr>
              <w:t>宜兴市华骐污水处理有限公司</w:t>
            </w:r>
            <w:r>
              <w:rPr>
                <w:rFonts w:hAnsi="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9" w:type="dxa"/>
            <w:vMerge w:val="continue"/>
            <w:vAlign w:val="center"/>
          </w:tcPr>
          <w:p>
            <w:pPr>
              <w:jc w:val="center"/>
            </w:pPr>
          </w:p>
        </w:tc>
        <w:tc>
          <w:tcPr>
            <w:tcW w:w="1432" w:type="dxa"/>
            <w:vMerge w:val="continue"/>
            <w:vAlign w:val="center"/>
          </w:tcPr>
          <w:p>
            <w:pPr>
              <w:jc w:val="center"/>
            </w:pPr>
          </w:p>
        </w:tc>
        <w:tc>
          <w:tcPr>
            <w:tcW w:w="1009" w:type="dxa"/>
            <w:vAlign w:val="center"/>
          </w:tcPr>
          <w:p>
            <w:pPr>
              <w:jc w:val="center"/>
              <w:rPr>
                <w:kern w:val="0"/>
                <w:szCs w:val="21"/>
              </w:rPr>
            </w:pPr>
            <w:r>
              <w:rPr>
                <w:kern w:val="0"/>
                <w:szCs w:val="21"/>
              </w:rPr>
              <w:t>SS</w:t>
            </w:r>
          </w:p>
        </w:tc>
        <w:tc>
          <w:tcPr>
            <w:tcW w:w="1050" w:type="dxa"/>
            <w:gridSpan w:val="2"/>
            <w:vMerge w:val="continue"/>
            <w:vAlign w:val="center"/>
          </w:tcPr>
          <w:p>
            <w:pPr>
              <w:jc w:val="center"/>
            </w:pPr>
          </w:p>
        </w:tc>
        <w:tc>
          <w:tcPr>
            <w:tcW w:w="1303" w:type="dxa"/>
            <w:vAlign w:val="center"/>
          </w:tcPr>
          <w:p>
            <w:pPr>
              <w:jc w:val="center"/>
            </w:pPr>
            <w:r>
              <w:rPr>
                <w:rFonts w:hint="eastAsia"/>
              </w:rPr>
              <w:t>200</w:t>
            </w:r>
          </w:p>
        </w:tc>
        <w:tc>
          <w:tcPr>
            <w:tcW w:w="79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0.020</w:t>
            </w:r>
          </w:p>
        </w:tc>
        <w:tc>
          <w:tcPr>
            <w:tcW w:w="1065" w:type="dxa"/>
            <w:vAlign w:val="center"/>
          </w:tcPr>
          <w:p>
            <w:pPr>
              <w:jc w:val="center"/>
            </w:pPr>
            <w:r>
              <w:rPr>
                <w:rFonts w:hint="eastAsia"/>
              </w:rPr>
              <w:t>10</w:t>
            </w:r>
          </w:p>
        </w:tc>
        <w:tc>
          <w:tcPr>
            <w:tcW w:w="92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0.001</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49" w:type="dxa"/>
            <w:vMerge w:val="continue"/>
            <w:vAlign w:val="center"/>
          </w:tcPr>
          <w:p>
            <w:pPr>
              <w:jc w:val="center"/>
            </w:pPr>
          </w:p>
        </w:tc>
        <w:tc>
          <w:tcPr>
            <w:tcW w:w="1432" w:type="dxa"/>
            <w:vMerge w:val="continue"/>
            <w:vAlign w:val="center"/>
          </w:tcPr>
          <w:p>
            <w:pPr>
              <w:jc w:val="center"/>
            </w:pPr>
          </w:p>
        </w:tc>
        <w:tc>
          <w:tcPr>
            <w:tcW w:w="1009" w:type="dxa"/>
            <w:vAlign w:val="center"/>
          </w:tcPr>
          <w:p>
            <w:pPr>
              <w:jc w:val="center"/>
              <w:rPr>
                <w:kern w:val="0"/>
                <w:szCs w:val="21"/>
              </w:rPr>
            </w:pPr>
            <w:r>
              <w:rPr>
                <w:kern w:val="0"/>
                <w:szCs w:val="21"/>
              </w:rPr>
              <w:t>NH</w:t>
            </w:r>
            <w:r>
              <w:rPr>
                <w:kern w:val="0"/>
                <w:szCs w:val="21"/>
                <w:vertAlign w:val="subscript"/>
              </w:rPr>
              <w:t>3</w:t>
            </w:r>
            <w:r>
              <w:rPr>
                <w:kern w:val="0"/>
                <w:szCs w:val="21"/>
              </w:rPr>
              <w:t>-N</w:t>
            </w:r>
          </w:p>
        </w:tc>
        <w:tc>
          <w:tcPr>
            <w:tcW w:w="1050" w:type="dxa"/>
            <w:gridSpan w:val="2"/>
            <w:vMerge w:val="continue"/>
            <w:vAlign w:val="center"/>
          </w:tcPr>
          <w:p>
            <w:pPr>
              <w:jc w:val="center"/>
            </w:pPr>
          </w:p>
        </w:tc>
        <w:tc>
          <w:tcPr>
            <w:tcW w:w="1303" w:type="dxa"/>
            <w:vAlign w:val="center"/>
          </w:tcPr>
          <w:p>
            <w:pPr>
              <w:jc w:val="center"/>
            </w:pPr>
            <w:r>
              <w:rPr>
                <w:rFonts w:hint="eastAsia"/>
              </w:rPr>
              <w:t>35</w:t>
            </w:r>
          </w:p>
        </w:tc>
        <w:tc>
          <w:tcPr>
            <w:tcW w:w="79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0.0035</w:t>
            </w:r>
          </w:p>
        </w:tc>
        <w:tc>
          <w:tcPr>
            <w:tcW w:w="1065" w:type="dxa"/>
            <w:vAlign w:val="center"/>
          </w:tcPr>
          <w:p>
            <w:pPr>
              <w:jc w:val="center"/>
            </w:pPr>
            <w:r>
              <w:rPr>
                <w:rFonts w:hint="eastAsia"/>
              </w:rPr>
              <w:t>5</w:t>
            </w:r>
          </w:p>
        </w:tc>
        <w:tc>
          <w:tcPr>
            <w:tcW w:w="92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0.0005</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49" w:type="dxa"/>
            <w:vMerge w:val="continue"/>
            <w:vAlign w:val="center"/>
          </w:tcPr>
          <w:p>
            <w:pPr>
              <w:jc w:val="center"/>
            </w:pPr>
          </w:p>
        </w:tc>
        <w:tc>
          <w:tcPr>
            <w:tcW w:w="1432" w:type="dxa"/>
            <w:vMerge w:val="continue"/>
            <w:vAlign w:val="center"/>
          </w:tcPr>
          <w:p>
            <w:pPr>
              <w:jc w:val="center"/>
            </w:pPr>
          </w:p>
        </w:tc>
        <w:tc>
          <w:tcPr>
            <w:tcW w:w="1009" w:type="dxa"/>
            <w:vAlign w:val="center"/>
          </w:tcPr>
          <w:p>
            <w:pPr>
              <w:jc w:val="center"/>
              <w:rPr>
                <w:kern w:val="0"/>
                <w:szCs w:val="21"/>
              </w:rPr>
            </w:pPr>
            <w:r>
              <w:rPr>
                <w:rFonts w:hint="eastAsia"/>
                <w:kern w:val="0"/>
                <w:szCs w:val="21"/>
              </w:rPr>
              <w:t>TP</w:t>
            </w:r>
          </w:p>
        </w:tc>
        <w:tc>
          <w:tcPr>
            <w:tcW w:w="1050" w:type="dxa"/>
            <w:gridSpan w:val="2"/>
            <w:vMerge w:val="continue"/>
            <w:vAlign w:val="center"/>
          </w:tcPr>
          <w:p>
            <w:pPr>
              <w:jc w:val="center"/>
            </w:pPr>
          </w:p>
        </w:tc>
        <w:tc>
          <w:tcPr>
            <w:tcW w:w="1303" w:type="dxa"/>
            <w:vAlign w:val="center"/>
          </w:tcPr>
          <w:p>
            <w:pPr>
              <w:jc w:val="center"/>
            </w:pPr>
            <w:r>
              <w:rPr>
                <w:rFonts w:hint="eastAsia"/>
              </w:rPr>
              <w:t>5</w:t>
            </w:r>
          </w:p>
        </w:tc>
        <w:tc>
          <w:tcPr>
            <w:tcW w:w="79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0.0005</w:t>
            </w:r>
          </w:p>
        </w:tc>
        <w:tc>
          <w:tcPr>
            <w:tcW w:w="1065" w:type="dxa"/>
            <w:vAlign w:val="center"/>
          </w:tcPr>
          <w:p>
            <w:pPr>
              <w:jc w:val="center"/>
            </w:pPr>
            <w:r>
              <w:rPr>
                <w:rFonts w:hint="eastAsia"/>
              </w:rPr>
              <w:t>0.5</w:t>
            </w:r>
          </w:p>
        </w:tc>
        <w:tc>
          <w:tcPr>
            <w:tcW w:w="92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0.00005</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49" w:type="dxa"/>
            <w:vMerge w:val="continue"/>
            <w:vAlign w:val="center"/>
          </w:tcPr>
          <w:p>
            <w:pPr>
              <w:jc w:val="center"/>
            </w:pPr>
          </w:p>
        </w:tc>
        <w:tc>
          <w:tcPr>
            <w:tcW w:w="1432" w:type="dxa"/>
            <w:vMerge w:val="continue"/>
            <w:vAlign w:val="center"/>
          </w:tcPr>
          <w:p>
            <w:pPr>
              <w:jc w:val="center"/>
            </w:pPr>
          </w:p>
        </w:tc>
        <w:tc>
          <w:tcPr>
            <w:tcW w:w="1009" w:type="dxa"/>
            <w:vAlign w:val="center"/>
          </w:tcPr>
          <w:p>
            <w:pPr>
              <w:jc w:val="center"/>
              <w:rPr>
                <w:kern w:val="0"/>
                <w:szCs w:val="21"/>
              </w:rPr>
            </w:pPr>
            <w:r>
              <w:rPr>
                <w:rFonts w:hint="eastAsia"/>
                <w:kern w:val="0"/>
                <w:szCs w:val="21"/>
              </w:rPr>
              <w:t>TN</w:t>
            </w:r>
          </w:p>
        </w:tc>
        <w:tc>
          <w:tcPr>
            <w:tcW w:w="1050" w:type="dxa"/>
            <w:gridSpan w:val="2"/>
            <w:vMerge w:val="continue"/>
            <w:vAlign w:val="center"/>
          </w:tcPr>
          <w:p>
            <w:pPr>
              <w:jc w:val="center"/>
            </w:pPr>
          </w:p>
        </w:tc>
        <w:tc>
          <w:tcPr>
            <w:tcW w:w="1303" w:type="dxa"/>
            <w:vAlign w:val="center"/>
          </w:tcPr>
          <w:p>
            <w:pPr>
              <w:jc w:val="center"/>
            </w:pPr>
            <w:r>
              <w:rPr>
                <w:rFonts w:hint="eastAsia"/>
              </w:rPr>
              <w:t>45</w:t>
            </w:r>
          </w:p>
        </w:tc>
        <w:tc>
          <w:tcPr>
            <w:tcW w:w="79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0.0045</w:t>
            </w:r>
          </w:p>
        </w:tc>
        <w:tc>
          <w:tcPr>
            <w:tcW w:w="1065" w:type="dxa"/>
            <w:vAlign w:val="center"/>
          </w:tcPr>
          <w:p>
            <w:pPr>
              <w:jc w:val="center"/>
            </w:pPr>
            <w:r>
              <w:rPr>
                <w:rFonts w:hint="eastAsia"/>
              </w:rPr>
              <w:t>15</w:t>
            </w:r>
          </w:p>
        </w:tc>
        <w:tc>
          <w:tcPr>
            <w:tcW w:w="92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0.0015</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49" w:type="dxa"/>
            <w:vMerge w:val="restart"/>
            <w:vAlign w:val="center"/>
          </w:tcPr>
          <w:p>
            <w:pPr>
              <w:jc w:val="center"/>
            </w:pPr>
            <w:r>
              <w:rPr>
                <w:rFonts w:hAnsi="宋体"/>
              </w:rPr>
              <w:t>固</w:t>
            </w:r>
          </w:p>
          <w:p>
            <w:pPr>
              <w:jc w:val="center"/>
            </w:pPr>
            <w:r>
              <w:rPr>
                <w:rFonts w:hAnsi="宋体"/>
              </w:rPr>
              <w:t>体</w:t>
            </w:r>
          </w:p>
          <w:p>
            <w:pPr>
              <w:jc w:val="center"/>
            </w:pPr>
            <w:r>
              <w:rPr>
                <w:rFonts w:hAnsi="宋体"/>
              </w:rPr>
              <w:t>废</w:t>
            </w:r>
          </w:p>
          <w:p>
            <w:pPr>
              <w:jc w:val="center"/>
            </w:pPr>
            <w:r>
              <w:rPr>
                <w:rFonts w:hAnsi="宋体"/>
              </w:rPr>
              <w:t>物</w:t>
            </w:r>
          </w:p>
        </w:tc>
        <w:tc>
          <w:tcPr>
            <w:tcW w:w="2441" w:type="dxa"/>
            <w:gridSpan w:val="2"/>
            <w:vAlign w:val="center"/>
          </w:tcPr>
          <w:p>
            <w:pPr>
              <w:jc w:val="center"/>
              <w:rPr>
                <w:b/>
              </w:rPr>
            </w:pPr>
            <w:r>
              <w:rPr>
                <w:rFonts w:hAnsi="宋体"/>
                <w:b/>
              </w:rPr>
              <w:t>污染物名称</w:t>
            </w:r>
          </w:p>
        </w:tc>
        <w:tc>
          <w:tcPr>
            <w:tcW w:w="1050" w:type="dxa"/>
            <w:gridSpan w:val="2"/>
            <w:vAlign w:val="center"/>
          </w:tcPr>
          <w:p>
            <w:pPr>
              <w:jc w:val="center"/>
              <w:rPr>
                <w:b/>
              </w:rPr>
            </w:pPr>
            <w:r>
              <w:rPr>
                <w:rFonts w:hAnsi="宋体"/>
                <w:b/>
              </w:rPr>
              <w:t>产生量</w:t>
            </w:r>
            <w:r>
              <w:rPr>
                <w:b/>
              </w:rPr>
              <w:t>t/a</w:t>
            </w:r>
          </w:p>
        </w:tc>
        <w:tc>
          <w:tcPr>
            <w:tcW w:w="1303" w:type="dxa"/>
            <w:vAlign w:val="center"/>
          </w:tcPr>
          <w:p>
            <w:pPr>
              <w:jc w:val="center"/>
              <w:rPr>
                <w:b/>
              </w:rPr>
            </w:pPr>
            <w:r>
              <w:rPr>
                <w:rFonts w:hAnsi="宋体"/>
                <w:b/>
              </w:rPr>
              <w:t>处理处置量</w:t>
            </w:r>
            <w:r>
              <w:rPr>
                <w:b/>
              </w:rPr>
              <w:t>t/a</w:t>
            </w:r>
          </w:p>
        </w:tc>
        <w:tc>
          <w:tcPr>
            <w:tcW w:w="797" w:type="dxa"/>
            <w:vAlign w:val="center"/>
          </w:tcPr>
          <w:p>
            <w:pPr>
              <w:jc w:val="center"/>
              <w:rPr>
                <w:b/>
              </w:rPr>
            </w:pPr>
            <w:r>
              <w:rPr>
                <w:rFonts w:hAnsi="宋体"/>
                <w:b/>
              </w:rPr>
              <w:t>综合利用量</w:t>
            </w:r>
            <w:r>
              <w:rPr>
                <w:b/>
              </w:rPr>
              <w:t>t/a</w:t>
            </w:r>
          </w:p>
        </w:tc>
        <w:tc>
          <w:tcPr>
            <w:tcW w:w="1065" w:type="dxa"/>
            <w:vAlign w:val="center"/>
          </w:tcPr>
          <w:p>
            <w:pPr>
              <w:jc w:val="center"/>
              <w:rPr>
                <w:b/>
              </w:rPr>
            </w:pPr>
            <w:r>
              <w:rPr>
                <w:rFonts w:hAnsi="宋体"/>
                <w:b/>
              </w:rPr>
              <w:t>外排量</w:t>
            </w:r>
            <w:r>
              <w:rPr>
                <w:b/>
              </w:rPr>
              <w:t>t/a</w:t>
            </w:r>
          </w:p>
        </w:tc>
        <w:tc>
          <w:tcPr>
            <w:tcW w:w="1904" w:type="dxa"/>
            <w:gridSpan w:val="2"/>
            <w:vAlign w:val="center"/>
          </w:tcPr>
          <w:p>
            <w:pPr>
              <w:jc w:val="center"/>
              <w:rPr>
                <w:b/>
              </w:rPr>
            </w:pPr>
            <w:r>
              <w:rPr>
                <w:rFonts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49" w:type="dxa"/>
            <w:vMerge w:val="continue"/>
            <w:vAlign w:val="center"/>
          </w:tcPr>
          <w:p>
            <w:pPr>
              <w:jc w:val="center"/>
            </w:pPr>
          </w:p>
        </w:tc>
        <w:tc>
          <w:tcPr>
            <w:tcW w:w="2451" w:type="dxa"/>
            <w:gridSpan w:val="3"/>
            <w:vAlign w:val="center"/>
          </w:tcPr>
          <w:p>
            <w:pPr>
              <w:jc w:val="center"/>
              <w:rPr>
                <w:szCs w:val="21"/>
              </w:rPr>
            </w:pPr>
            <w:r>
              <w:rPr>
                <w:rFonts w:hint="eastAsia"/>
                <w:szCs w:val="21"/>
              </w:rPr>
              <w:t>次品</w:t>
            </w:r>
          </w:p>
        </w:tc>
        <w:tc>
          <w:tcPr>
            <w:tcW w:w="1040" w:type="dxa"/>
            <w:vAlign w:val="center"/>
          </w:tcPr>
          <w:p>
            <w:pPr>
              <w:jc w:val="center"/>
              <w:rPr>
                <w:rFonts w:hint="default" w:eastAsia="宋体"/>
                <w:szCs w:val="21"/>
                <w:lang w:val="en-US" w:eastAsia="zh-CN"/>
              </w:rPr>
            </w:pPr>
            <w:r>
              <w:rPr>
                <w:rFonts w:hint="eastAsia"/>
                <w:szCs w:val="21"/>
                <w:lang w:val="en-US" w:eastAsia="zh-CN"/>
              </w:rPr>
              <w:t>10</w:t>
            </w:r>
          </w:p>
        </w:tc>
        <w:tc>
          <w:tcPr>
            <w:tcW w:w="1303" w:type="dxa"/>
            <w:vAlign w:val="center"/>
          </w:tcPr>
          <w:p>
            <w:pPr>
              <w:jc w:val="center"/>
              <w:rPr>
                <w:rFonts w:hint="default" w:eastAsia="宋体"/>
                <w:szCs w:val="21"/>
                <w:lang w:val="en-US" w:eastAsia="zh-CN"/>
              </w:rPr>
            </w:pPr>
            <w:r>
              <w:rPr>
                <w:rFonts w:hint="eastAsia"/>
                <w:szCs w:val="21"/>
                <w:lang w:val="en-US" w:eastAsia="zh-CN"/>
              </w:rPr>
              <w:t>10</w:t>
            </w:r>
          </w:p>
        </w:tc>
        <w:tc>
          <w:tcPr>
            <w:tcW w:w="797" w:type="dxa"/>
            <w:vAlign w:val="center"/>
          </w:tcPr>
          <w:p>
            <w:pPr>
              <w:jc w:val="center"/>
            </w:pPr>
            <w:r>
              <w:rPr>
                <w:rFonts w:hint="eastAsia"/>
                <w:lang w:val="en-US"/>
              </w:rPr>
              <w:t>/</w:t>
            </w:r>
          </w:p>
        </w:tc>
        <w:tc>
          <w:tcPr>
            <w:tcW w:w="1065" w:type="dxa"/>
            <w:vAlign w:val="center"/>
          </w:tcPr>
          <w:p>
            <w:pPr>
              <w:jc w:val="center"/>
            </w:pPr>
            <w:r>
              <w:rPr>
                <w:rFonts w:hint="eastAsia"/>
                <w:lang w:val="en-US"/>
              </w:rPr>
              <w:t>/</w:t>
            </w:r>
          </w:p>
        </w:tc>
        <w:tc>
          <w:tcPr>
            <w:tcW w:w="1904" w:type="dxa"/>
            <w:gridSpan w:val="2"/>
            <w:vAlign w:val="center"/>
          </w:tcPr>
          <w:p>
            <w:pPr>
              <w:jc w:val="cente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9" w:type="dxa"/>
            <w:vMerge w:val="continue"/>
            <w:vAlign w:val="center"/>
          </w:tcPr>
          <w:p>
            <w:pPr>
              <w:jc w:val="center"/>
            </w:pPr>
          </w:p>
        </w:tc>
        <w:tc>
          <w:tcPr>
            <w:tcW w:w="2451" w:type="dxa"/>
            <w:gridSpan w:val="3"/>
            <w:vAlign w:val="center"/>
          </w:tcPr>
          <w:p>
            <w:pPr>
              <w:jc w:val="center"/>
              <w:rPr>
                <w:szCs w:val="21"/>
              </w:rPr>
            </w:pPr>
            <w:r>
              <w:rPr>
                <w:rFonts w:hint="eastAsia"/>
                <w:szCs w:val="21"/>
              </w:rPr>
              <w:t>废包装袋</w:t>
            </w:r>
          </w:p>
        </w:tc>
        <w:tc>
          <w:tcPr>
            <w:tcW w:w="1040" w:type="dxa"/>
            <w:vAlign w:val="center"/>
          </w:tcPr>
          <w:p>
            <w:pPr>
              <w:jc w:val="center"/>
              <w:rPr>
                <w:rFonts w:hint="eastAsia" w:eastAsia="宋体"/>
                <w:lang w:val="en-US" w:eastAsia="zh-CN"/>
              </w:rPr>
            </w:pPr>
            <w:r>
              <w:rPr>
                <w:rFonts w:hint="eastAsia"/>
                <w:lang w:val="en-US" w:eastAsia="zh-CN"/>
              </w:rPr>
              <w:t>2</w:t>
            </w:r>
          </w:p>
        </w:tc>
        <w:tc>
          <w:tcPr>
            <w:tcW w:w="1303" w:type="dxa"/>
            <w:vAlign w:val="center"/>
          </w:tcPr>
          <w:p>
            <w:pPr>
              <w:jc w:val="center"/>
              <w:rPr>
                <w:rFonts w:hint="eastAsia" w:eastAsia="宋体"/>
                <w:lang w:val="en-US" w:eastAsia="zh-CN"/>
              </w:rPr>
            </w:pPr>
            <w:r>
              <w:rPr>
                <w:rFonts w:hint="eastAsia"/>
                <w:lang w:val="en-US" w:eastAsia="zh-CN"/>
              </w:rPr>
              <w:t>2</w:t>
            </w:r>
          </w:p>
        </w:tc>
        <w:tc>
          <w:tcPr>
            <w:tcW w:w="797" w:type="dxa"/>
            <w:vAlign w:val="center"/>
          </w:tcPr>
          <w:p>
            <w:pPr>
              <w:jc w:val="center"/>
            </w:pPr>
            <w:r>
              <w:rPr>
                <w:rFonts w:hint="eastAsia"/>
                <w:lang w:val="en-US"/>
              </w:rPr>
              <w:t>/</w:t>
            </w:r>
          </w:p>
        </w:tc>
        <w:tc>
          <w:tcPr>
            <w:tcW w:w="1065" w:type="dxa"/>
            <w:vAlign w:val="center"/>
          </w:tcPr>
          <w:p>
            <w:pPr>
              <w:jc w:val="center"/>
            </w:pPr>
            <w:r>
              <w:rPr>
                <w:rFonts w:hint="eastAsia"/>
                <w:lang w:val="en-US"/>
              </w:rPr>
              <w:t>/</w:t>
            </w:r>
          </w:p>
        </w:tc>
        <w:tc>
          <w:tcPr>
            <w:tcW w:w="1904" w:type="dxa"/>
            <w:gridSpan w:val="2"/>
            <w:vAlign w:val="center"/>
          </w:tcPr>
          <w:p>
            <w:pPr>
              <w:jc w:val="cente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9" w:type="dxa"/>
            <w:vMerge w:val="continue"/>
            <w:vAlign w:val="center"/>
          </w:tcPr>
          <w:p>
            <w:pPr>
              <w:jc w:val="center"/>
            </w:pPr>
          </w:p>
        </w:tc>
        <w:tc>
          <w:tcPr>
            <w:tcW w:w="2451" w:type="dxa"/>
            <w:gridSpan w:val="3"/>
            <w:vAlign w:val="center"/>
          </w:tcPr>
          <w:p>
            <w:pPr>
              <w:jc w:val="center"/>
              <w:rPr>
                <w:szCs w:val="21"/>
              </w:rPr>
            </w:pPr>
            <w:r>
              <w:rPr>
                <w:rFonts w:hint="eastAsia"/>
                <w:szCs w:val="21"/>
              </w:rPr>
              <w:t>收集粉尘</w:t>
            </w:r>
          </w:p>
        </w:tc>
        <w:tc>
          <w:tcPr>
            <w:tcW w:w="1040" w:type="dxa"/>
            <w:vAlign w:val="center"/>
          </w:tcPr>
          <w:p>
            <w:pPr>
              <w:jc w:val="center"/>
              <w:rPr>
                <w:rFonts w:hint="default" w:eastAsia="宋体"/>
                <w:lang w:val="en-US" w:eastAsia="zh-CN"/>
              </w:rPr>
            </w:pPr>
            <w:r>
              <w:rPr>
                <w:rFonts w:hint="eastAsia"/>
                <w:lang w:val="en-US" w:eastAsia="zh-CN"/>
              </w:rPr>
              <w:t>3.25</w:t>
            </w:r>
          </w:p>
        </w:tc>
        <w:tc>
          <w:tcPr>
            <w:tcW w:w="1303" w:type="dxa"/>
            <w:vAlign w:val="center"/>
          </w:tcPr>
          <w:p>
            <w:pPr>
              <w:jc w:val="center"/>
              <w:rPr>
                <w:lang w:val="en-US"/>
              </w:rPr>
            </w:pPr>
            <w:r>
              <w:rPr>
                <w:rFonts w:hint="eastAsia"/>
                <w:lang w:val="en-US"/>
              </w:rPr>
              <w:t>/</w:t>
            </w:r>
          </w:p>
        </w:tc>
        <w:tc>
          <w:tcPr>
            <w:tcW w:w="797" w:type="dxa"/>
            <w:vAlign w:val="center"/>
          </w:tcPr>
          <w:p>
            <w:pPr>
              <w:jc w:val="center"/>
              <w:rPr>
                <w:rFonts w:hint="default" w:eastAsia="宋体"/>
                <w:lang w:val="en-US" w:eastAsia="zh-CN"/>
              </w:rPr>
            </w:pPr>
            <w:r>
              <w:rPr>
                <w:rFonts w:hint="eastAsia"/>
                <w:lang w:val="en-US" w:eastAsia="zh-CN"/>
              </w:rPr>
              <w:t>3.25</w:t>
            </w:r>
          </w:p>
        </w:tc>
        <w:tc>
          <w:tcPr>
            <w:tcW w:w="1065" w:type="dxa"/>
            <w:vAlign w:val="center"/>
          </w:tcPr>
          <w:p>
            <w:pPr>
              <w:jc w:val="center"/>
              <w:rPr>
                <w:lang w:val="en-US"/>
              </w:rPr>
            </w:pPr>
            <w:r>
              <w:rPr>
                <w:rFonts w:hint="eastAsia"/>
                <w:lang w:val="en-US"/>
              </w:rPr>
              <w:t>/</w:t>
            </w:r>
          </w:p>
        </w:tc>
        <w:tc>
          <w:tcPr>
            <w:tcW w:w="1904" w:type="dxa"/>
            <w:gridSpan w:val="2"/>
            <w:vAlign w:val="center"/>
          </w:tcPr>
          <w:p>
            <w:pPr>
              <w:jc w:val="center"/>
              <w:rPr>
                <w:lang w:val="en-US"/>
              </w:rP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9" w:type="dxa"/>
            <w:vMerge w:val="continue"/>
            <w:vAlign w:val="center"/>
          </w:tcPr>
          <w:p>
            <w:pPr>
              <w:jc w:val="center"/>
            </w:pPr>
          </w:p>
        </w:tc>
        <w:tc>
          <w:tcPr>
            <w:tcW w:w="2451" w:type="dxa"/>
            <w:gridSpan w:val="3"/>
            <w:vAlign w:val="center"/>
          </w:tcPr>
          <w:p>
            <w:pPr>
              <w:jc w:val="center"/>
              <w:rPr>
                <w:szCs w:val="21"/>
              </w:rPr>
            </w:pPr>
            <w:r>
              <w:rPr>
                <w:rFonts w:hint="eastAsia"/>
                <w:szCs w:val="21"/>
              </w:rPr>
              <w:t>生活垃圾</w:t>
            </w:r>
          </w:p>
        </w:tc>
        <w:tc>
          <w:tcPr>
            <w:tcW w:w="1040" w:type="dxa"/>
            <w:vAlign w:val="center"/>
          </w:tcPr>
          <w:p>
            <w:pPr>
              <w:jc w:val="center"/>
              <w:rPr>
                <w:rFonts w:hint="default" w:eastAsia="宋体"/>
                <w:szCs w:val="21"/>
                <w:lang w:val="en-US" w:eastAsia="zh-CN"/>
              </w:rPr>
            </w:pPr>
            <w:r>
              <w:rPr>
                <w:rFonts w:hint="eastAsia"/>
                <w:szCs w:val="21"/>
                <w:lang w:val="en-US" w:eastAsia="zh-CN"/>
              </w:rPr>
              <w:t>1.25</w:t>
            </w:r>
          </w:p>
        </w:tc>
        <w:tc>
          <w:tcPr>
            <w:tcW w:w="1303" w:type="dxa"/>
            <w:vAlign w:val="center"/>
          </w:tcPr>
          <w:p>
            <w:pPr>
              <w:jc w:val="center"/>
              <w:rPr>
                <w:rFonts w:hint="default" w:eastAsia="宋体"/>
                <w:szCs w:val="21"/>
                <w:lang w:val="en-US" w:eastAsia="zh-CN"/>
              </w:rPr>
            </w:pPr>
            <w:r>
              <w:rPr>
                <w:rFonts w:hint="eastAsia"/>
                <w:lang w:val="en-US" w:eastAsia="zh-CN"/>
              </w:rPr>
              <w:t>1.25</w:t>
            </w:r>
          </w:p>
        </w:tc>
        <w:tc>
          <w:tcPr>
            <w:tcW w:w="797" w:type="dxa"/>
            <w:vAlign w:val="center"/>
          </w:tcPr>
          <w:p>
            <w:pPr>
              <w:jc w:val="center"/>
            </w:pPr>
            <w:r>
              <w:rPr>
                <w:rFonts w:hint="eastAsia"/>
              </w:rPr>
              <w:t>/</w:t>
            </w:r>
          </w:p>
        </w:tc>
        <w:tc>
          <w:tcPr>
            <w:tcW w:w="1065" w:type="dxa"/>
            <w:vAlign w:val="center"/>
          </w:tcPr>
          <w:p>
            <w:pPr>
              <w:jc w:val="center"/>
            </w:pPr>
            <w:r>
              <w:rPr>
                <w:rFonts w:hint="eastAsia"/>
              </w:rPr>
              <w:t>/</w:t>
            </w:r>
          </w:p>
        </w:tc>
        <w:tc>
          <w:tcPr>
            <w:tcW w:w="1904" w:type="dxa"/>
            <w:gridSpan w:val="2"/>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pPr>
            <w:r>
              <w:rPr>
                <w:rFonts w:hint="eastAsia"/>
              </w:rPr>
              <w:t>噪声</w:t>
            </w:r>
          </w:p>
        </w:tc>
        <w:tc>
          <w:tcPr>
            <w:tcW w:w="8560" w:type="dxa"/>
            <w:gridSpan w:val="9"/>
            <w:vAlign w:val="center"/>
          </w:tcPr>
          <w:p>
            <w:pPr>
              <w:jc w:val="center"/>
              <w:rPr>
                <w:rFonts w:hAnsi="宋体"/>
                <w:szCs w:val="21"/>
              </w:rPr>
            </w:pPr>
            <w:r>
              <w:rPr>
                <w:rFonts w:ascii="Arial" w:hAnsi="Arial" w:cs="Arial"/>
                <w:kern w:val="0"/>
                <w:szCs w:val="21"/>
              </w:rPr>
              <w:t>营运期噪声主要为</w:t>
            </w:r>
            <w:r>
              <w:rPr>
                <w:rFonts w:hint="eastAsia" w:ascii="Arial" w:hAnsi="Arial" w:cs="Arial"/>
                <w:kern w:val="0"/>
                <w:szCs w:val="21"/>
              </w:rPr>
              <w:t>机械</w:t>
            </w:r>
            <w:r>
              <w:rPr>
                <w:rFonts w:ascii="Arial" w:hAnsi="Arial" w:cs="Arial"/>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pPr>
            <w:r>
              <w:rPr>
                <w:rFonts w:ascii="Arial" w:hAnsi="Arial" w:cs="Arial"/>
                <w:b/>
                <w:sz w:val="24"/>
                <w:szCs w:val="24"/>
              </w:rPr>
              <w:t>主要生态影响</w:t>
            </w:r>
          </w:p>
        </w:tc>
        <w:tc>
          <w:tcPr>
            <w:tcW w:w="8560" w:type="dxa"/>
            <w:gridSpan w:val="9"/>
            <w:vAlign w:val="center"/>
          </w:tcPr>
          <w:p>
            <w:pPr>
              <w:spacing w:line="360" w:lineRule="auto"/>
              <w:ind w:firstLine="420" w:firstLineChars="200"/>
              <w:jc w:val="left"/>
              <w:rPr>
                <w:rFonts w:eastAsiaTheme="minorEastAsia"/>
              </w:rPr>
            </w:pPr>
            <w:r>
              <w:rPr>
                <w:rFonts w:hint="eastAsia" w:hAnsiTheme="minorEastAsia" w:eastAsiaTheme="minorEastAsia"/>
              </w:rPr>
              <w:t>本项目为</w:t>
            </w:r>
            <w:r>
              <w:rPr>
                <w:rFonts w:hint="eastAsia" w:hAnsiTheme="minorEastAsia" w:eastAsiaTheme="minorEastAsia"/>
                <w:lang w:eastAsia="zh-CN"/>
              </w:rPr>
              <w:t>宜兴市宜桥陶瓷有限公司改建</w:t>
            </w:r>
            <w:r>
              <w:rPr>
                <w:rFonts w:hint="eastAsia" w:hAnsiTheme="minorEastAsia" w:eastAsiaTheme="minorEastAsia"/>
              </w:rPr>
              <w:t>项目，位于</w:t>
            </w:r>
            <w:r>
              <w:rPr>
                <w:rFonts w:hint="eastAsia" w:hAnsiTheme="minorEastAsia" w:eastAsiaTheme="minorEastAsia"/>
                <w:lang w:val="en-US" w:eastAsia="zh-CN"/>
              </w:rPr>
              <w:t>宜兴市丁蜀镇查林村</w:t>
            </w:r>
            <w:r>
              <w:rPr>
                <w:rFonts w:hint="eastAsia" w:hAnsiTheme="minorEastAsia" w:eastAsiaTheme="minorEastAsia"/>
              </w:rPr>
              <w:t>，</w:t>
            </w:r>
            <w:r>
              <w:rPr>
                <w:rFonts w:hint="eastAsia" w:hAnsiTheme="minorEastAsia" w:eastAsiaTheme="minorEastAsia"/>
                <w:lang w:val="en-US"/>
              </w:rPr>
              <w:t>利用原有闲置厂房进行生产</w:t>
            </w:r>
            <w:r>
              <w:rPr>
                <w:rFonts w:hint="eastAsia" w:hAnsiTheme="minorEastAsia" w:eastAsiaTheme="minorEastAsia"/>
              </w:rPr>
              <w:t>，对周围生态环境影响较小。</w:t>
            </w:r>
          </w:p>
          <w:p>
            <w:pPr>
              <w:spacing w:line="360" w:lineRule="auto"/>
              <w:jc w:val="left"/>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tc>
      </w:tr>
    </w:tbl>
    <w:p>
      <w:pPr>
        <w:pStyle w:val="162"/>
        <w:numPr>
          <w:ilvl w:val="0"/>
          <w:numId w:val="0"/>
        </w:numPr>
        <w:spacing w:line="400" w:lineRule="exact"/>
        <w:jc w:val="both"/>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49" w:name="_Toc367970636"/>
      <w:bookmarkStart w:id="50" w:name="_Toc367970830"/>
      <w:bookmarkStart w:id="51" w:name="_Toc367970391"/>
    </w:p>
    <w:p>
      <w:pPr>
        <w:pStyle w:val="4"/>
        <w:spacing w:line="240" w:lineRule="auto"/>
        <w:jc w:val="both"/>
        <w:rPr>
          <w:bCs w:val="0"/>
          <w:spacing w:val="0"/>
          <w:kern w:val="0"/>
          <w:sz w:val="32"/>
          <w:szCs w:val="32"/>
        </w:rPr>
      </w:pPr>
      <w:bookmarkStart w:id="52" w:name="_Toc386379879"/>
      <w:r>
        <w:rPr>
          <w:bCs w:val="0"/>
          <w:spacing w:val="0"/>
          <w:kern w:val="0"/>
          <w:sz w:val="32"/>
          <w:szCs w:val="32"/>
        </w:rPr>
        <w:t>7</w:t>
      </w:r>
      <w:r>
        <w:rPr>
          <w:rFonts w:hAnsi="宋体"/>
          <w:bCs w:val="0"/>
          <w:spacing w:val="0"/>
          <w:kern w:val="0"/>
          <w:sz w:val="32"/>
          <w:szCs w:val="32"/>
        </w:rPr>
        <w:t>、环境影响分析</w:t>
      </w:r>
      <w:bookmarkEnd w:id="45"/>
      <w:bookmarkEnd w:id="46"/>
      <w:bookmarkEnd w:id="47"/>
      <w:bookmarkEnd w:id="49"/>
      <w:bookmarkEnd w:id="50"/>
      <w:bookmarkEnd w:id="51"/>
      <w:bookmarkEnd w:id="52"/>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2" w:hRule="atLeast"/>
          <w:jc w:val="center"/>
        </w:trPr>
        <w:tc>
          <w:tcPr>
            <w:tcW w:w="8529" w:type="dxa"/>
            <w:vAlign w:val="center"/>
          </w:tcPr>
          <w:p>
            <w:pPr>
              <w:adjustRightInd w:val="0"/>
              <w:snapToGrid w:val="0"/>
              <w:spacing w:line="360" w:lineRule="auto"/>
              <w:rPr>
                <w:b/>
                <w:sz w:val="28"/>
                <w:szCs w:val="28"/>
              </w:rPr>
            </w:pPr>
            <w:r>
              <w:rPr>
                <w:rFonts w:hint="eastAsia"/>
                <w:b/>
                <w:sz w:val="28"/>
                <w:szCs w:val="28"/>
              </w:rPr>
              <w:t>一、施工期环境影响分析</w:t>
            </w:r>
          </w:p>
          <w:p>
            <w:pPr>
              <w:spacing w:line="360" w:lineRule="auto"/>
              <w:ind w:firstLine="480" w:firstLineChars="200"/>
              <w:rPr>
                <w:rFonts w:hAnsi="宋体"/>
                <w:b/>
                <w:bCs/>
                <w:sz w:val="24"/>
                <w:szCs w:val="24"/>
                <w:lang w:val="en-US"/>
              </w:rPr>
            </w:pPr>
            <w:r>
              <w:rPr>
                <w:rFonts w:hint="eastAsia"/>
                <w:sz w:val="24"/>
                <w:szCs w:val="24"/>
              </w:rPr>
              <w:t>施工期对周围的环境影响在施工结束后消除，本项目生产厂房已经建成，只进行设备安装和调试，施工期基本结束。本次评价不对施工期影响分析进行评价。</w:t>
            </w:r>
          </w:p>
          <w:p>
            <w:pPr>
              <w:numPr>
                <w:ilvl w:val="0"/>
                <w:numId w:val="13"/>
              </w:numPr>
              <w:spacing w:line="360" w:lineRule="auto"/>
              <w:rPr>
                <w:rFonts w:hint="eastAsia" w:ascii="宋体" w:hAnsi="宋体"/>
                <w:b/>
                <w:sz w:val="28"/>
              </w:rPr>
            </w:pPr>
            <w:r>
              <w:rPr>
                <w:rFonts w:hint="eastAsia" w:ascii="宋体" w:hAnsi="宋体"/>
                <w:b/>
                <w:sz w:val="28"/>
              </w:rPr>
              <w:t>营运期环境影响分析</w:t>
            </w:r>
          </w:p>
          <w:p>
            <w:pPr>
              <w:numPr>
                <w:ilvl w:val="0"/>
                <w:numId w:val="14"/>
              </w:numPr>
              <w:adjustRightInd w:val="0"/>
              <w:snapToGrid w:val="0"/>
              <w:spacing w:line="360" w:lineRule="auto"/>
              <w:ind w:firstLine="480" w:firstLineChars="200"/>
              <w:rPr>
                <w:rFonts w:hint="eastAsia" w:hAnsi="宋体"/>
                <w:sz w:val="24"/>
                <w:szCs w:val="24"/>
              </w:rPr>
            </w:pPr>
            <w:r>
              <w:rPr>
                <w:rFonts w:hint="eastAsia" w:hAnsi="宋体"/>
                <w:sz w:val="24"/>
                <w:szCs w:val="24"/>
              </w:rPr>
              <w:t>大气环境影响分析</w:t>
            </w:r>
          </w:p>
          <w:p>
            <w:pPr>
              <w:adjustRightInd w:val="0"/>
              <w:snapToGrid w:val="0"/>
              <w:spacing w:line="360" w:lineRule="auto"/>
              <w:ind w:firstLine="480" w:firstLineChars="200"/>
              <w:rPr>
                <w:sz w:val="24"/>
                <w:szCs w:val="24"/>
                <w:lang w:val="en-US"/>
              </w:rPr>
            </w:pPr>
            <w:r>
              <w:rPr>
                <w:sz w:val="24"/>
                <w:szCs w:val="24"/>
                <w:lang w:val="en-US"/>
              </w:rPr>
              <w:t>(1)大气环境影响评价工作等级的确定</w:t>
            </w:r>
          </w:p>
          <w:p>
            <w:pPr>
              <w:spacing w:line="360" w:lineRule="auto"/>
              <w:ind w:firstLine="480" w:firstLineChars="200"/>
              <w:rPr>
                <w:sz w:val="24"/>
              </w:rPr>
            </w:pPr>
            <w:r>
              <w:rPr>
                <w:rFonts w:hint="eastAsia" w:ascii="宋体" w:hAnsi="宋体" w:cs="宋体"/>
                <w:sz w:val="24"/>
              </w:rPr>
              <w:t>①</w:t>
            </w:r>
            <w:r>
              <w:rPr>
                <w:sz w:val="24"/>
              </w:rPr>
              <w:t>建设项目评价因子和评价标准</w:t>
            </w:r>
          </w:p>
          <w:p>
            <w:pPr>
              <w:adjustRightInd w:val="0"/>
              <w:snapToGrid w:val="0"/>
              <w:jc w:val="center"/>
              <w:rPr>
                <w:b/>
                <w:sz w:val="24"/>
                <w:szCs w:val="24"/>
              </w:rPr>
            </w:pPr>
            <w:r>
              <w:rPr>
                <w:rFonts w:hint="eastAsia"/>
                <w:b/>
                <w:sz w:val="24"/>
                <w:szCs w:val="24"/>
              </w:rPr>
              <w:t>表</w:t>
            </w:r>
            <w:r>
              <w:rPr>
                <w:rFonts w:hint="eastAsia"/>
                <w:b/>
                <w:sz w:val="24"/>
                <w:szCs w:val="24"/>
                <w:lang w:val="en-US"/>
              </w:rPr>
              <w:t>7-1</w:t>
            </w:r>
            <w:r>
              <w:rPr>
                <w:b/>
                <w:sz w:val="24"/>
                <w:szCs w:val="24"/>
              </w:rPr>
              <w:t xml:space="preserve">  建设项目评价因子和评价标准</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315"/>
              <w:gridCol w:w="1315"/>
              <w:gridCol w:w="1053"/>
              <w:gridCol w:w="341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jc w:val="center"/>
                    <w:rPr>
                      <w:b/>
                      <w:szCs w:val="21"/>
                    </w:rPr>
                  </w:pPr>
                  <w:r>
                    <w:rPr>
                      <w:b/>
                      <w:szCs w:val="21"/>
                    </w:rPr>
                    <w:t>评价因子</w:t>
                  </w:r>
                </w:p>
              </w:tc>
              <w:tc>
                <w:tcPr>
                  <w:tcW w:w="791" w:type="pct"/>
                  <w:tcBorders>
                    <w:tl2br w:val="nil"/>
                    <w:tr2bl w:val="nil"/>
                  </w:tcBorders>
                  <w:vAlign w:val="center"/>
                </w:tcPr>
                <w:p>
                  <w:pPr>
                    <w:jc w:val="center"/>
                    <w:rPr>
                      <w:b/>
                      <w:szCs w:val="21"/>
                    </w:rPr>
                  </w:pPr>
                  <w:r>
                    <w:rPr>
                      <w:b/>
                      <w:szCs w:val="21"/>
                    </w:rPr>
                    <w:t>评价时段</w:t>
                  </w:r>
                </w:p>
              </w:tc>
              <w:tc>
                <w:tcPr>
                  <w:tcW w:w="791" w:type="pct"/>
                  <w:tcBorders>
                    <w:tl2br w:val="nil"/>
                    <w:tr2bl w:val="nil"/>
                  </w:tcBorders>
                  <w:vAlign w:val="center"/>
                </w:tcPr>
                <w:p>
                  <w:pPr>
                    <w:jc w:val="center"/>
                    <w:rPr>
                      <w:b/>
                      <w:szCs w:val="21"/>
                    </w:rPr>
                  </w:pPr>
                  <w:r>
                    <w:rPr>
                      <w:b/>
                      <w:szCs w:val="21"/>
                    </w:rPr>
                    <w:t>浓度限值</w:t>
                  </w:r>
                </w:p>
              </w:tc>
              <w:tc>
                <w:tcPr>
                  <w:tcW w:w="633" w:type="pct"/>
                  <w:tcBorders>
                    <w:tl2br w:val="nil"/>
                    <w:tr2bl w:val="nil"/>
                  </w:tcBorders>
                  <w:vAlign w:val="center"/>
                </w:tcPr>
                <w:p>
                  <w:pPr>
                    <w:jc w:val="center"/>
                    <w:rPr>
                      <w:b/>
                      <w:szCs w:val="21"/>
                    </w:rPr>
                  </w:pPr>
                  <w:r>
                    <w:rPr>
                      <w:b/>
                      <w:szCs w:val="21"/>
                    </w:rPr>
                    <w:t>单位</w:t>
                  </w:r>
                </w:p>
              </w:tc>
              <w:tc>
                <w:tcPr>
                  <w:tcW w:w="2054" w:type="pct"/>
                  <w:tcBorders>
                    <w:tl2br w:val="nil"/>
                    <w:tr2bl w:val="nil"/>
                  </w:tcBorders>
                  <w:vAlign w:val="center"/>
                </w:tcPr>
                <w:p>
                  <w:pPr>
                    <w:jc w:val="center"/>
                    <w:rPr>
                      <w:b/>
                      <w:szCs w:val="21"/>
                    </w:rPr>
                  </w:pPr>
                  <w:r>
                    <w:rPr>
                      <w:b/>
                      <w:szCs w:val="21"/>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jc w:val="center"/>
                    <w:rPr>
                      <w:szCs w:val="21"/>
                    </w:rPr>
                  </w:pPr>
                  <w:r>
                    <w:rPr>
                      <w:rFonts w:hint="eastAsia"/>
                      <w:szCs w:val="21"/>
                    </w:rPr>
                    <w:t>颗粒物</w:t>
                  </w:r>
                </w:p>
              </w:tc>
              <w:tc>
                <w:tcPr>
                  <w:tcW w:w="791" w:type="pct"/>
                  <w:tcBorders>
                    <w:tl2br w:val="nil"/>
                    <w:tr2bl w:val="nil"/>
                  </w:tcBorders>
                  <w:vAlign w:val="center"/>
                </w:tcPr>
                <w:p>
                  <w:pPr>
                    <w:jc w:val="center"/>
                    <w:rPr>
                      <w:szCs w:val="21"/>
                    </w:rPr>
                  </w:pPr>
                  <w:r>
                    <w:rPr>
                      <w:szCs w:val="21"/>
                    </w:rPr>
                    <w:t>1小时平均</w:t>
                  </w:r>
                </w:p>
              </w:tc>
              <w:tc>
                <w:tcPr>
                  <w:tcW w:w="791" w:type="pct"/>
                  <w:tcBorders>
                    <w:tl2br w:val="nil"/>
                    <w:tr2bl w:val="nil"/>
                  </w:tcBorders>
                  <w:vAlign w:val="center"/>
                </w:tcPr>
                <w:p>
                  <w:pPr>
                    <w:jc w:val="center"/>
                    <w:rPr>
                      <w:szCs w:val="21"/>
                      <w:lang w:val="en-US"/>
                    </w:rPr>
                  </w:pPr>
                  <w:r>
                    <w:rPr>
                      <w:rFonts w:hint="eastAsia"/>
                      <w:szCs w:val="21"/>
                      <w:lang w:val="en-US"/>
                    </w:rPr>
                    <w:t>900</w:t>
                  </w:r>
                </w:p>
              </w:tc>
              <w:tc>
                <w:tcPr>
                  <w:tcW w:w="633" w:type="pct"/>
                  <w:tcBorders>
                    <w:tl2br w:val="nil"/>
                    <w:tr2bl w:val="nil"/>
                  </w:tcBorders>
                  <w:vAlign w:val="center"/>
                </w:tcPr>
                <w:p>
                  <w:pPr>
                    <w:jc w:val="center"/>
                    <w:rPr>
                      <w:szCs w:val="21"/>
                    </w:rPr>
                  </w:pPr>
                  <w:r>
                    <w:rPr>
                      <w:szCs w:val="21"/>
                    </w:rPr>
                    <w:t>µg/m</w:t>
                  </w:r>
                  <w:r>
                    <w:rPr>
                      <w:szCs w:val="21"/>
                      <w:vertAlign w:val="superscript"/>
                    </w:rPr>
                    <w:t>3</w:t>
                  </w:r>
                </w:p>
              </w:tc>
              <w:tc>
                <w:tcPr>
                  <w:tcW w:w="2054" w:type="pct"/>
                  <w:vMerge w:val="restart"/>
                  <w:tcBorders>
                    <w:tl2br w:val="nil"/>
                    <w:tr2bl w:val="nil"/>
                  </w:tcBorders>
                  <w:vAlign w:val="center"/>
                </w:tcPr>
                <w:p>
                  <w:pPr>
                    <w:jc w:val="center"/>
                    <w:rPr>
                      <w:szCs w:val="21"/>
                    </w:rPr>
                  </w:pPr>
                  <w:r>
                    <w:rPr>
                      <w:szCs w:val="21"/>
                    </w:rPr>
                    <w:t>《环境空气质量标准》(GB3095-2012)中的二级标准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pStyle w:val="59"/>
                    <w:adjustRightInd w:val="0"/>
                    <w:snapToGrid w:val="0"/>
                    <w:spacing w:after="0" w:line="240" w:lineRule="auto"/>
                    <w:ind w:left="0" w:leftChars="0"/>
                    <w:jc w:val="center"/>
                    <w:rPr>
                      <w:rFonts w:hint="eastAsia" w:ascii="宋体" w:hAnsi="宋体" w:eastAsia="宋体" w:cs="Times New Roman"/>
                      <w:kern w:val="0"/>
                      <w:sz w:val="21"/>
                      <w:szCs w:val="21"/>
                      <w:lang w:val="fi-FI" w:eastAsia="zh-CN" w:bidi="ar-SA"/>
                    </w:rPr>
                  </w:pPr>
                  <w:r>
                    <w:rPr>
                      <w:sz w:val="21"/>
                      <w:szCs w:val="21"/>
                    </w:rPr>
                    <w:t>NO</w:t>
                  </w:r>
                  <w:r>
                    <w:rPr>
                      <w:sz w:val="21"/>
                      <w:szCs w:val="21"/>
                      <w:vertAlign w:val="subscript"/>
                    </w:rPr>
                    <w:t>X</w:t>
                  </w:r>
                </w:p>
              </w:tc>
              <w:tc>
                <w:tcPr>
                  <w:tcW w:w="791" w:type="pct"/>
                  <w:tcBorders>
                    <w:tl2br w:val="nil"/>
                    <w:tr2bl w:val="nil"/>
                  </w:tcBorders>
                  <w:vAlign w:val="center"/>
                </w:tcPr>
                <w:p>
                  <w:pPr>
                    <w:jc w:val="center"/>
                    <w:rPr>
                      <w:szCs w:val="21"/>
                    </w:rPr>
                  </w:pPr>
                  <w:r>
                    <w:rPr>
                      <w:szCs w:val="21"/>
                    </w:rPr>
                    <w:t>1小时平均</w:t>
                  </w:r>
                </w:p>
              </w:tc>
              <w:tc>
                <w:tcPr>
                  <w:tcW w:w="791"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250</w:t>
                  </w:r>
                </w:p>
              </w:tc>
              <w:tc>
                <w:tcPr>
                  <w:tcW w:w="633" w:type="pct"/>
                  <w:tcBorders>
                    <w:tl2br w:val="nil"/>
                    <w:tr2bl w:val="nil"/>
                  </w:tcBorders>
                  <w:vAlign w:val="center"/>
                </w:tcPr>
                <w:p>
                  <w:pPr>
                    <w:jc w:val="center"/>
                    <w:rPr>
                      <w:szCs w:val="21"/>
                    </w:rPr>
                  </w:pPr>
                  <w:r>
                    <w:rPr>
                      <w:szCs w:val="21"/>
                    </w:rPr>
                    <w:t>µg/m</w:t>
                  </w:r>
                  <w:r>
                    <w:rPr>
                      <w:szCs w:val="21"/>
                      <w:vertAlign w:val="superscript"/>
                    </w:rPr>
                    <w:t>3</w:t>
                  </w:r>
                </w:p>
              </w:tc>
              <w:tc>
                <w:tcPr>
                  <w:tcW w:w="2054" w:type="pct"/>
                  <w:vMerge w:val="continue"/>
                  <w:tcBorders>
                    <w:tl2br w:val="nil"/>
                    <w:tr2bl w:val="nil"/>
                  </w:tcBorders>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tcBorders>
                    <w:tl2br w:val="nil"/>
                    <w:tr2bl w:val="nil"/>
                  </w:tcBorders>
                  <w:vAlign w:val="center"/>
                </w:tcPr>
                <w:p>
                  <w:pPr>
                    <w:pStyle w:val="59"/>
                    <w:adjustRightInd w:val="0"/>
                    <w:snapToGrid w:val="0"/>
                    <w:spacing w:after="0" w:line="240" w:lineRule="auto"/>
                    <w:ind w:left="0" w:leftChars="0"/>
                    <w:jc w:val="center"/>
                    <w:rPr>
                      <w:rFonts w:hint="eastAsia" w:ascii="宋体" w:hAnsi="宋体" w:eastAsia="宋体" w:cs="Times New Roman"/>
                      <w:kern w:val="0"/>
                      <w:sz w:val="21"/>
                      <w:szCs w:val="21"/>
                      <w:lang w:val="fi-FI" w:eastAsia="zh-CN" w:bidi="ar-SA"/>
                    </w:rPr>
                  </w:pPr>
                  <w:r>
                    <w:rPr>
                      <w:sz w:val="21"/>
                      <w:szCs w:val="21"/>
                    </w:rPr>
                    <w:t>SO</w:t>
                  </w:r>
                  <w:r>
                    <w:rPr>
                      <w:sz w:val="21"/>
                      <w:szCs w:val="21"/>
                      <w:vertAlign w:val="subscript"/>
                    </w:rPr>
                    <w:t>2</w:t>
                  </w:r>
                </w:p>
              </w:tc>
              <w:tc>
                <w:tcPr>
                  <w:tcW w:w="791" w:type="pct"/>
                  <w:tcBorders>
                    <w:tl2br w:val="nil"/>
                    <w:tr2bl w:val="nil"/>
                  </w:tcBorders>
                  <w:vAlign w:val="center"/>
                </w:tcPr>
                <w:p>
                  <w:pPr>
                    <w:jc w:val="center"/>
                    <w:rPr>
                      <w:szCs w:val="21"/>
                    </w:rPr>
                  </w:pPr>
                  <w:r>
                    <w:rPr>
                      <w:szCs w:val="21"/>
                    </w:rPr>
                    <w:t>1小时平均</w:t>
                  </w:r>
                </w:p>
              </w:tc>
              <w:tc>
                <w:tcPr>
                  <w:tcW w:w="791"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500</w:t>
                  </w:r>
                </w:p>
              </w:tc>
              <w:tc>
                <w:tcPr>
                  <w:tcW w:w="633" w:type="pct"/>
                  <w:tcBorders>
                    <w:tl2br w:val="nil"/>
                    <w:tr2bl w:val="nil"/>
                  </w:tcBorders>
                  <w:vAlign w:val="center"/>
                </w:tcPr>
                <w:p>
                  <w:pPr>
                    <w:jc w:val="center"/>
                    <w:rPr>
                      <w:szCs w:val="21"/>
                    </w:rPr>
                  </w:pPr>
                  <w:r>
                    <w:rPr>
                      <w:szCs w:val="21"/>
                    </w:rPr>
                    <w:t>µg/m</w:t>
                  </w:r>
                  <w:r>
                    <w:rPr>
                      <w:szCs w:val="21"/>
                      <w:vertAlign w:val="superscript"/>
                    </w:rPr>
                    <w:t>3</w:t>
                  </w:r>
                </w:p>
              </w:tc>
              <w:tc>
                <w:tcPr>
                  <w:tcW w:w="2054" w:type="pct"/>
                  <w:vMerge w:val="continue"/>
                  <w:tcBorders>
                    <w:tl2br w:val="nil"/>
                    <w:tr2bl w:val="nil"/>
                  </w:tcBorders>
                  <w:vAlign w:val="center"/>
                </w:tcPr>
                <w:p>
                  <w:pPr>
                    <w:jc w:val="center"/>
                    <w:rPr>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sz w:val="24"/>
              </w:rPr>
            </w:pPr>
            <w:r>
              <w:rPr>
                <w:rFonts w:hint="eastAsia" w:ascii="宋体" w:hAnsi="宋体" w:cs="宋体"/>
                <w:sz w:val="24"/>
              </w:rPr>
              <w:t>②</w:t>
            </w:r>
            <w:r>
              <w:rPr>
                <w:sz w:val="24"/>
              </w:rPr>
              <w:t>评价等级判定标准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sz w:val="24"/>
              </w:rPr>
              <w:t>根据《环境影响评价技术导则-大气环境》(HJ2.2-2018)中大气评价工作分级方法确定评价工作等级，其判据详见表7-2。</w:t>
            </w:r>
          </w:p>
          <w:p>
            <w:pPr>
              <w:adjustRightInd w:val="0"/>
              <w:snapToGrid w:val="0"/>
              <w:jc w:val="center"/>
              <w:rPr>
                <w:b/>
                <w:sz w:val="24"/>
                <w:szCs w:val="24"/>
              </w:rPr>
            </w:pPr>
            <w:bookmarkStart w:id="53" w:name="_Toc11103"/>
            <w:r>
              <w:rPr>
                <w:rStyle w:val="264"/>
                <w:rFonts w:hint="eastAsia"/>
              </w:rPr>
              <w:t>表</w:t>
            </w:r>
            <w:r>
              <w:rPr>
                <w:rStyle w:val="264"/>
                <w:rFonts w:hint="eastAsia"/>
                <w:lang w:val="en-US"/>
              </w:rPr>
              <w:t>7-2</w:t>
            </w:r>
            <w:r>
              <w:rPr>
                <w:rStyle w:val="264"/>
              </w:rPr>
              <w:t xml:space="preserve"> </w:t>
            </w:r>
            <w:bookmarkEnd w:id="53"/>
            <w:r>
              <w:rPr>
                <w:b/>
                <w:sz w:val="24"/>
                <w:szCs w:val="24"/>
              </w:rPr>
              <w:t xml:space="preserve"> 大气评价工作等级判据</w:t>
            </w:r>
          </w:p>
          <w:tbl>
            <w:tblPr>
              <w:tblStyle w:val="75"/>
              <w:tblW w:w="819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598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3" w:type="dxa"/>
                  <w:tcBorders>
                    <w:tl2br w:val="nil"/>
                    <w:tr2bl w:val="nil"/>
                  </w:tcBorders>
                  <w:vAlign w:val="center"/>
                </w:tcPr>
                <w:p>
                  <w:pPr>
                    <w:jc w:val="center"/>
                    <w:rPr>
                      <w:b/>
                    </w:rPr>
                  </w:pPr>
                  <w:r>
                    <w:rPr>
                      <w:b/>
                    </w:rPr>
                    <w:t>评价工作等级</w:t>
                  </w:r>
                </w:p>
              </w:tc>
              <w:tc>
                <w:tcPr>
                  <w:tcW w:w="5982" w:type="dxa"/>
                  <w:tcBorders>
                    <w:tl2br w:val="nil"/>
                    <w:tr2bl w:val="nil"/>
                  </w:tcBorders>
                  <w:vAlign w:val="center"/>
                </w:tcPr>
                <w:p>
                  <w:pPr>
                    <w:jc w:val="center"/>
                    <w:rPr>
                      <w:b/>
                    </w:rPr>
                  </w:pPr>
                  <w:r>
                    <w:rPr>
                      <w:b/>
                    </w:rPr>
                    <w:t>评价工作分级判据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13" w:type="dxa"/>
                  <w:tcBorders>
                    <w:tl2br w:val="nil"/>
                    <w:tr2bl w:val="nil"/>
                  </w:tcBorders>
                  <w:vAlign w:val="center"/>
                </w:tcPr>
                <w:p>
                  <w:pPr>
                    <w:jc w:val="center"/>
                  </w:pPr>
                  <w:r>
                    <w:t>一级</w:t>
                  </w:r>
                </w:p>
              </w:tc>
              <w:tc>
                <w:tcPr>
                  <w:tcW w:w="5982" w:type="dxa"/>
                  <w:tcBorders>
                    <w:tl2br w:val="nil"/>
                    <w:tr2bl w:val="nil"/>
                  </w:tcBorders>
                  <w:vAlign w:val="center"/>
                </w:tcPr>
                <w:p>
                  <w:pPr>
                    <w:jc w:val="center"/>
                  </w:pPr>
                  <w:r>
                    <w:t>P</w:t>
                  </w:r>
                  <w:r>
                    <w:rPr>
                      <w:vertAlign w:val="subscript"/>
                    </w:rPr>
                    <w:t>max</w:t>
                  </w:r>
                  <w: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213" w:type="dxa"/>
                  <w:tcBorders>
                    <w:tl2br w:val="nil"/>
                    <w:tr2bl w:val="nil"/>
                  </w:tcBorders>
                  <w:vAlign w:val="center"/>
                </w:tcPr>
                <w:p>
                  <w:pPr>
                    <w:jc w:val="center"/>
                  </w:pPr>
                  <w:r>
                    <w:t>二级</w:t>
                  </w:r>
                </w:p>
              </w:tc>
              <w:tc>
                <w:tcPr>
                  <w:tcW w:w="5982" w:type="dxa"/>
                  <w:tcBorders>
                    <w:tl2br w:val="nil"/>
                    <w:tr2bl w:val="nil"/>
                  </w:tcBorders>
                  <w:vAlign w:val="center"/>
                </w:tcPr>
                <w:p>
                  <w:pPr>
                    <w:jc w:val="center"/>
                  </w:pPr>
                  <w:r>
                    <w:t>1%≤P</w:t>
                  </w:r>
                  <w:r>
                    <w:rPr>
                      <w:vertAlign w:val="subscript"/>
                    </w:rPr>
                    <w:t>max</w:t>
                  </w:r>
                  <w:r>
                    <w:t>&lt;10%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13" w:type="dxa"/>
                  <w:tcBorders>
                    <w:tl2br w:val="nil"/>
                    <w:tr2bl w:val="nil"/>
                  </w:tcBorders>
                  <w:vAlign w:val="center"/>
                </w:tcPr>
                <w:p>
                  <w:pPr>
                    <w:jc w:val="center"/>
                  </w:pPr>
                  <w:r>
                    <w:t>三级</w:t>
                  </w:r>
                </w:p>
              </w:tc>
              <w:tc>
                <w:tcPr>
                  <w:tcW w:w="5982" w:type="dxa"/>
                  <w:tcBorders>
                    <w:tl2br w:val="nil"/>
                    <w:tr2bl w:val="nil"/>
                  </w:tcBorders>
                  <w:vAlign w:val="center"/>
                </w:tcPr>
                <w:p>
                  <w:pPr>
                    <w:jc w:val="center"/>
                  </w:pPr>
                  <w:r>
                    <w:t>P</w:t>
                  </w:r>
                  <w:r>
                    <w:rPr>
                      <w:vertAlign w:val="subscript"/>
                    </w:rPr>
                    <w:t>max</w:t>
                  </w:r>
                  <w:r>
                    <w:t xml:space="preserve">&lt;1% </w:t>
                  </w:r>
                </w:p>
              </w:tc>
            </w:tr>
          </w:tbl>
          <w:p>
            <w:pPr>
              <w:spacing w:line="360" w:lineRule="auto"/>
              <w:ind w:firstLine="480" w:firstLineChars="200"/>
              <w:rPr>
                <w:sz w:val="24"/>
              </w:rPr>
            </w:pPr>
            <w:r>
              <w:rPr>
                <w:sz w:val="24"/>
              </w:rPr>
              <w:t>根据项目污染源初步调查结果，分别计算项目排放主要污染物的最大地面空气质量浓度占标率P</w:t>
            </w:r>
            <w:r>
              <w:rPr>
                <w:sz w:val="24"/>
                <w:vertAlign w:val="subscript"/>
              </w:rPr>
              <w:t>i</w:t>
            </w:r>
            <w:r>
              <w:rPr>
                <w:sz w:val="24"/>
              </w:rPr>
              <w:t>(第i个污染物，简称“最大浓度占标率”)，及第i个污染物的地面空气质量浓度达到标准值的10%时所对应的最远距离D</w:t>
            </w:r>
            <w:r>
              <w:rPr>
                <w:sz w:val="24"/>
                <w:vertAlign w:val="subscript"/>
              </w:rPr>
              <w:t>10%</w:t>
            </w:r>
            <w:r>
              <w:rPr>
                <w:sz w:val="24"/>
              </w:rPr>
              <w:t>。其中P</w:t>
            </w:r>
            <w:r>
              <w:rPr>
                <w:sz w:val="24"/>
                <w:vertAlign w:val="subscript"/>
              </w:rPr>
              <w:t>i</w:t>
            </w:r>
            <w:r>
              <w:rPr>
                <w:sz w:val="24"/>
              </w:rPr>
              <w:t>定义为：</w:t>
            </w:r>
          </w:p>
          <w:p>
            <w:pPr>
              <w:spacing w:line="360" w:lineRule="auto"/>
              <w:ind w:firstLine="420" w:firstLineChars="200"/>
              <w:jc w:val="center"/>
              <w:rPr>
                <w:sz w:val="24"/>
              </w:rPr>
            </w:pPr>
            <w:r>
              <w:rPr>
                <w:lang w:val="en-US"/>
              </w:rPr>
              <w:drawing>
                <wp:inline distT="0" distB="0" distL="114300" distR="114300">
                  <wp:extent cx="1362075" cy="5238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1362075" cy="523875"/>
                          </a:xfrm>
                          <a:prstGeom prst="rect">
                            <a:avLst/>
                          </a:prstGeom>
                          <a:noFill/>
                          <a:ln>
                            <a:noFill/>
                          </a:ln>
                        </pic:spPr>
                      </pic:pic>
                    </a:graphicData>
                  </a:graphic>
                </wp:inline>
              </w:drawing>
            </w:r>
          </w:p>
          <w:p>
            <w:pPr>
              <w:spacing w:line="360" w:lineRule="auto"/>
              <w:ind w:firstLine="480" w:firstLineChars="200"/>
              <w:rPr>
                <w:sz w:val="24"/>
              </w:rPr>
            </w:pPr>
            <w:r>
              <w:rPr>
                <w:sz w:val="24"/>
              </w:rPr>
              <w:t>式中：P</w:t>
            </w:r>
            <w:r>
              <w:rPr>
                <w:sz w:val="24"/>
                <w:vertAlign w:val="subscript"/>
              </w:rPr>
              <w:t>i</w:t>
            </w:r>
            <w:r>
              <w:rPr>
                <w:sz w:val="24"/>
              </w:rPr>
              <w:t>——第i个污染物的最大地面浓度占标率，%；</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sz w:val="24"/>
              </w:rPr>
            </w:pPr>
            <w:r>
              <w:rPr>
                <w:sz w:val="24"/>
              </w:rPr>
              <w:t>C</w:t>
            </w:r>
            <w:r>
              <w:rPr>
                <w:sz w:val="24"/>
                <w:vertAlign w:val="subscript"/>
              </w:rPr>
              <w:t>i</w:t>
            </w:r>
            <w:r>
              <w:rPr>
                <w:sz w:val="24"/>
              </w:rPr>
              <w:t>——采用估算模式计算出的第i个污染物的最大地面浓度，mg/m</w:t>
            </w:r>
            <w:r>
              <w:rPr>
                <w:sz w:val="24"/>
                <w:vertAlign w:val="superscript"/>
              </w:rPr>
              <w:t>3</w:t>
            </w:r>
            <w:r>
              <w:rPr>
                <w:sz w:val="24"/>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200" w:firstLineChars="500"/>
              <w:textAlignment w:val="auto"/>
              <w:rPr>
                <w:sz w:val="24"/>
              </w:rPr>
            </w:pPr>
            <w:r>
              <w:rPr>
                <w:sz w:val="24"/>
              </w:rPr>
              <w:t>C</w:t>
            </w:r>
            <w:r>
              <w:rPr>
                <w:sz w:val="24"/>
                <w:vertAlign w:val="subscript"/>
              </w:rPr>
              <w:t>0i</w:t>
            </w:r>
            <w:r>
              <w:rPr>
                <w:sz w:val="24"/>
              </w:rPr>
              <w:t>——第i个污染物的环境空气质量标准(一般选用GB3095中1小时平均取样时间的二级标准的浓度限值)，mg/m</w:t>
            </w:r>
            <w:r>
              <w:rPr>
                <w:sz w:val="24"/>
                <w:vertAlign w:val="superscript"/>
              </w:rPr>
              <w:t>3</w:t>
            </w:r>
            <w:r>
              <w:rPr>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sz w:val="24"/>
                <w:szCs w:val="32"/>
              </w:rPr>
            </w:pPr>
            <w:r>
              <w:rPr>
                <w:b/>
                <w:sz w:val="24"/>
                <w:szCs w:val="32"/>
              </w:rPr>
              <w:t>(2)污染源参数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sz w:val="24"/>
              </w:rPr>
              <w:t>主要污染物排放参数见表7-</w:t>
            </w:r>
            <w:r>
              <w:rPr>
                <w:rFonts w:hint="eastAsia"/>
                <w:sz w:val="24"/>
                <w:lang w:val="en-US" w:eastAsia="zh-CN"/>
              </w:rPr>
              <w:t>3~7-5</w:t>
            </w:r>
            <w:r>
              <w:rPr>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w:t>
            </w:r>
            <w:r>
              <w:rPr>
                <w:rFonts w:hint="eastAsia" w:ascii="Times New Roman" w:hAnsi="Times New Roman" w:cs="Times New Roman" w:eastAsiaTheme="minorEastAsia"/>
                <w:b/>
                <w:color w:val="000000" w:themeColor="text1"/>
                <w:sz w:val="24"/>
                <w:szCs w:val="24"/>
                <w:lang w:val="en-US" w:eastAsia="zh-CN"/>
              </w:rPr>
              <w:t>3</w:t>
            </w:r>
            <w:r>
              <w:rPr>
                <w:rFonts w:hint="eastAsia" w:ascii="Times New Roman" w:hAnsi="Times New Roman" w:cs="Times New Roman" w:eastAsiaTheme="minorEastAsia"/>
                <w:b/>
                <w:color w:val="000000" w:themeColor="text1"/>
                <w:sz w:val="24"/>
                <w:szCs w:val="24"/>
                <w:lang w:val="en-US"/>
              </w:rPr>
              <w:t xml:space="preserve">  点源排放参数</w:t>
            </w:r>
          </w:p>
          <w:tbl>
            <w:tblPr>
              <w:tblStyle w:val="7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01"/>
              <w:gridCol w:w="1004"/>
              <w:gridCol w:w="479"/>
              <w:gridCol w:w="462"/>
              <w:gridCol w:w="479"/>
              <w:gridCol w:w="734"/>
              <w:gridCol w:w="540"/>
              <w:gridCol w:w="636"/>
              <w:gridCol w:w="470"/>
              <w:gridCol w:w="706"/>
              <w:gridCol w:w="79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3" w:type="pct"/>
                  <w:vMerge w:val="restart"/>
                  <w:tcBorders>
                    <w:tl2br w:val="nil"/>
                    <w:tr2bl w:val="nil"/>
                  </w:tcBorders>
                  <w:vAlign w:val="center"/>
                </w:tcPr>
                <w:p>
                  <w:pPr>
                    <w:adjustRightInd w:val="0"/>
                    <w:snapToGrid w:val="0"/>
                    <w:ind w:right="-63" w:rightChars="-30"/>
                    <w:jc w:val="center"/>
                    <w:rPr>
                      <w:b/>
                      <w:bCs/>
                    </w:rPr>
                  </w:pPr>
                  <w:r>
                    <w:rPr>
                      <w:rFonts w:hint="eastAsia"/>
                      <w:b/>
                      <w:bCs/>
                    </w:rPr>
                    <w:t>点源编号</w:t>
                  </w:r>
                </w:p>
              </w:tc>
              <w:tc>
                <w:tcPr>
                  <w:tcW w:w="1267" w:type="pct"/>
                  <w:gridSpan w:val="2"/>
                  <w:tcBorders>
                    <w:tl2br w:val="nil"/>
                    <w:tr2bl w:val="nil"/>
                  </w:tcBorders>
                  <w:vAlign w:val="center"/>
                </w:tcPr>
                <w:p>
                  <w:pPr>
                    <w:snapToGrid w:val="0"/>
                    <w:jc w:val="center"/>
                    <w:rPr>
                      <w:b/>
                      <w:bCs/>
                    </w:rPr>
                  </w:pPr>
                  <w:r>
                    <w:rPr>
                      <w:rFonts w:hint="eastAsia"/>
                      <w:b/>
                      <w:bCs/>
                    </w:rPr>
                    <w:t>排气筒底部</w:t>
                  </w:r>
                </w:p>
                <w:p>
                  <w:pPr>
                    <w:adjustRightInd w:val="0"/>
                    <w:snapToGrid w:val="0"/>
                    <w:ind w:left="-80" w:leftChars="-38" w:right="-63" w:rightChars="-30"/>
                    <w:jc w:val="center"/>
                    <w:rPr>
                      <w:b/>
                      <w:bCs/>
                    </w:rPr>
                  </w:pPr>
                  <w:r>
                    <w:rPr>
                      <w:rFonts w:hint="eastAsia"/>
                      <w:b/>
                      <w:bCs/>
                    </w:rPr>
                    <w:t>中心坐标</w:t>
                  </w:r>
                  <w:r>
                    <w:rPr>
                      <w:b/>
                      <w:bCs/>
                    </w:rPr>
                    <w:t>/m</w:t>
                  </w:r>
                </w:p>
              </w:tc>
              <w:tc>
                <w:tcPr>
                  <w:tcW w:w="288"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排气筒底部海拔高度</w:t>
                  </w:r>
                  <w:r>
                    <w:rPr>
                      <w:b/>
                      <w:bCs/>
                    </w:rPr>
                    <w:t>/m</w:t>
                  </w:r>
                </w:p>
              </w:tc>
              <w:tc>
                <w:tcPr>
                  <w:tcW w:w="294"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排气筒高度</w:t>
                  </w:r>
                  <w:r>
                    <w:rPr>
                      <w:b/>
                      <w:bCs/>
                    </w:rPr>
                    <w:t>/m</w:t>
                  </w:r>
                </w:p>
              </w:tc>
              <w:tc>
                <w:tcPr>
                  <w:tcW w:w="297"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排气筒出口内径</w:t>
                  </w:r>
                  <w:r>
                    <w:rPr>
                      <w:b/>
                      <w:bCs/>
                    </w:rPr>
                    <w:t>/m</w:t>
                  </w:r>
                </w:p>
              </w:tc>
              <w:tc>
                <w:tcPr>
                  <w:tcW w:w="441"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烟气流量</w:t>
                  </w:r>
                  <w:r>
                    <w:rPr>
                      <w:b/>
                      <w:bCs/>
                    </w:rPr>
                    <w:t>/</w:t>
                  </w:r>
                  <w:r>
                    <w:rPr>
                      <w:rFonts w:hint="eastAsia"/>
                      <w:b/>
                      <w:bCs/>
                    </w:rPr>
                    <w:t>（m</w:t>
                  </w:r>
                  <w:r>
                    <w:rPr>
                      <w:b/>
                      <w:bCs/>
                      <w:vertAlign w:val="superscript"/>
                    </w:rPr>
                    <w:t>3</w:t>
                  </w:r>
                  <w:r>
                    <w:rPr>
                      <w:b/>
                      <w:bCs/>
                    </w:rPr>
                    <w:t>/</w:t>
                  </w:r>
                  <w:r>
                    <w:rPr>
                      <w:rFonts w:hint="eastAsia"/>
                      <w:b/>
                      <w:bCs/>
                      <w:lang w:val="en-US"/>
                    </w:rPr>
                    <w:t xml:space="preserve"> h</w:t>
                  </w:r>
                  <w:r>
                    <w:rPr>
                      <w:rFonts w:hint="eastAsia"/>
                      <w:b/>
                      <w:bCs/>
                    </w:rPr>
                    <w:t>）</w:t>
                  </w:r>
                </w:p>
              </w:tc>
              <w:tc>
                <w:tcPr>
                  <w:tcW w:w="333"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烟气温度/ ℃</w:t>
                  </w:r>
                </w:p>
              </w:tc>
              <w:tc>
                <w:tcPr>
                  <w:tcW w:w="351"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年排放小时数</w:t>
                  </w:r>
                  <w:r>
                    <w:rPr>
                      <w:b/>
                      <w:bCs/>
                    </w:rPr>
                    <w:t>/h</w:t>
                  </w:r>
                </w:p>
              </w:tc>
              <w:tc>
                <w:tcPr>
                  <w:tcW w:w="291" w:type="pct"/>
                  <w:vMerge w:val="restart"/>
                  <w:tcBorders>
                    <w:tl2br w:val="nil"/>
                    <w:tr2bl w:val="nil"/>
                  </w:tcBorders>
                  <w:vAlign w:val="center"/>
                </w:tcPr>
                <w:p>
                  <w:pPr>
                    <w:adjustRightInd w:val="0"/>
                    <w:snapToGrid w:val="0"/>
                    <w:ind w:left="-80" w:leftChars="-38" w:right="-63" w:rightChars="-30"/>
                    <w:jc w:val="center"/>
                    <w:rPr>
                      <w:b/>
                      <w:bCs/>
                    </w:rPr>
                  </w:pPr>
                  <w:r>
                    <w:rPr>
                      <w:rFonts w:hint="eastAsia"/>
                      <w:b/>
                      <w:bCs/>
                    </w:rPr>
                    <w:t>排放</w:t>
                  </w:r>
                </w:p>
                <w:p>
                  <w:pPr>
                    <w:adjustRightInd w:val="0"/>
                    <w:snapToGrid w:val="0"/>
                    <w:ind w:left="-80" w:leftChars="-38" w:right="-63" w:rightChars="-30"/>
                    <w:jc w:val="center"/>
                    <w:rPr>
                      <w:b/>
                      <w:bCs/>
                    </w:rPr>
                  </w:pPr>
                  <w:r>
                    <w:rPr>
                      <w:rFonts w:hint="eastAsia"/>
                      <w:b/>
                      <w:bCs/>
                    </w:rPr>
                    <w:t>工况</w:t>
                  </w:r>
                </w:p>
              </w:tc>
              <w:tc>
                <w:tcPr>
                  <w:tcW w:w="882" w:type="pct"/>
                  <w:gridSpan w:val="2"/>
                  <w:vMerge w:val="restart"/>
                  <w:tcBorders>
                    <w:tl2br w:val="nil"/>
                    <w:tr2bl w:val="nil"/>
                  </w:tcBorders>
                  <w:vAlign w:val="center"/>
                </w:tcPr>
                <w:p>
                  <w:pPr>
                    <w:adjustRightInd w:val="0"/>
                    <w:snapToGrid w:val="0"/>
                    <w:ind w:left="-80" w:leftChars="-38" w:right="-63" w:rightChars="-30"/>
                    <w:jc w:val="center"/>
                    <w:rPr>
                      <w:b/>
                      <w:bCs/>
                    </w:rPr>
                  </w:pPr>
                  <w:r>
                    <w:rPr>
                      <w:rFonts w:hint="eastAsia"/>
                      <w:b/>
                      <w:bCs/>
                    </w:rPr>
                    <w:t>污染物排放速率</w:t>
                  </w:r>
                  <w:r>
                    <w:rPr>
                      <w:b/>
                      <w:bCs/>
                    </w:rPr>
                    <w:t>/</w:t>
                  </w:r>
                  <w:r>
                    <w:rPr>
                      <w:rFonts w:hint="eastAsia"/>
                      <w:b/>
                      <w:bCs/>
                    </w:rPr>
                    <w:t>（</w:t>
                  </w:r>
                  <w:r>
                    <w:rPr>
                      <w:b/>
                      <w:bCs/>
                    </w:rPr>
                    <w:t>kg/h</w:t>
                  </w:r>
                  <w:r>
                    <w:rPr>
                      <w:rFonts w:hint="eastAsia"/>
                      <w:b/>
                      <w:bC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3" w:type="pct"/>
                  <w:vMerge w:val="continue"/>
                  <w:tcBorders>
                    <w:tl2br w:val="nil"/>
                    <w:tr2bl w:val="nil"/>
                  </w:tcBorders>
                  <w:vAlign w:val="center"/>
                </w:tcPr>
                <w:p>
                  <w:pPr>
                    <w:adjustRightInd w:val="0"/>
                    <w:snapToGrid w:val="0"/>
                    <w:ind w:left="-80" w:leftChars="-38" w:right="-63" w:rightChars="-30"/>
                    <w:jc w:val="center"/>
                    <w:rPr>
                      <w:b/>
                      <w:bCs/>
                    </w:rPr>
                  </w:pPr>
                </w:p>
              </w:tc>
              <w:tc>
                <w:tcPr>
                  <w:tcW w:w="662" w:type="pct"/>
                  <w:tcBorders>
                    <w:tl2br w:val="nil"/>
                    <w:tr2bl w:val="nil"/>
                  </w:tcBorders>
                  <w:vAlign w:val="center"/>
                </w:tcPr>
                <w:p>
                  <w:pPr>
                    <w:snapToGrid w:val="0"/>
                    <w:jc w:val="center"/>
                    <w:rPr>
                      <w:b/>
                      <w:bCs/>
                    </w:rPr>
                  </w:pPr>
                  <w:r>
                    <w:rPr>
                      <w:b/>
                      <w:bCs/>
                    </w:rPr>
                    <w:t>X</w:t>
                  </w:r>
                </w:p>
              </w:tc>
              <w:tc>
                <w:tcPr>
                  <w:tcW w:w="604" w:type="pct"/>
                  <w:tcBorders>
                    <w:tl2br w:val="nil"/>
                    <w:tr2bl w:val="nil"/>
                  </w:tcBorders>
                  <w:vAlign w:val="center"/>
                </w:tcPr>
                <w:p>
                  <w:pPr>
                    <w:snapToGrid w:val="0"/>
                    <w:jc w:val="center"/>
                    <w:rPr>
                      <w:b/>
                      <w:bCs/>
                    </w:rPr>
                  </w:pPr>
                  <w:r>
                    <w:rPr>
                      <w:b/>
                      <w:bCs/>
                    </w:rPr>
                    <w:t>Y</w:t>
                  </w:r>
                </w:p>
              </w:tc>
              <w:tc>
                <w:tcPr>
                  <w:tcW w:w="288" w:type="pct"/>
                  <w:vMerge w:val="continue"/>
                  <w:tcBorders>
                    <w:tl2br w:val="nil"/>
                    <w:tr2bl w:val="nil"/>
                  </w:tcBorders>
                  <w:vAlign w:val="center"/>
                </w:tcPr>
                <w:p>
                  <w:pPr>
                    <w:adjustRightInd w:val="0"/>
                    <w:snapToGrid w:val="0"/>
                    <w:ind w:left="-80" w:leftChars="-38" w:right="-63" w:rightChars="-30"/>
                    <w:jc w:val="center"/>
                    <w:rPr>
                      <w:b/>
                      <w:bCs/>
                    </w:rPr>
                  </w:pPr>
                </w:p>
              </w:tc>
              <w:tc>
                <w:tcPr>
                  <w:tcW w:w="294" w:type="pct"/>
                  <w:vMerge w:val="continue"/>
                  <w:tcBorders>
                    <w:tl2br w:val="nil"/>
                    <w:tr2bl w:val="nil"/>
                  </w:tcBorders>
                  <w:vAlign w:val="center"/>
                </w:tcPr>
                <w:p>
                  <w:pPr>
                    <w:adjustRightInd w:val="0"/>
                    <w:snapToGrid w:val="0"/>
                    <w:ind w:left="-80" w:leftChars="-38" w:right="-63" w:rightChars="-30"/>
                    <w:jc w:val="center"/>
                    <w:rPr>
                      <w:b/>
                      <w:bCs/>
                    </w:rPr>
                  </w:pPr>
                </w:p>
              </w:tc>
              <w:tc>
                <w:tcPr>
                  <w:tcW w:w="297" w:type="pct"/>
                  <w:vMerge w:val="continue"/>
                  <w:tcBorders>
                    <w:tl2br w:val="nil"/>
                    <w:tr2bl w:val="nil"/>
                  </w:tcBorders>
                  <w:vAlign w:val="center"/>
                </w:tcPr>
                <w:p>
                  <w:pPr>
                    <w:adjustRightInd w:val="0"/>
                    <w:snapToGrid w:val="0"/>
                    <w:ind w:left="-80" w:leftChars="-38" w:right="-63" w:rightChars="-30"/>
                    <w:jc w:val="center"/>
                    <w:rPr>
                      <w:b/>
                      <w:bCs/>
                    </w:rPr>
                  </w:pPr>
                </w:p>
              </w:tc>
              <w:tc>
                <w:tcPr>
                  <w:tcW w:w="441" w:type="pct"/>
                  <w:vMerge w:val="continue"/>
                  <w:tcBorders>
                    <w:tl2br w:val="nil"/>
                    <w:tr2bl w:val="nil"/>
                  </w:tcBorders>
                  <w:vAlign w:val="center"/>
                </w:tcPr>
                <w:p>
                  <w:pPr>
                    <w:adjustRightInd w:val="0"/>
                    <w:snapToGrid w:val="0"/>
                    <w:ind w:left="-80" w:leftChars="-38" w:right="-63" w:rightChars="-30"/>
                    <w:jc w:val="center"/>
                    <w:rPr>
                      <w:b/>
                      <w:bCs/>
                    </w:rPr>
                  </w:pPr>
                </w:p>
              </w:tc>
              <w:tc>
                <w:tcPr>
                  <w:tcW w:w="333" w:type="pct"/>
                  <w:vMerge w:val="continue"/>
                  <w:tcBorders>
                    <w:tl2br w:val="nil"/>
                    <w:tr2bl w:val="nil"/>
                  </w:tcBorders>
                  <w:vAlign w:val="center"/>
                </w:tcPr>
                <w:p>
                  <w:pPr>
                    <w:adjustRightInd w:val="0"/>
                    <w:snapToGrid w:val="0"/>
                    <w:ind w:left="-80" w:leftChars="-38" w:right="-63" w:rightChars="-30"/>
                    <w:jc w:val="center"/>
                    <w:rPr>
                      <w:b/>
                      <w:bCs/>
                    </w:rPr>
                  </w:pPr>
                </w:p>
              </w:tc>
              <w:tc>
                <w:tcPr>
                  <w:tcW w:w="351" w:type="pct"/>
                  <w:vMerge w:val="continue"/>
                  <w:tcBorders>
                    <w:tl2br w:val="nil"/>
                    <w:tr2bl w:val="nil"/>
                  </w:tcBorders>
                  <w:vAlign w:val="center"/>
                </w:tcPr>
                <w:p>
                  <w:pPr>
                    <w:adjustRightInd w:val="0"/>
                    <w:snapToGrid w:val="0"/>
                    <w:ind w:left="-80" w:leftChars="-38" w:right="-63" w:rightChars="-30"/>
                    <w:jc w:val="center"/>
                    <w:rPr>
                      <w:b/>
                      <w:bCs/>
                    </w:rPr>
                  </w:pPr>
                </w:p>
              </w:tc>
              <w:tc>
                <w:tcPr>
                  <w:tcW w:w="291" w:type="pct"/>
                  <w:vMerge w:val="continue"/>
                  <w:tcBorders>
                    <w:tl2br w:val="nil"/>
                    <w:tr2bl w:val="nil"/>
                  </w:tcBorders>
                  <w:vAlign w:val="center"/>
                </w:tcPr>
                <w:p>
                  <w:pPr>
                    <w:adjustRightInd w:val="0"/>
                    <w:snapToGrid w:val="0"/>
                    <w:ind w:left="-80" w:leftChars="-38" w:right="-63" w:rightChars="-30"/>
                    <w:jc w:val="center"/>
                    <w:rPr>
                      <w:b/>
                      <w:bCs/>
                    </w:rPr>
                  </w:pPr>
                </w:p>
              </w:tc>
              <w:tc>
                <w:tcPr>
                  <w:tcW w:w="882" w:type="pct"/>
                  <w:gridSpan w:val="2"/>
                  <w:vMerge w:val="continue"/>
                  <w:tcBorders>
                    <w:tl2br w:val="nil"/>
                    <w:tr2bl w:val="nil"/>
                  </w:tcBorders>
                  <w:vAlign w:val="center"/>
                </w:tcPr>
                <w:p>
                  <w:pPr>
                    <w:jc w:val="center"/>
                    <w:rPr>
                      <w:b/>
                      <w:bCs/>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53" w:type="pct"/>
                  <w:vMerge w:val="restart"/>
                  <w:tcBorders>
                    <w:tl2br w:val="nil"/>
                    <w:tr2bl w:val="nil"/>
                  </w:tcBorders>
                  <w:vAlign w:val="center"/>
                </w:tcPr>
                <w:p>
                  <w:pPr>
                    <w:adjustRightInd w:val="0"/>
                    <w:snapToGrid w:val="0"/>
                    <w:jc w:val="center"/>
                    <w:rPr>
                      <w:rFonts w:hint="eastAsia" w:eastAsia="宋体"/>
                      <w:szCs w:val="22"/>
                      <w:lang w:eastAsia="zh-CN"/>
                    </w:rPr>
                  </w:pPr>
                  <w:r>
                    <w:rPr>
                      <w:rFonts w:hint="eastAsia"/>
                      <w:szCs w:val="22"/>
                    </w:rPr>
                    <w:t>DA00</w:t>
                  </w:r>
                  <w:r>
                    <w:rPr>
                      <w:rFonts w:hint="eastAsia"/>
                      <w:szCs w:val="22"/>
                      <w:lang w:val="en-US" w:eastAsia="zh-CN"/>
                    </w:rPr>
                    <w:t>1</w:t>
                  </w:r>
                </w:p>
              </w:tc>
              <w:tc>
                <w:tcPr>
                  <w:tcW w:w="662" w:type="pct"/>
                  <w:vMerge w:val="restart"/>
                  <w:tcBorders>
                    <w:tl2br w:val="nil"/>
                    <w:tr2bl w:val="nil"/>
                  </w:tcBorders>
                  <w:vAlign w:val="center"/>
                </w:tcPr>
                <w:p>
                  <w:pPr>
                    <w:adjustRightInd w:val="0"/>
                    <w:snapToGrid w:val="0"/>
                    <w:jc w:val="center"/>
                    <w:rPr>
                      <w:rFonts w:hint="default" w:eastAsia="宋体"/>
                      <w:szCs w:val="22"/>
                      <w:lang w:val="en-US" w:eastAsia="zh-CN"/>
                    </w:rPr>
                  </w:pPr>
                  <w:r>
                    <w:rPr>
                      <w:rFonts w:hint="eastAsia"/>
                      <w:szCs w:val="22"/>
                      <w:lang w:val="en-US" w:eastAsia="zh-CN"/>
                    </w:rPr>
                    <w:t>119.81778</w:t>
                  </w:r>
                </w:p>
              </w:tc>
              <w:tc>
                <w:tcPr>
                  <w:tcW w:w="604" w:type="pct"/>
                  <w:vMerge w:val="restart"/>
                  <w:tcBorders>
                    <w:tl2br w:val="nil"/>
                    <w:tr2bl w:val="nil"/>
                  </w:tcBorders>
                  <w:vAlign w:val="center"/>
                </w:tcPr>
                <w:p>
                  <w:pPr>
                    <w:adjustRightInd w:val="0"/>
                    <w:snapToGrid w:val="0"/>
                    <w:jc w:val="center"/>
                    <w:rPr>
                      <w:rFonts w:hint="default" w:eastAsia="宋体"/>
                      <w:szCs w:val="22"/>
                      <w:lang w:val="en-US" w:eastAsia="zh-CN"/>
                    </w:rPr>
                  </w:pPr>
                  <w:r>
                    <w:rPr>
                      <w:rFonts w:hint="eastAsia"/>
                      <w:szCs w:val="22"/>
                      <w:lang w:val="en-US" w:eastAsia="zh-CN"/>
                    </w:rPr>
                    <w:t>31.29799</w:t>
                  </w:r>
                </w:p>
              </w:tc>
              <w:tc>
                <w:tcPr>
                  <w:tcW w:w="288" w:type="pct"/>
                  <w:vMerge w:val="restart"/>
                  <w:tcBorders>
                    <w:tl2br w:val="nil"/>
                    <w:tr2bl w:val="nil"/>
                  </w:tcBorders>
                  <w:vAlign w:val="center"/>
                </w:tcPr>
                <w:p>
                  <w:pPr>
                    <w:adjustRightInd w:val="0"/>
                    <w:snapToGrid w:val="0"/>
                    <w:jc w:val="center"/>
                    <w:rPr>
                      <w:rFonts w:hint="default" w:eastAsia="宋体"/>
                      <w:szCs w:val="22"/>
                      <w:lang w:val="en-US" w:eastAsia="zh-CN"/>
                    </w:rPr>
                  </w:pPr>
                  <w:r>
                    <w:rPr>
                      <w:rFonts w:hint="eastAsia"/>
                      <w:szCs w:val="22"/>
                      <w:lang w:val="en-US" w:eastAsia="zh-CN"/>
                    </w:rPr>
                    <w:t>1.5</w:t>
                  </w:r>
                </w:p>
              </w:tc>
              <w:tc>
                <w:tcPr>
                  <w:tcW w:w="294" w:type="pct"/>
                  <w:vMerge w:val="restart"/>
                  <w:tcBorders>
                    <w:tl2br w:val="nil"/>
                    <w:tr2bl w:val="nil"/>
                  </w:tcBorders>
                  <w:vAlign w:val="center"/>
                </w:tcPr>
                <w:p>
                  <w:pPr>
                    <w:adjustRightInd w:val="0"/>
                    <w:snapToGrid w:val="0"/>
                    <w:jc w:val="center"/>
                    <w:rPr>
                      <w:szCs w:val="22"/>
                    </w:rPr>
                  </w:pPr>
                  <w:r>
                    <w:rPr>
                      <w:szCs w:val="22"/>
                    </w:rPr>
                    <w:t>15</w:t>
                  </w:r>
                </w:p>
              </w:tc>
              <w:tc>
                <w:tcPr>
                  <w:tcW w:w="297" w:type="pct"/>
                  <w:vMerge w:val="restart"/>
                  <w:tcBorders>
                    <w:tl2br w:val="nil"/>
                    <w:tr2bl w:val="nil"/>
                  </w:tcBorders>
                  <w:vAlign w:val="center"/>
                </w:tcPr>
                <w:p>
                  <w:pPr>
                    <w:adjustRightInd w:val="0"/>
                    <w:snapToGrid w:val="0"/>
                    <w:jc w:val="center"/>
                    <w:rPr>
                      <w:szCs w:val="22"/>
                    </w:rPr>
                  </w:pPr>
                  <w:r>
                    <w:rPr>
                      <w:szCs w:val="22"/>
                    </w:rPr>
                    <w:t>0.4</w:t>
                  </w:r>
                </w:p>
              </w:tc>
              <w:tc>
                <w:tcPr>
                  <w:tcW w:w="441" w:type="pct"/>
                  <w:vMerge w:val="restart"/>
                  <w:tcBorders>
                    <w:tl2br w:val="nil"/>
                    <w:tr2bl w:val="nil"/>
                  </w:tcBorders>
                  <w:vAlign w:val="center"/>
                </w:tcPr>
                <w:p>
                  <w:pPr>
                    <w:adjustRightInd w:val="0"/>
                    <w:snapToGrid w:val="0"/>
                    <w:jc w:val="center"/>
                    <w:rPr>
                      <w:rFonts w:hint="default" w:eastAsia="宋体"/>
                      <w:szCs w:val="22"/>
                      <w:lang w:val="en-US" w:eastAsia="zh-CN"/>
                    </w:rPr>
                  </w:pPr>
                  <w:r>
                    <w:rPr>
                      <w:rFonts w:hint="eastAsia"/>
                      <w:szCs w:val="22"/>
                      <w:lang w:val="en-US" w:eastAsia="zh-CN"/>
                    </w:rPr>
                    <w:t>11000</w:t>
                  </w:r>
                </w:p>
              </w:tc>
              <w:tc>
                <w:tcPr>
                  <w:tcW w:w="333" w:type="pct"/>
                  <w:vMerge w:val="restart"/>
                  <w:tcBorders>
                    <w:tl2br w:val="nil"/>
                    <w:tr2bl w:val="nil"/>
                  </w:tcBorders>
                  <w:vAlign w:val="center"/>
                </w:tcPr>
                <w:p>
                  <w:pPr>
                    <w:adjustRightInd w:val="0"/>
                    <w:snapToGrid w:val="0"/>
                    <w:jc w:val="center"/>
                    <w:rPr>
                      <w:szCs w:val="22"/>
                    </w:rPr>
                  </w:pPr>
                  <w:r>
                    <w:rPr>
                      <w:szCs w:val="22"/>
                    </w:rPr>
                    <w:t>25</w:t>
                  </w:r>
                </w:p>
              </w:tc>
              <w:tc>
                <w:tcPr>
                  <w:tcW w:w="351" w:type="pct"/>
                  <w:vMerge w:val="restart"/>
                  <w:tcBorders>
                    <w:tl2br w:val="nil"/>
                    <w:tr2bl w:val="nil"/>
                  </w:tcBorders>
                  <w:vAlign w:val="center"/>
                </w:tcPr>
                <w:p>
                  <w:pPr>
                    <w:adjustRightInd w:val="0"/>
                    <w:snapToGrid w:val="0"/>
                    <w:jc w:val="center"/>
                    <w:rPr>
                      <w:szCs w:val="22"/>
                    </w:rPr>
                  </w:pPr>
                  <w:r>
                    <w:rPr>
                      <w:rFonts w:hint="eastAsia"/>
                      <w:szCs w:val="22"/>
                    </w:rPr>
                    <w:t>7200</w:t>
                  </w:r>
                </w:p>
              </w:tc>
              <w:tc>
                <w:tcPr>
                  <w:tcW w:w="291" w:type="pct"/>
                  <w:tcBorders>
                    <w:tl2br w:val="nil"/>
                    <w:tr2bl w:val="nil"/>
                  </w:tcBorders>
                  <w:vAlign w:val="center"/>
                </w:tcPr>
                <w:p>
                  <w:pPr>
                    <w:adjustRightInd w:val="0"/>
                    <w:snapToGrid w:val="0"/>
                    <w:jc w:val="center"/>
                    <w:rPr>
                      <w:szCs w:val="22"/>
                    </w:rPr>
                  </w:pPr>
                  <w:r>
                    <w:rPr>
                      <w:szCs w:val="22"/>
                    </w:rPr>
                    <w:t>正常</w:t>
                  </w:r>
                </w:p>
              </w:tc>
              <w:tc>
                <w:tcPr>
                  <w:tcW w:w="433" w:type="pct"/>
                  <w:tcBorders>
                    <w:tl2br w:val="nil"/>
                    <w:tr2bl w:val="nil"/>
                  </w:tcBorders>
                  <w:vAlign w:val="center"/>
                </w:tcPr>
                <w:p>
                  <w:pPr>
                    <w:adjustRightInd w:val="0"/>
                    <w:snapToGrid w:val="0"/>
                    <w:jc w:val="center"/>
                    <w:rPr>
                      <w:szCs w:val="22"/>
                    </w:rPr>
                  </w:pPr>
                  <w:r>
                    <w:rPr>
                      <w:rFonts w:eastAsiaTheme="minorEastAsia"/>
                      <w:szCs w:val="21"/>
                    </w:rPr>
                    <w:t>NO</w:t>
                  </w:r>
                  <w:r>
                    <w:rPr>
                      <w:rFonts w:eastAsiaTheme="minorEastAsia"/>
                      <w:szCs w:val="21"/>
                      <w:vertAlign w:val="subscript"/>
                    </w:rPr>
                    <w:t>X</w:t>
                  </w:r>
                </w:p>
              </w:tc>
              <w:tc>
                <w:tcPr>
                  <w:tcW w:w="448" w:type="pct"/>
                  <w:tcBorders>
                    <w:tl2br w:val="nil"/>
                    <w:tr2bl w:val="nil"/>
                  </w:tcBorders>
                  <w:vAlign w:val="center"/>
                </w:tcPr>
                <w:p>
                  <w:pPr>
                    <w:adjustRightInd w:val="0"/>
                    <w:snapToGrid w:val="0"/>
                    <w:jc w:val="center"/>
                  </w:pPr>
                  <w:r>
                    <w:rPr>
                      <w:rFonts w:hint="eastAsia"/>
                      <w:color w:val="000000" w:themeColor="text1"/>
                      <w:kern w:val="0"/>
                      <w:szCs w:val="21"/>
                      <w:lang w:val="en-US" w:eastAsia="zh-CN"/>
                    </w:rPr>
                    <w:t>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53" w:type="pct"/>
                  <w:vMerge w:val="continue"/>
                  <w:tcBorders>
                    <w:tl2br w:val="nil"/>
                    <w:tr2bl w:val="nil"/>
                  </w:tcBorders>
                  <w:vAlign w:val="center"/>
                </w:tcPr>
                <w:p>
                  <w:pPr>
                    <w:adjustRightInd w:val="0"/>
                    <w:snapToGrid w:val="0"/>
                    <w:jc w:val="center"/>
                    <w:rPr>
                      <w:szCs w:val="22"/>
                    </w:rPr>
                  </w:pPr>
                </w:p>
              </w:tc>
              <w:tc>
                <w:tcPr>
                  <w:tcW w:w="662" w:type="pct"/>
                  <w:vMerge w:val="continue"/>
                  <w:tcBorders>
                    <w:tl2br w:val="nil"/>
                    <w:tr2bl w:val="nil"/>
                  </w:tcBorders>
                  <w:vAlign w:val="center"/>
                </w:tcPr>
                <w:p>
                  <w:pPr>
                    <w:adjustRightInd w:val="0"/>
                    <w:snapToGrid w:val="0"/>
                    <w:jc w:val="center"/>
                    <w:rPr>
                      <w:szCs w:val="22"/>
                    </w:rPr>
                  </w:pPr>
                </w:p>
              </w:tc>
              <w:tc>
                <w:tcPr>
                  <w:tcW w:w="604" w:type="pct"/>
                  <w:vMerge w:val="continue"/>
                  <w:tcBorders>
                    <w:tl2br w:val="nil"/>
                    <w:tr2bl w:val="nil"/>
                  </w:tcBorders>
                  <w:vAlign w:val="center"/>
                </w:tcPr>
                <w:p>
                  <w:pPr>
                    <w:adjustRightInd w:val="0"/>
                    <w:snapToGrid w:val="0"/>
                    <w:jc w:val="center"/>
                    <w:rPr>
                      <w:szCs w:val="22"/>
                    </w:rPr>
                  </w:pPr>
                </w:p>
              </w:tc>
              <w:tc>
                <w:tcPr>
                  <w:tcW w:w="288" w:type="pct"/>
                  <w:vMerge w:val="continue"/>
                  <w:tcBorders>
                    <w:tl2br w:val="nil"/>
                    <w:tr2bl w:val="nil"/>
                  </w:tcBorders>
                  <w:vAlign w:val="center"/>
                </w:tcPr>
                <w:p>
                  <w:pPr>
                    <w:adjustRightInd w:val="0"/>
                    <w:snapToGrid w:val="0"/>
                    <w:jc w:val="center"/>
                    <w:rPr>
                      <w:szCs w:val="22"/>
                    </w:rPr>
                  </w:pPr>
                </w:p>
              </w:tc>
              <w:tc>
                <w:tcPr>
                  <w:tcW w:w="294" w:type="pct"/>
                  <w:vMerge w:val="continue"/>
                  <w:tcBorders>
                    <w:tl2br w:val="nil"/>
                    <w:tr2bl w:val="nil"/>
                  </w:tcBorders>
                  <w:vAlign w:val="center"/>
                </w:tcPr>
                <w:p>
                  <w:pPr>
                    <w:adjustRightInd w:val="0"/>
                    <w:snapToGrid w:val="0"/>
                    <w:jc w:val="center"/>
                    <w:rPr>
                      <w:szCs w:val="22"/>
                    </w:rPr>
                  </w:pPr>
                </w:p>
              </w:tc>
              <w:tc>
                <w:tcPr>
                  <w:tcW w:w="297" w:type="pct"/>
                  <w:vMerge w:val="continue"/>
                  <w:tcBorders>
                    <w:tl2br w:val="nil"/>
                    <w:tr2bl w:val="nil"/>
                  </w:tcBorders>
                  <w:vAlign w:val="center"/>
                </w:tcPr>
                <w:p>
                  <w:pPr>
                    <w:adjustRightInd w:val="0"/>
                    <w:snapToGrid w:val="0"/>
                    <w:jc w:val="center"/>
                    <w:rPr>
                      <w:szCs w:val="22"/>
                    </w:rPr>
                  </w:pPr>
                </w:p>
              </w:tc>
              <w:tc>
                <w:tcPr>
                  <w:tcW w:w="441" w:type="pct"/>
                  <w:vMerge w:val="continue"/>
                  <w:tcBorders>
                    <w:tl2br w:val="nil"/>
                    <w:tr2bl w:val="nil"/>
                  </w:tcBorders>
                  <w:vAlign w:val="center"/>
                </w:tcPr>
                <w:p>
                  <w:pPr>
                    <w:adjustRightInd w:val="0"/>
                    <w:snapToGrid w:val="0"/>
                    <w:jc w:val="center"/>
                    <w:rPr>
                      <w:szCs w:val="22"/>
                    </w:rPr>
                  </w:pPr>
                </w:p>
              </w:tc>
              <w:tc>
                <w:tcPr>
                  <w:tcW w:w="333" w:type="pct"/>
                  <w:vMerge w:val="continue"/>
                  <w:tcBorders>
                    <w:tl2br w:val="nil"/>
                    <w:tr2bl w:val="nil"/>
                  </w:tcBorders>
                  <w:vAlign w:val="center"/>
                </w:tcPr>
                <w:p>
                  <w:pPr>
                    <w:adjustRightInd w:val="0"/>
                    <w:snapToGrid w:val="0"/>
                    <w:jc w:val="center"/>
                    <w:rPr>
                      <w:szCs w:val="22"/>
                    </w:rPr>
                  </w:pPr>
                </w:p>
              </w:tc>
              <w:tc>
                <w:tcPr>
                  <w:tcW w:w="351" w:type="pct"/>
                  <w:vMerge w:val="continue"/>
                  <w:tcBorders>
                    <w:tl2br w:val="nil"/>
                    <w:tr2bl w:val="nil"/>
                  </w:tcBorders>
                  <w:vAlign w:val="center"/>
                </w:tcPr>
                <w:p>
                  <w:pPr>
                    <w:adjustRightInd w:val="0"/>
                    <w:snapToGrid w:val="0"/>
                    <w:jc w:val="center"/>
                    <w:rPr>
                      <w:szCs w:val="22"/>
                    </w:rPr>
                  </w:pPr>
                </w:p>
              </w:tc>
              <w:tc>
                <w:tcPr>
                  <w:tcW w:w="291" w:type="pct"/>
                  <w:tcBorders>
                    <w:tl2br w:val="nil"/>
                    <w:tr2bl w:val="nil"/>
                  </w:tcBorders>
                  <w:vAlign w:val="center"/>
                </w:tcPr>
                <w:p>
                  <w:pPr>
                    <w:adjustRightInd w:val="0"/>
                    <w:snapToGrid w:val="0"/>
                    <w:jc w:val="center"/>
                    <w:rPr>
                      <w:szCs w:val="22"/>
                    </w:rPr>
                  </w:pPr>
                  <w:r>
                    <w:rPr>
                      <w:szCs w:val="22"/>
                    </w:rPr>
                    <w:t>正常</w:t>
                  </w:r>
                </w:p>
              </w:tc>
              <w:tc>
                <w:tcPr>
                  <w:tcW w:w="433" w:type="pct"/>
                  <w:tcBorders>
                    <w:tl2br w:val="nil"/>
                    <w:tr2bl w:val="nil"/>
                  </w:tcBorders>
                  <w:vAlign w:val="center"/>
                </w:tcPr>
                <w:p>
                  <w:pPr>
                    <w:adjustRightInd w:val="0"/>
                    <w:snapToGrid w:val="0"/>
                    <w:jc w:val="center"/>
                    <w:rPr>
                      <w:szCs w:val="22"/>
                    </w:rPr>
                  </w:pPr>
                  <w:r>
                    <w:rPr>
                      <w:rFonts w:eastAsiaTheme="minorEastAsia"/>
                      <w:szCs w:val="21"/>
                    </w:rPr>
                    <w:t>SO</w:t>
                  </w:r>
                  <w:r>
                    <w:rPr>
                      <w:rFonts w:eastAsiaTheme="minorEastAsia"/>
                      <w:szCs w:val="21"/>
                      <w:vertAlign w:val="subscript"/>
                    </w:rPr>
                    <w:t>2</w:t>
                  </w:r>
                </w:p>
              </w:tc>
              <w:tc>
                <w:tcPr>
                  <w:tcW w:w="448" w:type="pct"/>
                  <w:tcBorders>
                    <w:tl2br w:val="nil"/>
                    <w:tr2bl w:val="nil"/>
                  </w:tcBorders>
                  <w:vAlign w:val="center"/>
                </w:tcPr>
                <w:p>
                  <w:pPr>
                    <w:adjustRightInd w:val="0"/>
                    <w:snapToGrid w:val="0"/>
                    <w:jc w:val="center"/>
                    <w:rPr>
                      <w:rFonts w:ascii="Calibri" w:hAnsi="Calibri"/>
                      <w:sz w:val="18"/>
                      <w:szCs w:val="18"/>
                    </w:rPr>
                  </w:pPr>
                  <w:r>
                    <w:rPr>
                      <w:rFonts w:hint="eastAsia"/>
                      <w:color w:val="000000" w:themeColor="text1"/>
                      <w:kern w:val="0"/>
                      <w:szCs w:val="21"/>
                      <w:lang w:val="en-US" w:eastAsia="zh-CN"/>
                    </w:rPr>
                    <w:t>0.0022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53" w:type="pct"/>
                  <w:vMerge w:val="continue"/>
                  <w:tcBorders>
                    <w:tl2br w:val="nil"/>
                    <w:tr2bl w:val="nil"/>
                  </w:tcBorders>
                  <w:vAlign w:val="center"/>
                </w:tcPr>
                <w:p>
                  <w:pPr>
                    <w:adjustRightInd w:val="0"/>
                    <w:snapToGrid w:val="0"/>
                    <w:jc w:val="center"/>
                    <w:rPr>
                      <w:szCs w:val="22"/>
                    </w:rPr>
                  </w:pPr>
                </w:p>
              </w:tc>
              <w:tc>
                <w:tcPr>
                  <w:tcW w:w="662" w:type="pct"/>
                  <w:vMerge w:val="continue"/>
                  <w:tcBorders>
                    <w:tl2br w:val="nil"/>
                    <w:tr2bl w:val="nil"/>
                  </w:tcBorders>
                  <w:vAlign w:val="center"/>
                </w:tcPr>
                <w:p>
                  <w:pPr>
                    <w:adjustRightInd w:val="0"/>
                    <w:snapToGrid w:val="0"/>
                    <w:jc w:val="center"/>
                    <w:rPr>
                      <w:szCs w:val="22"/>
                    </w:rPr>
                  </w:pPr>
                </w:p>
              </w:tc>
              <w:tc>
                <w:tcPr>
                  <w:tcW w:w="604" w:type="pct"/>
                  <w:vMerge w:val="continue"/>
                  <w:tcBorders>
                    <w:tl2br w:val="nil"/>
                    <w:tr2bl w:val="nil"/>
                  </w:tcBorders>
                  <w:vAlign w:val="center"/>
                </w:tcPr>
                <w:p>
                  <w:pPr>
                    <w:adjustRightInd w:val="0"/>
                    <w:snapToGrid w:val="0"/>
                    <w:jc w:val="center"/>
                    <w:rPr>
                      <w:szCs w:val="22"/>
                    </w:rPr>
                  </w:pPr>
                </w:p>
              </w:tc>
              <w:tc>
                <w:tcPr>
                  <w:tcW w:w="288" w:type="pct"/>
                  <w:vMerge w:val="continue"/>
                  <w:tcBorders>
                    <w:tl2br w:val="nil"/>
                    <w:tr2bl w:val="nil"/>
                  </w:tcBorders>
                  <w:vAlign w:val="center"/>
                </w:tcPr>
                <w:p>
                  <w:pPr>
                    <w:adjustRightInd w:val="0"/>
                    <w:snapToGrid w:val="0"/>
                    <w:jc w:val="center"/>
                    <w:rPr>
                      <w:szCs w:val="22"/>
                    </w:rPr>
                  </w:pPr>
                </w:p>
              </w:tc>
              <w:tc>
                <w:tcPr>
                  <w:tcW w:w="294" w:type="pct"/>
                  <w:vMerge w:val="continue"/>
                  <w:tcBorders>
                    <w:tl2br w:val="nil"/>
                    <w:tr2bl w:val="nil"/>
                  </w:tcBorders>
                  <w:vAlign w:val="center"/>
                </w:tcPr>
                <w:p>
                  <w:pPr>
                    <w:adjustRightInd w:val="0"/>
                    <w:snapToGrid w:val="0"/>
                    <w:jc w:val="center"/>
                    <w:rPr>
                      <w:szCs w:val="22"/>
                    </w:rPr>
                  </w:pPr>
                </w:p>
              </w:tc>
              <w:tc>
                <w:tcPr>
                  <w:tcW w:w="297" w:type="pct"/>
                  <w:vMerge w:val="continue"/>
                  <w:tcBorders>
                    <w:tl2br w:val="nil"/>
                    <w:tr2bl w:val="nil"/>
                  </w:tcBorders>
                  <w:vAlign w:val="center"/>
                </w:tcPr>
                <w:p>
                  <w:pPr>
                    <w:adjustRightInd w:val="0"/>
                    <w:snapToGrid w:val="0"/>
                    <w:jc w:val="center"/>
                    <w:rPr>
                      <w:szCs w:val="22"/>
                    </w:rPr>
                  </w:pPr>
                </w:p>
              </w:tc>
              <w:tc>
                <w:tcPr>
                  <w:tcW w:w="441" w:type="pct"/>
                  <w:vMerge w:val="continue"/>
                  <w:tcBorders>
                    <w:tl2br w:val="nil"/>
                    <w:tr2bl w:val="nil"/>
                  </w:tcBorders>
                  <w:vAlign w:val="center"/>
                </w:tcPr>
                <w:p>
                  <w:pPr>
                    <w:adjustRightInd w:val="0"/>
                    <w:snapToGrid w:val="0"/>
                    <w:jc w:val="center"/>
                    <w:rPr>
                      <w:szCs w:val="22"/>
                    </w:rPr>
                  </w:pPr>
                </w:p>
              </w:tc>
              <w:tc>
                <w:tcPr>
                  <w:tcW w:w="333" w:type="pct"/>
                  <w:vMerge w:val="continue"/>
                  <w:tcBorders>
                    <w:tl2br w:val="nil"/>
                    <w:tr2bl w:val="nil"/>
                  </w:tcBorders>
                  <w:vAlign w:val="center"/>
                </w:tcPr>
                <w:p>
                  <w:pPr>
                    <w:adjustRightInd w:val="0"/>
                    <w:snapToGrid w:val="0"/>
                    <w:jc w:val="center"/>
                    <w:rPr>
                      <w:szCs w:val="22"/>
                    </w:rPr>
                  </w:pPr>
                </w:p>
              </w:tc>
              <w:tc>
                <w:tcPr>
                  <w:tcW w:w="351" w:type="pct"/>
                  <w:vMerge w:val="continue"/>
                  <w:tcBorders>
                    <w:tl2br w:val="nil"/>
                    <w:tr2bl w:val="nil"/>
                  </w:tcBorders>
                  <w:vAlign w:val="center"/>
                </w:tcPr>
                <w:p>
                  <w:pPr>
                    <w:adjustRightInd w:val="0"/>
                    <w:snapToGrid w:val="0"/>
                    <w:jc w:val="center"/>
                    <w:rPr>
                      <w:szCs w:val="22"/>
                    </w:rPr>
                  </w:pPr>
                </w:p>
              </w:tc>
              <w:tc>
                <w:tcPr>
                  <w:tcW w:w="291" w:type="pct"/>
                  <w:tcBorders>
                    <w:tl2br w:val="nil"/>
                    <w:tr2bl w:val="nil"/>
                  </w:tcBorders>
                  <w:vAlign w:val="center"/>
                </w:tcPr>
                <w:p>
                  <w:pPr>
                    <w:adjustRightInd w:val="0"/>
                    <w:snapToGrid w:val="0"/>
                    <w:jc w:val="center"/>
                    <w:rPr>
                      <w:szCs w:val="22"/>
                    </w:rPr>
                  </w:pPr>
                  <w:r>
                    <w:rPr>
                      <w:szCs w:val="22"/>
                    </w:rPr>
                    <w:t>正常</w:t>
                  </w:r>
                </w:p>
              </w:tc>
              <w:tc>
                <w:tcPr>
                  <w:tcW w:w="433" w:type="pct"/>
                  <w:tcBorders>
                    <w:tl2br w:val="nil"/>
                    <w:tr2bl w:val="nil"/>
                  </w:tcBorders>
                  <w:vAlign w:val="center"/>
                </w:tcPr>
                <w:p>
                  <w:pPr>
                    <w:adjustRightInd w:val="0"/>
                    <w:snapToGrid w:val="0"/>
                    <w:jc w:val="center"/>
                    <w:rPr>
                      <w:szCs w:val="22"/>
                    </w:rPr>
                  </w:pPr>
                  <w:r>
                    <w:rPr>
                      <w:rFonts w:hint="eastAsia" w:eastAsiaTheme="minorEastAsia"/>
                      <w:szCs w:val="21"/>
                    </w:rPr>
                    <w:t>颗粒物</w:t>
                  </w:r>
                </w:p>
              </w:tc>
              <w:tc>
                <w:tcPr>
                  <w:tcW w:w="448" w:type="pct"/>
                  <w:tcBorders>
                    <w:tl2br w:val="nil"/>
                    <w:tr2bl w:val="nil"/>
                  </w:tcBorders>
                  <w:vAlign w:val="center"/>
                </w:tcPr>
                <w:p>
                  <w:pPr>
                    <w:adjustRightInd w:val="0"/>
                    <w:snapToGrid w:val="0"/>
                    <w:jc w:val="center"/>
                    <w:rPr>
                      <w:rFonts w:ascii="Calibri" w:hAnsi="Calibri"/>
                      <w:sz w:val="18"/>
                      <w:szCs w:val="18"/>
                    </w:rPr>
                  </w:pPr>
                  <w:r>
                    <w:rPr>
                      <w:rFonts w:hint="eastAsia" w:eastAsiaTheme="minorEastAsia"/>
                      <w:color w:val="000000" w:themeColor="text1"/>
                      <w:szCs w:val="21"/>
                      <w:lang w:val="en-US" w:eastAsia="zh-CN"/>
                    </w:rPr>
                    <w:t>0.047</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bookmarkStart w:id="54" w:name="_Toc22557"/>
            <w:r>
              <w:rPr>
                <w:rFonts w:hint="eastAsia" w:ascii="Times New Roman" w:hAnsi="Times New Roman" w:cs="Times New Roman" w:eastAsiaTheme="minorEastAsia"/>
                <w:b/>
                <w:color w:val="000000" w:themeColor="text1"/>
                <w:sz w:val="24"/>
                <w:szCs w:val="24"/>
                <w:lang w:val="en-US"/>
              </w:rPr>
              <w:t>表7-</w:t>
            </w:r>
            <w:r>
              <w:rPr>
                <w:rFonts w:hint="eastAsia" w:ascii="Times New Roman" w:hAnsi="Times New Roman" w:cs="Times New Roman" w:eastAsiaTheme="minorEastAsia"/>
                <w:b/>
                <w:color w:val="000000" w:themeColor="text1"/>
                <w:sz w:val="24"/>
                <w:szCs w:val="24"/>
                <w:lang w:val="en-US" w:eastAsia="zh-CN"/>
              </w:rPr>
              <w:t>4</w:t>
            </w:r>
            <w:r>
              <w:rPr>
                <w:rFonts w:hint="eastAsia" w:ascii="Times New Roman" w:hAnsi="Times New Roman" w:cs="Times New Roman" w:eastAsiaTheme="minorEastAsia"/>
                <w:b/>
                <w:color w:val="000000" w:themeColor="text1"/>
                <w:sz w:val="24"/>
                <w:szCs w:val="24"/>
                <w:lang w:val="en-US"/>
              </w:rPr>
              <w:t xml:space="preserve">  面源排放参数</w:t>
            </w:r>
            <w:bookmarkEnd w:id="54"/>
          </w:p>
          <w:tbl>
            <w:tblPr>
              <w:tblStyle w:val="75"/>
              <w:tblW w:w="842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591"/>
              <w:gridCol w:w="1101"/>
              <w:gridCol w:w="1004"/>
              <w:gridCol w:w="725"/>
              <w:gridCol w:w="733"/>
              <w:gridCol w:w="630"/>
              <w:gridCol w:w="601"/>
              <w:gridCol w:w="739"/>
              <w:gridCol w:w="478"/>
              <w:gridCol w:w="663"/>
              <w:gridCol w:w="68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5" w:type="dxa"/>
                  <w:vMerge w:val="restart"/>
                  <w:tcBorders>
                    <w:tl2br w:val="nil"/>
                    <w:tr2bl w:val="nil"/>
                  </w:tcBorders>
                  <w:vAlign w:val="center"/>
                </w:tcPr>
                <w:p>
                  <w:pPr>
                    <w:adjustRightInd w:val="0"/>
                    <w:snapToGrid w:val="0"/>
                    <w:ind w:left="-80" w:leftChars="-38" w:right="-63" w:rightChars="-30"/>
                    <w:jc w:val="center"/>
                    <w:rPr>
                      <w:b/>
                      <w:bCs/>
                    </w:rPr>
                  </w:pPr>
                  <w:r>
                    <w:rPr>
                      <w:b/>
                      <w:bCs/>
                    </w:rPr>
                    <w:t>编号</w:t>
                  </w:r>
                </w:p>
              </w:tc>
              <w:tc>
                <w:tcPr>
                  <w:tcW w:w="654" w:type="dxa"/>
                  <w:vMerge w:val="restart"/>
                  <w:tcBorders>
                    <w:tl2br w:val="nil"/>
                    <w:tr2bl w:val="nil"/>
                  </w:tcBorders>
                  <w:vAlign w:val="center"/>
                </w:tcPr>
                <w:p>
                  <w:pPr>
                    <w:adjustRightInd w:val="0"/>
                    <w:snapToGrid w:val="0"/>
                    <w:ind w:left="-80" w:leftChars="-38" w:right="-63" w:rightChars="-30"/>
                    <w:jc w:val="center"/>
                    <w:rPr>
                      <w:b/>
                      <w:bCs/>
                    </w:rPr>
                  </w:pPr>
                  <w:r>
                    <w:rPr>
                      <w:b/>
                      <w:bCs/>
                    </w:rPr>
                    <w:t>名称</w:t>
                  </w:r>
                </w:p>
              </w:tc>
              <w:tc>
                <w:tcPr>
                  <w:tcW w:w="1600" w:type="dxa"/>
                  <w:gridSpan w:val="2"/>
                  <w:tcBorders>
                    <w:tl2br w:val="nil"/>
                    <w:tr2bl w:val="nil"/>
                  </w:tcBorders>
                  <w:vAlign w:val="center"/>
                </w:tcPr>
                <w:p>
                  <w:pPr>
                    <w:adjustRightInd w:val="0"/>
                    <w:snapToGrid w:val="0"/>
                    <w:ind w:left="-80" w:leftChars="-38" w:right="-63" w:rightChars="-30"/>
                    <w:jc w:val="center"/>
                    <w:rPr>
                      <w:b/>
                      <w:bCs/>
                    </w:rPr>
                  </w:pPr>
                  <w:r>
                    <w:rPr>
                      <w:b/>
                      <w:bCs/>
                    </w:rPr>
                    <w:t>车间中心坐标/m</w:t>
                  </w:r>
                </w:p>
              </w:tc>
              <w:tc>
                <w:tcPr>
                  <w:tcW w:w="819" w:type="dxa"/>
                  <w:vMerge w:val="restart"/>
                  <w:tcBorders>
                    <w:tl2br w:val="nil"/>
                    <w:tr2bl w:val="nil"/>
                  </w:tcBorders>
                  <w:vAlign w:val="center"/>
                </w:tcPr>
                <w:p>
                  <w:pPr>
                    <w:adjustRightInd w:val="0"/>
                    <w:snapToGrid w:val="0"/>
                    <w:ind w:left="-80" w:leftChars="-38" w:right="-63" w:rightChars="-30"/>
                    <w:jc w:val="center"/>
                    <w:rPr>
                      <w:b/>
                      <w:bCs/>
                    </w:rPr>
                  </w:pPr>
                  <w:r>
                    <w:rPr>
                      <w:b/>
                      <w:bCs/>
                    </w:rPr>
                    <w:t>面源海拔高度/m</w:t>
                  </w:r>
                </w:p>
              </w:tc>
              <w:tc>
                <w:tcPr>
                  <w:tcW w:w="851" w:type="dxa"/>
                  <w:vMerge w:val="restart"/>
                  <w:tcBorders>
                    <w:tl2br w:val="nil"/>
                    <w:tr2bl w:val="nil"/>
                  </w:tcBorders>
                  <w:vAlign w:val="center"/>
                </w:tcPr>
                <w:p>
                  <w:pPr>
                    <w:adjustRightInd w:val="0"/>
                    <w:snapToGrid w:val="0"/>
                    <w:ind w:left="-80" w:leftChars="-38" w:right="-63" w:rightChars="-30"/>
                    <w:jc w:val="center"/>
                    <w:rPr>
                      <w:b/>
                      <w:bCs/>
                    </w:rPr>
                  </w:pPr>
                  <w:r>
                    <w:rPr>
                      <w:b/>
                      <w:bCs/>
                    </w:rPr>
                    <w:t>面源长度/m</w:t>
                  </w:r>
                </w:p>
              </w:tc>
              <w:tc>
                <w:tcPr>
                  <w:tcW w:w="708" w:type="dxa"/>
                  <w:vMerge w:val="restart"/>
                  <w:tcBorders>
                    <w:tl2br w:val="nil"/>
                    <w:tr2bl w:val="nil"/>
                  </w:tcBorders>
                  <w:vAlign w:val="center"/>
                </w:tcPr>
                <w:p>
                  <w:pPr>
                    <w:adjustRightInd w:val="0"/>
                    <w:snapToGrid w:val="0"/>
                    <w:ind w:left="-80" w:leftChars="-38" w:right="-63" w:rightChars="-30"/>
                    <w:jc w:val="center"/>
                    <w:rPr>
                      <w:b/>
                      <w:bCs/>
                    </w:rPr>
                  </w:pPr>
                  <w:r>
                    <w:rPr>
                      <w:b/>
                      <w:bCs/>
                    </w:rPr>
                    <w:t>面源宽度/m</w:t>
                  </w:r>
                </w:p>
              </w:tc>
              <w:tc>
                <w:tcPr>
                  <w:tcW w:w="709" w:type="dxa"/>
                  <w:vMerge w:val="restart"/>
                  <w:tcBorders>
                    <w:tl2br w:val="nil"/>
                    <w:tr2bl w:val="nil"/>
                  </w:tcBorders>
                  <w:vAlign w:val="center"/>
                </w:tcPr>
                <w:p>
                  <w:pPr>
                    <w:adjustRightInd w:val="0"/>
                    <w:snapToGrid w:val="0"/>
                    <w:ind w:left="-80" w:leftChars="-38" w:right="-63" w:rightChars="-30"/>
                    <w:jc w:val="center"/>
                    <w:rPr>
                      <w:b/>
                      <w:bCs/>
                    </w:rPr>
                  </w:pPr>
                  <w:r>
                    <w:rPr>
                      <w:b/>
                      <w:bCs/>
                    </w:rPr>
                    <w:t>面源有效排放高度/ m</w:t>
                  </w:r>
                </w:p>
              </w:tc>
              <w:tc>
                <w:tcPr>
                  <w:tcW w:w="778" w:type="dxa"/>
                  <w:vMerge w:val="restart"/>
                  <w:tcBorders>
                    <w:tl2br w:val="nil"/>
                    <w:tr2bl w:val="nil"/>
                  </w:tcBorders>
                  <w:vAlign w:val="center"/>
                </w:tcPr>
                <w:p>
                  <w:pPr>
                    <w:adjustRightInd w:val="0"/>
                    <w:snapToGrid w:val="0"/>
                    <w:ind w:left="-80" w:leftChars="-38" w:right="-63" w:rightChars="-30"/>
                    <w:jc w:val="center"/>
                    <w:rPr>
                      <w:b/>
                      <w:bCs/>
                    </w:rPr>
                  </w:pPr>
                  <w:r>
                    <w:rPr>
                      <w:b/>
                      <w:bCs/>
                    </w:rPr>
                    <w:t>年排放小时数/h</w:t>
                  </w:r>
                </w:p>
              </w:tc>
              <w:tc>
                <w:tcPr>
                  <w:tcW w:w="498" w:type="dxa"/>
                  <w:vMerge w:val="restart"/>
                  <w:tcBorders>
                    <w:tl2br w:val="nil"/>
                    <w:tr2bl w:val="nil"/>
                  </w:tcBorders>
                  <w:vAlign w:val="center"/>
                </w:tcPr>
                <w:p>
                  <w:pPr>
                    <w:adjustRightInd w:val="0"/>
                    <w:snapToGrid w:val="0"/>
                    <w:ind w:left="-80" w:leftChars="-38" w:right="-63" w:rightChars="-30"/>
                    <w:jc w:val="center"/>
                    <w:rPr>
                      <w:b/>
                      <w:bCs/>
                    </w:rPr>
                  </w:pPr>
                  <w:r>
                    <w:rPr>
                      <w:b/>
                      <w:bCs/>
                    </w:rPr>
                    <w:t>排放工况</w:t>
                  </w:r>
                </w:p>
              </w:tc>
              <w:tc>
                <w:tcPr>
                  <w:tcW w:w="1279" w:type="dxa"/>
                  <w:gridSpan w:val="2"/>
                  <w:vMerge w:val="restart"/>
                  <w:tcBorders>
                    <w:tl2br w:val="nil"/>
                    <w:tr2bl w:val="nil"/>
                  </w:tcBorders>
                  <w:vAlign w:val="center"/>
                </w:tcPr>
                <w:p>
                  <w:pPr>
                    <w:adjustRightInd w:val="0"/>
                    <w:snapToGrid w:val="0"/>
                    <w:ind w:left="-80" w:leftChars="-38" w:right="-63" w:rightChars="-30"/>
                    <w:jc w:val="center"/>
                    <w:rPr>
                      <w:b/>
                      <w:bCs/>
                    </w:rPr>
                  </w:pPr>
                  <w:r>
                    <w:rPr>
                      <w:b/>
                      <w:bCs/>
                    </w:rPr>
                    <w:t>污染物排放速率/（kg/h）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25" w:type="dxa"/>
                  <w:vMerge w:val="continue"/>
                  <w:tcBorders>
                    <w:tl2br w:val="nil"/>
                    <w:tr2bl w:val="nil"/>
                  </w:tcBorders>
                  <w:vAlign w:val="center"/>
                </w:tcPr>
                <w:p>
                  <w:pPr>
                    <w:adjustRightInd w:val="0"/>
                    <w:snapToGrid w:val="0"/>
                    <w:ind w:left="-80" w:leftChars="-38" w:right="-63" w:rightChars="-30"/>
                    <w:jc w:val="center"/>
                  </w:pPr>
                </w:p>
              </w:tc>
              <w:tc>
                <w:tcPr>
                  <w:tcW w:w="654" w:type="dxa"/>
                  <w:vMerge w:val="continue"/>
                  <w:tcBorders>
                    <w:tl2br w:val="nil"/>
                    <w:tr2bl w:val="nil"/>
                  </w:tcBorders>
                  <w:vAlign w:val="center"/>
                </w:tcPr>
                <w:p>
                  <w:pPr>
                    <w:adjustRightInd w:val="0"/>
                    <w:snapToGrid w:val="0"/>
                    <w:ind w:left="-80" w:leftChars="-38" w:right="-63" w:rightChars="-30"/>
                    <w:jc w:val="center"/>
                  </w:pPr>
                </w:p>
              </w:tc>
              <w:tc>
                <w:tcPr>
                  <w:tcW w:w="771" w:type="dxa"/>
                  <w:tcBorders>
                    <w:tl2br w:val="nil"/>
                    <w:tr2bl w:val="nil"/>
                  </w:tcBorders>
                  <w:vAlign w:val="center"/>
                </w:tcPr>
                <w:p>
                  <w:pPr>
                    <w:snapToGrid w:val="0"/>
                    <w:jc w:val="center"/>
                    <w:rPr>
                      <w:b/>
                      <w:bCs/>
                    </w:rPr>
                  </w:pPr>
                  <w:r>
                    <w:rPr>
                      <w:b/>
                      <w:bCs/>
                    </w:rPr>
                    <w:t>X</w:t>
                  </w:r>
                </w:p>
              </w:tc>
              <w:tc>
                <w:tcPr>
                  <w:tcW w:w="829" w:type="dxa"/>
                  <w:tcBorders>
                    <w:tl2br w:val="nil"/>
                    <w:tr2bl w:val="nil"/>
                  </w:tcBorders>
                  <w:vAlign w:val="center"/>
                </w:tcPr>
                <w:p>
                  <w:pPr>
                    <w:snapToGrid w:val="0"/>
                    <w:jc w:val="center"/>
                    <w:rPr>
                      <w:b/>
                      <w:bCs/>
                    </w:rPr>
                  </w:pPr>
                  <w:r>
                    <w:rPr>
                      <w:b/>
                      <w:bCs/>
                    </w:rPr>
                    <w:t>Y</w:t>
                  </w:r>
                </w:p>
              </w:tc>
              <w:tc>
                <w:tcPr>
                  <w:tcW w:w="819" w:type="dxa"/>
                  <w:vMerge w:val="continue"/>
                  <w:tcBorders>
                    <w:tl2br w:val="nil"/>
                    <w:tr2bl w:val="nil"/>
                  </w:tcBorders>
                  <w:vAlign w:val="center"/>
                </w:tcPr>
                <w:p>
                  <w:pPr>
                    <w:adjustRightInd w:val="0"/>
                    <w:snapToGrid w:val="0"/>
                    <w:ind w:left="-80" w:leftChars="-38" w:right="-63" w:rightChars="-30"/>
                    <w:jc w:val="center"/>
                  </w:pPr>
                </w:p>
              </w:tc>
              <w:tc>
                <w:tcPr>
                  <w:tcW w:w="851" w:type="dxa"/>
                  <w:vMerge w:val="continue"/>
                  <w:tcBorders>
                    <w:tl2br w:val="nil"/>
                    <w:tr2bl w:val="nil"/>
                  </w:tcBorders>
                  <w:vAlign w:val="center"/>
                </w:tcPr>
                <w:p>
                  <w:pPr>
                    <w:adjustRightInd w:val="0"/>
                    <w:snapToGrid w:val="0"/>
                    <w:ind w:left="-80" w:leftChars="-38" w:right="-63" w:rightChars="-30"/>
                    <w:jc w:val="center"/>
                  </w:pPr>
                </w:p>
              </w:tc>
              <w:tc>
                <w:tcPr>
                  <w:tcW w:w="708" w:type="dxa"/>
                  <w:vMerge w:val="continue"/>
                  <w:tcBorders>
                    <w:tl2br w:val="nil"/>
                    <w:tr2bl w:val="nil"/>
                  </w:tcBorders>
                  <w:vAlign w:val="center"/>
                </w:tcPr>
                <w:p>
                  <w:pPr>
                    <w:adjustRightInd w:val="0"/>
                    <w:snapToGrid w:val="0"/>
                    <w:ind w:left="-80" w:leftChars="-38" w:right="-63" w:rightChars="-30"/>
                    <w:jc w:val="center"/>
                  </w:pPr>
                </w:p>
              </w:tc>
              <w:tc>
                <w:tcPr>
                  <w:tcW w:w="709" w:type="dxa"/>
                  <w:vMerge w:val="continue"/>
                  <w:tcBorders>
                    <w:tl2br w:val="nil"/>
                    <w:tr2bl w:val="nil"/>
                  </w:tcBorders>
                  <w:vAlign w:val="center"/>
                </w:tcPr>
                <w:p>
                  <w:pPr>
                    <w:adjustRightInd w:val="0"/>
                    <w:snapToGrid w:val="0"/>
                    <w:ind w:left="-80" w:leftChars="-38" w:right="-63" w:rightChars="-30"/>
                    <w:jc w:val="center"/>
                  </w:pPr>
                </w:p>
              </w:tc>
              <w:tc>
                <w:tcPr>
                  <w:tcW w:w="778" w:type="dxa"/>
                  <w:vMerge w:val="continue"/>
                  <w:tcBorders>
                    <w:tl2br w:val="nil"/>
                    <w:tr2bl w:val="nil"/>
                  </w:tcBorders>
                  <w:vAlign w:val="center"/>
                </w:tcPr>
                <w:p>
                  <w:pPr>
                    <w:adjustRightInd w:val="0"/>
                    <w:snapToGrid w:val="0"/>
                    <w:ind w:left="-80" w:leftChars="-38" w:right="-63" w:rightChars="-30"/>
                    <w:jc w:val="center"/>
                  </w:pPr>
                </w:p>
              </w:tc>
              <w:tc>
                <w:tcPr>
                  <w:tcW w:w="498" w:type="dxa"/>
                  <w:vMerge w:val="continue"/>
                  <w:tcBorders>
                    <w:tl2br w:val="nil"/>
                    <w:tr2bl w:val="nil"/>
                  </w:tcBorders>
                  <w:vAlign w:val="center"/>
                </w:tcPr>
                <w:p>
                  <w:pPr>
                    <w:adjustRightInd w:val="0"/>
                    <w:snapToGrid w:val="0"/>
                    <w:ind w:left="-80" w:leftChars="-38" w:right="-63" w:rightChars="-30"/>
                    <w:jc w:val="center"/>
                  </w:pPr>
                </w:p>
              </w:tc>
              <w:tc>
                <w:tcPr>
                  <w:tcW w:w="1279" w:type="dxa"/>
                  <w:gridSpan w:val="2"/>
                  <w:vMerge w:val="continue"/>
                  <w:tcBorders>
                    <w:tl2br w:val="nil"/>
                    <w:tr2bl w:val="nil"/>
                  </w:tcBorders>
                  <w:vAlign w:val="center"/>
                </w:tcPr>
                <w:p>
                  <w:pPr>
                    <w:jc w:val="cente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25" w:type="dxa"/>
                  <w:tcBorders>
                    <w:tl2br w:val="nil"/>
                    <w:tr2bl w:val="nil"/>
                  </w:tcBorders>
                  <w:vAlign w:val="center"/>
                </w:tcPr>
                <w:p>
                  <w:pPr>
                    <w:adjustRightInd w:val="0"/>
                    <w:snapToGrid w:val="0"/>
                    <w:jc w:val="center"/>
                  </w:pPr>
                  <w:r>
                    <w:t>1</w:t>
                  </w:r>
                </w:p>
              </w:tc>
              <w:tc>
                <w:tcPr>
                  <w:tcW w:w="654" w:type="dxa"/>
                  <w:tcBorders>
                    <w:tl2br w:val="nil"/>
                    <w:tr2bl w:val="nil"/>
                  </w:tcBorders>
                  <w:vAlign w:val="center"/>
                </w:tcPr>
                <w:p>
                  <w:pPr>
                    <w:adjustRightInd w:val="0"/>
                    <w:snapToGrid w:val="0"/>
                    <w:jc w:val="center"/>
                  </w:pPr>
                  <w:r>
                    <w:t>生产车间</w:t>
                  </w:r>
                </w:p>
              </w:tc>
              <w:tc>
                <w:tcPr>
                  <w:tcW w:w="771" w:type="dxa"/>
                  <w:tcBorders>
                    <w:tl2br w:val="nil"/>
                    <w:tr2bl w:val="nil"/>
                  </w:tcBorders>
                  <w:vAlign w:val="center"/>
                </w:tcPr>
                <w:p>
                  <w:pPr>
                    <w:adjustRightInd w:val="0"/>
                    <w:snapToGrid w:val="0"/>
                    <w:jc w:val="center"/>
                    <w:rPr>
                      <w:rFonts w:hint="default" w:eastAsia="宋体"/>
                      <w:lang w:val="en-US" w:eastAsia="zh-CN"/>
                    </w:rPr>
                  </w:pPr>
                  <w:r>
                    <w:rPr>
                      <w:lang w:val="en-US"/>
                    </w:rPr>
                    <w:t>119.</w:t>
                  </w:r>
                  <w:r>
                    <w:rPr>
                      <w:rFonts w:hint="eastAsia"/>
                      <w:lang w:val="en-US" w:eastAsia="zh-CN"/>
                    </w:rPr>
                    <w:t>81777</w:t>
                  </w:r>
                </w:p>
              </w:tc>
              <w:tc>
                <w:tcPr>
                  <w:tcW w:w="829" w:type="dxa"/>
                  <w:tcBorders>
                    <w:tl2br w:val="nil"/>
                    <w:tr2bl w:val="nil"/>
                  </w:tcBorders>
                  <w:vAlign w:val="center"/>
                </w:tcPr>
                <w:p>
                  <w:pPr>
                    <w:adjustRightInd w:val="0"/>
                    <w:snapToGrid w:val="0"/>
                    <w:jc w:val="center"/>
                    <w:rPr>
                      <w:rFonts w:hint="default" w:eastAsia="宋体"/>
                      <w:lang w:val="en-US" w:eastAsia="zh-CN"/>
                    </w:rPr>
                  </w:pPr>
                  <w:r>
                    <w:rPr>
                      <w:rFonts w:hint="eastAsia"/>
                      <w:lang w:val="en-US" w:eastAsia="zh-CN"/>
                    </w:rPr>
                    <w:t>31.29813</w:t>
                  </w:r>
                </w:p>
              </w:tc>
              <w:tc>
                <w:tcPr>
                  <w:tcW w:w="819" w:type="dxa"/>
                  <w:tcBorders>
                    <w:tl2br w:val="nil"/>
                    <w:tr2bl w:val="nil"/>
                  </w:tcBorders>
                  <w:vAlign w:val="center"/>
                </w:tcPr>
                <w:p>
                  <w:pPr>
                    <w:jc w:val="center"/>
                    <w:rPr>
                      <w:rFonts w:hint="default" w:eastAsia="宋体"/>
                      <w:lang w:val="en-US" w:eastAsia="zh-CN"/>
                    </w:rPr>
                  </w:pPr>
                  <w:r>
                    <w:rPr>
                      <w:rFonts w:hint="eastAsia"/>
                      <w:lang w:val="en-US" w:eastAsia="zh-CN"/>
                    </w:rPr>
                    <w:t>1.5</w:t>
                  </w:r>
                </w:p>
              </w:tc>
              <w:tc>
                <w:tcPr>
                  <w:tcW w:w="851" w:type="dxa"/>
                  <w:tcBorders>
                    <w:tl2br w:val="nil"/>
                    <w:tr2bl w:val="nil"/>
                  </w:tcBorders>
                  <w:vAlign w:val="center"/>
                </w:tcPr>
                <w:p>
                  <w:pPr>
                    <w:jc w:val="center"/>
                    <w:rPr>
                      <w:rFonts w:hint="default" w:eastAsia="宋体"/>
                      <w:lang w:val="en-US" w:eastAsia="zh-CN"/>
                    </w:rPr>
                  </w:pPr>
                  <w:r>
                    <w:rPr>
                      <w:rFonts w:hint="eastAsia"/>
                      <w:lang w:val="en-US" w:eastAsia="zh-CN"/>
                    </w:rPr>
                    <w:t>58</w:t>
                  </w:r>
                </w:p>
              </w:tc>
              <w:tc>
                <w:tcPr>
                  <w:tcW w:w="708" w:type="dxa"/>
                  <w:tcBorders>
                    <w:tl2br w:val="nil"/>
                    <w:tr2bl w:val="nil"/>
                  </w:tcBorders>
                  <w:vAlign w:val="center"/>
                </w:tcPr>
                <w:p>
                  <w:pPr>
                    <w:jc w:val="center"/>
                    <w:rPr>
                      <w:rFonts w:hint="default" w:eastAsia="宋体"/>
                      <w:lang w:val="en-US" w:eastAsia="zh-CN"/>
                    </w:rPr>
                  </w:pPr>
                  <w:r>
                    <w:rPr>
                      <w:rFonts w:hint="eastAsia"/>
                      <w:lang w:val="en-US" w:eastAsia="zh-CN"/>
                    </w:rPr>
                    <w:t>17</w:t>
                  </w:r>
                </w:p>
              </w:tc>
              <w:tc>
                <w:tcPr>
                  <w:tcW w:w="709" w:type="dxa"/>
                  <w:tcBorders>
                    <w:tl2br w:val="nil"/>
                    <w:tr2bl w:val="nil"/>
                  </w:tcBorders>
                  <w:vAlign w:val="center"/>
                </w:tcPr>
                <w:p>
                  <w:pPr>
                    <w:jc w:val="center"/>
                    <w:rPr>
                      <w:rFonts w:hint="eastAsia" w:eastAsia="宋体"/>
                      <w:lang w:val="en-US" w:eastAsia="zh-CN"/>
                    </w:rPr>
                  </w:pPr>
                  <w:r>
                    <w:rPr>
                      <w:rFonts w:hint="eastAsia"/>
                      <w:lang w:val="en-US" w:eastAsia="zh-CN"/>
                    </w:rPr>
                    <w:t>8</w:t>
                  </w:r>
                </w:p>
              </w:tc>
              <w:tc>
                <w:tcPr>
                  <w:tcW w:w="778" w:type="dxa"/>
                  <w:tcBorders>
                    <w:tl2br w:val="nil"/>
                    <w:tr2bl w:val="nil"/>
                  </w:tcBorders>
                  <w:vAlign w:val="center"/>
                </w:tcPr>
                <w:p>
                  <w:pPr>
                    <w:adjustRightInd w:val="0"/>
                    <w:snapToGrid w:val="0"/>
                    <w:jc w:val="center"/>
                  </w:pPr>
                  <w:r>
                    <w:rPr>
                      <w:rFonts w:hint="eastAsia"/>
                    </w:rPr>
                    <w:t>7200</w:t>
                  </w:r>
                </w:p>
              </w:tc>
              <w:tc>
                <w:tcPr>
                  <w:tcW w:w="498" w:type="dxa"/>
                  <w:tcBorders>
                    <w:tl2br w:val="nil"/>
                    <w:tr2bl w:val="nil"/>
                  </w:tcBorders>
                  <w:vAlign w:val="center"/>
                </w:tcPr>
                <w:p>
                  <w:pPr>
                    <w:adjustRightInd w:val="0"/>
                    <w:snapToGrid w:val="0"/>
                    <w:jc w:val="center"/>
                  </w:pPr>
                  <w:r>
                    <w:t>正常</w:t>
                  </w:r>
                </w:p>
              </w:tc>
              <w:tc>
                <w:tcPr>
                  <w:tcW w:w="754" w:type="dxa"/>
                  <w:tcBorders>
                    <w:tl2br w:val="nil"/>
                    <w:tr2bl w:val="nil"/>
                  </w:tcBorders>
                  <w:vAlign w:val="center"/>
                </w:tcPr>
                <w:p>
                  <w:pPr>
                    <w:jc w:val="center"/>
                  </w:pPr>
                  <w:r>
                    <w:rPr>
                      <w:rFonts w:hint="eastAsia"/>
                      <w:lang w:val="en-US"/>
                    </w:rPr>
                    <w:t>颗粒物</w:t>
                  </w:r>
                </w:p>
              </w:tc>
              <w:tc>
                <w:tcPr>
                  <w:tcW w:w="525" w:type="dxa"/>
                  <w:tcBorders>
                    <w:tl2br w:val="nil"/>
                    <w:tr2bl w:val="nil"/>
                  </w:tcBorders>
                  <w:vAlign w:val="center"/>
                </w:tcPr>
                <w:p>
                  <w:pPr>
                    <w:jc w:val="center"/>
                    <w:rPr>
                      <w:rFonts w:hint="default" w:eastAsia="宋体"/>
                      <w:lang w:val="en-US" w:eastAsia="zh-CN"/>
                    </w:rPr>
                  </w:pPr>
                  <w:r>
                    <w:rPr>
                      <w:rFonts w:hint="eastAsia"/>
                      <w:kern w:val="0"/>
                      <w:szCs w:val="21"/>
                    </w:rPr>
                    <w:t>0.0</w:t>
                  </w:r>
                  <w:r>
                    <w:rPr>
                      <w:rFonts w:hint="eastAsia"/>
                      <w:kern w:val="0"/>
                      <w:szCs w:val="21"/>
                      <w:lang w:val="en-US" w:eastAsia="zh-CN"/>
                    </w:rPr>
                    <w:t>15</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表7-5  估算模型参数表</w:t>
            </w:r>
          </w:p>
          <w:tbl>
            <w:tblPr>
              <w:tblStyle w:val="75"/>
              <w:tblW w:w="8424"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61"/>
              <w:gridCol w:w="4289"/>
              <w:gridCol w:w="2274"/>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6150" w:type="dxa"/>
                  <w:gridSpan w:val="2"/>
                  <w:shd w:val="clear" w:color="auto" w:fill="FFFFFF"/>
                  <w:vAlign w:val="center"/>
                </w:tcPr>
                <w:p>
                  <w:pPr>
                    <w:pStyle w:val="246"/>
                    <w:spacing w:before="24" w:after="24" w:line="240" w:lineRule="auto"/>
                    <w:rPr>
                      <w:b/>
                      <w:color w:val="000000"/>
                      <w:szCs w:val="21"/>
                    </w:rPr>
                  </w:pPr>
                  <w:r>
                    <w:rPr>
                      <w:rFonts w:hint="eastAsia"/>
                      <w:b/>
                      <w:color w:val="000000"/>
                      <w:szCs w:val="21"/>
                    </w:rPr>
                    <w:t>参数</w:t>
                  </w:r>
                </w:p>
              </w:tc>
              <w:tc>
                <w:tcPr>
                  <w:tcW w:w="2274" w:type="dxa"/>
                  <w:shd w:val="clear" w:color="auto" w:fill="FFFFFF"/>
                  <w:noWrap/>
                  <w:vAlign w:val="center"/>
                </w:tcPr>
                <w:p>
                  <w:pPr>
                    <w:pStyle w:val="246"/>
                    <w:spacing w:before="24" w:after="24" w:line="240" w:lineRule="auto"/>
                    <w:rPr>
                      <w:b/>
                      <w:color w:val="000000"/>
                      <w:szCs w:val="21"/>
                    </w:rPr>
                  </w:pPr>
                  <w:r>
                    <w:rPr>
                      <w:rFonts w:hint="eastAsia"/>
                      <w:b/>
                      <w:color w:val="000000"/>
                      <w:szCs w:val="21"/>
                    </w:rPr>
                    <w:t>取值</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246"/>
                    <w:spacing w:before="24" w:after="24"/>
                    <w:rPr>
                      <w:b/>
                      <w:color w:val="000000"/>
                      <w:szCs w:val="21"/>
                    </w:rPr>
                  </w:pPr>
                  <w:r>
                    <w:rPr>
                      <w:rFonts w:hint="eastAsia"/>
                      <w:b/>
                      <w:color w:val="000000"/>
                      <w:szCs w:val="21"/>
                    </w:rPr>
                    <w:t>城市</w:t>
                  </w:r>
                  <w:r>
                    <w:rPr>
                      <w:b/>
                      <w:color w:val="000000"/>
                      <w:szCs w:val="21"/>
                    </w:rPr>
                    <w:t>/</w:t>
                  </w:r>
                  <w:r>
                    <w:rPr>
                      <w:rFonts w:hint="eastAsia"/>
                      <w:b/>
                      <w:color w:val="000000"/>
                      <w:szCs w:val="21"/>
                    </w:rPr>
                    <w:t>农村选项</w:t>
                  </w: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城市</w:t>
                  </w:r>
                  <w:r>
                    <w:rPr>
                      <w:b/>
                      <w:color w:val="000000"/>
                      <w:szCs w:val="21"/>
                    </w:rPr>
                    <w:t>/</w:t>
                  </w:r>
                  <w:r>
                    <w:rPr>
                      <w:rFonts w:hint="eastAsia"/>
                      <w:b/>
                      <w:color w:val="000000"/>
                      <w:szCs w:val="21"/>
                    </w:rPr>
                    <w:t>农村</w:t>
                  </w:r>
                </w:p>
              </w:tc>
              <w:tc>
                <w:tcPr>
                  <w:tcW w:w="2274" w:type="dxa"/>
                  <w:shd w:val="clear" w:color="auto" w:fill="FFFFFF"/>
                  <w:noWrap/>
                  <w:vAlign w:val="center"/>
                </w:tcPr>
                <w:p>
                  <w:pPr>
                    <w:pStyle w:val="246"/>
                    <w:spacing w:before="24" w:after="24"/>
                    <w:rPr>
                      <w:color w:val="000000"/>
                      <w:szCs w:val="21"/>
                    </w:rPr>
                  </w:pPr>
                  <w:r>
                    <w:rPr>
                      <w:color w:val="000000"/>
                      <w:szCs w:val="21"/>
                    </w:rPr>
                    <w:t>城市</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246"/>
                    <w:spacing w:before="24" w:after="24"/>
                    <w:rPr>
                      <w:b/>
                      <w:color w:val="000000"/>
                      <w:szCs w:val="21"/>
                    </w:rPr>
                  </w:pP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人口数（城市选项时）</w:t>
                  </w:r>
                </w:p>
              </w:tc>
              <w:tc>
                <w:tcPr>
                  <w:tcW w:w="2274" w:type="dxa"/>
                  <w:shd w:val="clear" w:color="auto" w:fill="FFFFFF"/>
                  <w:noWrap/>
                  <w:vAlign w:val="center"/>
                </w:tcPr>
                <w:p>
                  <w:pPr>
                    <w:pStyle w:val="246"/>
                    <w:spacing w:before="24" w:after="24"/>
                    <w:rPr>
                      <w:color w:val="000000"/>
                      <w:szCs w:val="21"/>
                    </w:rPr>
                  </w:pPr>
                  <w:r>
                    <w:rPr>
                      <w:color w:val="000000"/>
                      <w:szCs w:val="21"/>
                    </w:rPr>
                    <w:t>125.47万</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246"/>
                    <w:spacing w:before="24" w:after="24"/>
                    <w:rPr>
                      <w:b/>
                      <w:color w:val="000000"/>
                      <w:szCs w:val="21"/>
                    </w:rPr>
                  </w:pPr>
                  <w:r>
                    <w:rPr>
                      <w:rFonts w:hint="eastAsia"/>
                      <w:b/>
                      <w:color w:val="000000"/>
                      <w:szCs w:val="21"/>
                    </w:rPr>
                    <w:t>最高环境温度/</w:t>
                  </w:r>
                  <w:r>
                    <w:rPr>
                      <w:b/>
                      <w:color w:val="000000"/>
                      <w:szCs w:val="21"/>
                    </w:rPr>
                    <w:t xml:space="preserve"> </w:t>
                  </w:r>
                  <w:r>
                    <w:rPr>
                      <w:rFonts w:hint="eastAsia" w:ascii="宋体" w:hAnsi="宋体" w:cs="宋体"/>
                      <w:b/>
                      <w:color w:val="000000"/>
                      <w:szCs w:val="21"/>
                    </w:rPr>
                    <w:t>℃</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39.7</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246"/>
                    <w:spacing w:before="24" w:after="24"/>
                    <w:rPr>
                      <w:b/>
                      <w:color w:val="000000"/>
                      <w:szCs w:val="21"/>
                    </w:rPr>
                  </w:pPr>
                  <w:r>
                    <w:rPr>
                      <w:rFonts w:hint="eastAsia"/>
                      <w:b/>
                      <w:color w:val="000000"/>
                      <w:szCs w:val="21"/>
                    </w:rPr>
                    <w:t>最低环境温度/</w:t>
                  </w:r>
                  <w:r>
                    <w:rPr>
                      <w:b/>
                      <w:color w:val="000000"/>
                      <w:szCs w:val="21"/>
                    </w:rPr>
                    <w:t xml:space="preserve"> </w:t>
                  </w:r>
                  <w:r>
                    <w:rPr>
                      <w:rFonts w:hint="eastAsia" w:ascii="宋体" w:hAnsi="宋体" w:cs="宋体"/>
                      <w:b/>
                      <w:color w:val="000000"/>
                      <w:szCs w:val="21"/>
                    </w:rPr>
                    <w:t>℃</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-10</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246"/>
                    <w:spacing w:before="24" w:after="24"/>
                    <w:rPr>
                      <w:b/>
                      <w:color w:val="000000"/>
                      <w:szCs w:val="21"/>
                    </w:rPr>
                  </w:pPr>
                  <w:r>
                    <w:rPr>
                      <w:rFonts w:hint="eastAsia"/>
                      <w:b/>
                      <w:color w:val="000000"/>
                      <w:szCs w:val="21"/>
                    </w:rPr>
                    <w:t>土地利用类型</w:t>
                  </w:r>
                </w:p>
              </w:tc>
              <w:tc>
                <w:tcPr>
                  <w:tcW w:w="2274" w:type="dxa"/>
                  <w:shd w:val="clear" w:color="auto" w:fill="FFFFFF"/>
                  <w:noWrap/>
                  <w:vAlign w:val="center"/>
                </w:tcPr>
                <w:p>
                  <w:pPr>
                    <w:pStyle w:val="246"/>
                    <w:spacing w:before="24" w:after="24"/>
                    <w:rPr>
                      <w:color w:val="000000"/>
                      <w:szCs w:val="21"/>
                    </w:rPr>
                  </w:pPr>
                  <w:r>
                    <w:rPr>
                      <w:color w:val="000000"/>
                      <w:szCs w:val="21"/>
                    </w:rPr>
                    <w:t>工业用地</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150" w:type="dxa"/>
                  <w:gridSpan w:val="2"/>
                  <w:shd w:val="clear" w:color="auto" w:fill="FFFFFF"/>
                  <w:vAlign w:val="center"/>
                </w:tcPr>
                <w:p>
                  <w:pPr>
                    <w:pStyle w:val="246"/>
                    <w:spacing w:before="24" w:after="24"/>
                    <w:rPr>
                      <w:b/>
                      <w:color w:val="000000"/>
                      <w:szCs w:val="21"/>
                    </w:rPr>
                  </w:pPr>
                  <w:r>
                    <w:rPr>
                      <w:rFonts w:hint="eastAsia"/>
                      <w:b/>
                      <w:color w:val="000000"/>
                      <w:szCs w:val="21"/>
                    </w:rPr>
                    <w:t>区域湿度条件</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82%</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246"/>
                    <w:spacing w:before="24" w:after="24"/>
                    <w:rPr>
                      <w:b/>
                      <w:color w:val="000000"/>
                      <w:szCs w:val="21"/>
                    </w:rPr>
                  </w:pPr>
                  <w:r>
                    <w:rPr>
                      <w:rFonts w:hint="eastAsia"/>
                      <w:b/>
                      <w:color w:val="000000"/>
                      <w:szCs w:val="21"/>
                    </w:rPr>
                    <w:t>是否考虑地形</w:t>
                  </w: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考虑地形</w:t>
                  </w:r>
                </w:p>
              </w:tc>
              <w:tc>
                <w:tcPr>
                  <w:tcW w:w="2274" w:type="dxa"/>
                  <w:shd w:val="clear" w:color="auto" w:fill="FFFFFF"/>
                  <w:noWrap/>
                  <w:vAlign w:val="center"/>
                </w:tcPr>
                <w:p>
                  <w:pPr>
                    <w:pStyle w:val="246"/>
                    <w:spacing w:before="24" w:after="24"/>
                    <w:rPr>
                      <w:color w:val="000000"/>
                      <w:szCs w:val="21"/>
                    </w:rPr>
                  </w:pPr>
                  <w:r>
                    <w:rPr>
                      <w:rFonts w:hint="eastAsia" w:ascii="仿宋" w:hAnsi="仿宋" w:eastAsia="仿宋"/>
                      <w:color w:val="000000"/>
                      <w:szCs w:val="21"/>
                    </w:rPr>
                    <w:t>□</w:t>
                  </w:r>
                  <w:r>
                    <w:rPr>
                      <w:rFonts w:hint="eastAsia"/>
                      <w:color w:val="000000"/>
                      <w:szCs w:val="21"/>
                    </w:rPr>
                    <w:t xml:space="preserve">是 </w:t>
                  </w:r>
                  <w:r>
                    <w:rPr>
                      <w:color w:val="000000"/>
                      <w:szCs w:val="21"/>
                    </w:rPr>
                    <w:t xml:space="preserve"> </w:t>
                  </w:r>
                  <w:r>
                    <w:rPr>
                      <w:rFonts w:hint="eastAsia" w:ascii="仿宋" w:hAnsi="仿宋" w:eastAsia="仿宋"/>
                      <w:color w:val="000000"/>
                      <w:szCs w:val="21"/>
                      <w:highlight w:val="black"/>
                    </w:rPr>
                    <w:t>□</w:t>
                  </w:r>
                  <w:r>
                    <w:rPr>
                      <w:rFonts w:hint="eastAsia"/>
                      <w:color w:val="000000"/>
                      <w:szCs w:val="21"/>
                    </w:rPr>
                    <w:t>否</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246"/>
                    <w:spacing w:before="24" w:after="24"/>
                    <w:rPr>
                      <w:b/>
                      <w:color w:val="000000"/>
                      <w:szCs w:val="21"/>
                    </w:rPr>
                  </w:pP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 xml:space="preserve">地形数据分辨率 </w:t>
                  </w:r>
                  <w:r>
                    <w:rPr>
                      <w:b/>
                      <w:color w:val="000000"/>
                      <w:szCs w:val="21"/>
                    </w:rPr>
                    <w:t>/ m</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restart"/>
                  <w:shd w:val="clear" w:color="auto" w:fill="FFFFFF"/>
                  <w:vAlign w:val="center"/>
                </w:tcPr>
                <w:p>
                  <w:pPr>
                    <w:pStyle w:val="246"/>
                    <w:spacing w:before="24" w:after="24"/>
                    <w:rPr>
                      <w:b/>
                      <w:color w:val="000000"/>
                      <w:szCs w:val="21"/>
                    </w:rPr>
                  </w:pPr>
                  <w:r>
                    <w:rPr>
                      <w:rFonts w:hint="eastAsia"/>
                      <w:b/>
                      <w:color w:val="000000"/>
                      <w:szCs w:val="21"/>
                    </w:rPr>
                    <w:t>是否考虑岸线熏烟</w:t>
                  </w: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考虑岸线熏烟</w:t>
                  </w:r>
                </w:p>
              </w:tc>
              <w:tc>
                <w:tcPr>
                  <w:tcW w:w="2274" w:type="dxa"/>
                  <w:shd w:val="clear" w:color="auto" w:fill="FFFFFF"/>
                  <w:noWrap/>
                  <w:vAlign w:val="center"/>
                </w:tcPr>
                <w:p>
                  <w:pPr>
                    <w:pStyle w:val="246"/>
                    <w:spacing w:before="24" w:after="24"/>
                    <w:rPr>
                      <w:color w:val="000000"/>
                      <w:szCs w:val="21"/>
                    </w:rPr>
                  </w:pPr>
                  <w:r>
                    <w:rPr>
                      <w:rFonts w:hint="eastAsia" w:ascii="仿宋" w:hAnsi="仿宋" w:eastAsia="仿宋"/>
                      <w:color w:val="000000"/>
                      <w:szCs w:val="21"/>
                    </w:rPr>
                    <w:t>□</w:t>
                  </w:r>
                  <w:r>
                    <w:rPr>
                      <w:rFonts w:hint="eastAsia"/>
                      <w:color w:val="000000"/>
                      <w:szCs w:val="21"/>
                    </w:rPr>
                    <w:t xml:space="preserve">是 </w:t>
                  </w:r>
                  <w:r>
                    <w:rPr>
                      <w:color w:val="000000"/>
                      <w:szCs w:val="21"/>
                    </w:rPr>
                    <w:t xml:space="preserve"> </w:t>
                  </w:r>
                  <w:r>
                    <w:rPr>
                      <w:rFonts w:hint="eastAsia" w:ascii="仿宋" w:hAnsi="仿宋" w:eastAsia="仿宋"/>
                      <w:color w:val="000000"/>
                      <w:szCs w:val="21"/>
                      <w:highlight w:val="black"/>
                    </w:rPr>
                    <w:t>□</w:t>
                  </w:r>
                  <w:r>
                    <w:rPr>
                      <w:rFonts w:hint="eastAsia"/>
                      <w:color w:val="000000"/>
                      <w:szCs w:val="21"/>
                    </w:rPr>
                    <w:t>否</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246"/>
                    <w:spacing w:before="24" w:after="24"/>
                    <w:rPr>
                      <w:b/>
                      <w:color w:val="000000"/>
                      <w:szCs w:val="21"/>
                    </w:rPr>
                  </w:pP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岸线距离/</w:t>
                  </w:r>
                  <w:r>
                    <w:rPr>
                      <w:b/>
                      <w:color w:val="000000"/>
                      <w:szCs w:val="21"/>
                    </w:rPr>
                    <w:t xml:space="preserve"> km</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61" w:type="dxa"/>
                  <w:vMerge w:val="continue"/>
                  <w:shd w:val="clear" w:color="auto" w:fill="FFFFFF"/>
                  <w:vAlign w:val="center"/>
                </w:tcPr>
                <w:p>
                  <w:pPr>
                    <w:pStyle w:val="246"/>
                    <w:spacing w:before="24" w:after="24"/>
                    <w:rPr>
                      <w:b/>
                      <w:color w:val="000000"/>
                      <w:szCs w:val="21"/>
                    </w:rPr>
                  </w:pPr>
                </w:p>
              </w:tc>
              <w:tc>
                <w:tcPr>
                  <w:tcW w:w="4289" w:type="dxa"/>
                  <w:shd w:val="clear" w:color="auto" w:fill="FFFFFF"/>
                  <w:noWrap/>
                  <w:vAlign w:val="center"/>
                </w:tcPr>
                <w:p>
                  <w:pPr>
                    <w:pStyle w:val="246"/>
                    <w:spacing w:before="24" w:after="24"/>
                    <w:rPr>
                      <w:b/>
                      <w:color w:val="000000"/>
                      <w:szCs w:val="21"/>
                    </w:rPr>
                  </w:pPr>
                  <w:r>
                    <w:rPr>
                      <w:rFonts w:hint="eastAsia"/>
                      <w:b/>
                      <w:color w:val="000000"/>
                      <w:szCs w:val="21"/>
                    </w:rPr>
                    <w:t>岸线方向/</w:t>
                  </w:r>
                  <w:r>
                    <w:rPr>
                      <w:b/>
                      <w:color w:val="000000"/>
                      <w:szCs w:val="21"/>
                    </w:rPr>
                    <w:t xml:space="preserve"> °</w:t>
                  </w:r>
                </w:p>
              </w:tc>
              <w:tc>
                <w:tcPr>
                  <w:tcW w:w="2274" w:type="dxa"/>
                  <w:shd w:val="clear" w:color="auto" w:fill="FFFFFF"/>
                  <w:noWrap/>
                  <w:vAlign w:val="center"/>
                </w:tcPr>
                <w:p>
                  <w:pPr>
                    <w:pStyle w:val="246"/>
                    <w:spacing w:before="24" w:after="24"/>
                    <w:rPr>
                      <w:color w:val="000000"/>
                      <w:szCs w:val="21"/>
                    </w:rPr>
                  </w:pPr>
                  <w:r>
                    <w:rPr>
                      <w:rFonts w:hint="eastAsia"/>
                      <w:color w:val="000000"/>
                      <w:szCs w:val="21"/>
                    </w:rPr>
                    <w:t>/</w:t>
                  </w:r>
                </w:p>
              </w:tc>
            </w:tr>
          </w:tbl>
          <w:p>
            <w:pPr>
              <w:spacing w:beforeLines="50" w:line="360" w:lineRule="auto"/>
              <w:ind w:firstLine="602" w:firstLineChars="250"/>
              <w:rPr>
                <w:b/>
                <w:bCs w:val="0"/>
                <w:sz w:val="24"/>
                <w:szCs w:val="24"/>
              </w:rPr>
            </w:pPr>
            <w:r>
              <w:rPr>
                <w:b/>
                <w:bCs w:val="0"/>
                <w:sz w:val="24"/>
                <w:szCs w:val="32"/>
              </w:rPr>
              <w:t>(</w:t>
            </w:r>
            <w:r>
              <w:rPr>
                <w:rFonts w:hint="eastAsia"/>
                <w:b/>
                <w:bCs w:val="0"/>
                <w:sz w:val="24"/>
                <w:szCs w:val="32"/>
                <w:lang w:val="en-US" w:eastAsia="zh-CN"/>
              </w:rPr>
              <w:t>3</w:t>
            </w:r>
            <w:r>
              <w:rPr>
                <w:b/>
                <w:bCs w:val="0"/>
                <w:sz w:val="24"/>
                <w:szCs w:val="32"/>
              </w:rPr>
              <w:t>)</w:t>
            </w:r>
            <w:r>
              <w:rPr>
                <w:b/>
                <w:bCs w:val="0"/>
                <w:sz w:val="24"/>
                <w:szCs w:val="24"/>
              </w:rPr>
              <w:t>估算模式计算结果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 w:val="24"/>
                <w:lang w:eastAsia="zh-CN"/>
              </w:rPr>
            </w:pPr>
            <w:r>
              <w:rPr>
                <w:rFonts w:hint="eastAsia"/>
                <w:sz w:val="24"/>
              </w:rPr>
              <w:t>本评价采用《环境影响评价技术导则》（</w:t>
            </w:r>
            <w:r>
              <w:rPr>
                <w:sz w:val="24"/>
              </w:rPr>
              <w:t>HJ2.2-2018</w:t>
            </w:r>
            <w:r>
              <w:rPr>
                <w:rFonts w:hint="eastAsia"/>
                <w:sz w:val="24"/>
              </w:rPr>
              <w:t>）中的估算模式，按照项目废气源情况选用</w:t>
            </w:r>
            <w:r>
              <w:rPr>
                <w:sz w:val="24"/>
              </w:rPr>
              <w:t>AERSCREEN</w:t>
            </w:r>
            <w:r>
              <w:rPr>
                <w:rFonts w:hint="eastAsia"/>
                <w:sz w:val="24"/>
              </w:rPr>
              <w:t>软件进行预测，估算模式计算结果见表</w:t>
            </w:r>
            <w:r>
              <w:rPr>
                <w:sz w:val="24"/>
              </w:rPr>
              <w:t>7-</w:t>
            </w:r>
            <w:r>
              <w:rPr>
                <w:rFonts w:hint="eastAsia"/>
                <w:sz w:val="24"/>
              </w:rPr>
              <w:t>6、表</w:t>
            </w:r>
            <w:r>
              <w:rPr>
                <w:sz w:val="24"/>
              </w:rPr>
              <w:t>7-</w:t>
            </w:r>
            <w:r>
              <w:rPr>
                <w:rFonts w:hint="eastAsia"/>
                <w:sz w:val="24"/>
              </w:rPr>
              <w:t>7</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w:t>
            </w:r>
            <w:r>
              <w:rPr>
                <w:rFonts w:hint="eastAsia" w:ascii="Times New Roman" w:hAnsi="Times New Roman" w:cs="Times New Roman" w:eastAsiaTheme="minorEastAsia"/>
                <w:b/>
                <w:color w:val="000000" w:themeColor="text1"/>
                <w:sz w:val="24"/>
                <w:szCs w:val="24"/>
                <w:lang w:val="en-US" w:eastAsia="zh-CN"/>
              </w:rPr>
              <w:t>6</w:t>
            </w:r>
            <w:r>
              <w:rPr>
                <w:rFonts w:hint="eastAsia" w:ascii="Times New Roman" w:hAnsi="Times New Roman" w:cs="Times New Roman" w:eastAsiaTheme="minorEastAsia"/>
                <w:b/>
                <w:color w:val="000000" w:themeColor="text1"/>
                <w:sz w:val="24"/>
                <w:szCs w:val="24"/>
                <w:lang w:val="en-US"/>
              </w:rPr>
              <w:t xml:space="preserve">  DA00</w:t>
            </w:r>
            <w:r>
              <w:rPr>
                <w:rFonts w:hint="eastAsia" w:ascii="Times New Roman" w:hAnsi="Times New Roman" w:cs="Times New Roman" w:eastAsiaTheme="minorEastAsia"/>
                <w:b/>
                <w:color w:val="000000" w:themeColor="text1"/>
                <w:sz w:val="24"/>
                <w:szCs w:val="24"/>
                <w:lang w:val="en-US" w:eastAsia="zh-CN"/>
              </w:rPr>
              <w:t>1</w:t>
            </w:r>
            <w:r>
              <w:rPr>
                <w:rFonts w:hint="eastAsia" w:ascii="Times New Roman" w:hAnsi="Times New Roman" w:cs="Times New Roman" w:eastAsiaTheme="minorEastAsia"/>
                <w:b/>
                <w:color w:val="000000" w:themeColor="text1"/>
                <w:sz w:val="24"/>
                <w:szCs w:val="24"/>
                <w:lang w:val="en-US"/>
              </w:rPr>
              <w:t>有组织大气污染物排放影响计算结果表</w:t>
            </w:r>
          </w:p>
          <w:tbl>
            <w:tblPr>
              <w:tblStyle w:val="75"/>
              <w:tblW w:w="8540"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08"/>
              <w:gridCol w:w="957"/>
              <w:gridCol w:w="1250"/>
              <w:gridCol w:w="1127"/>
              <w:gridCol w:w="1261"/>
              <w:gridCol w:w="1127"/>
              <w:gridCol w:w="131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2" w:type="dxa"/>
                  <w:vMerge w:val="restart"/>
                  <w:vAlign w:val="center"/>
                </w:tcPr>
                <w:p>
                  <w:pPr>
                    <w:adjustRightInd w:val="0"/>
                    <w:snapToGrid w:val="0"/>
                    <w:rPr>
                      <w:b/>
                      <w:lang w:val="en-US"/>
                    </w:rPr>
                  </w:pPr>
                  <w:r>
                    <w:rPr>
                      <w:rFonts w:hint="eastAsia"/>
                      <w:b/>
                      <w:lang w:val="en-US"/>
                    </w:rPr>
                    <w:t>下风向距离</w:t>
                  </w:r>
                  <w:r>
                    <w:rPr>
                      <w:b/>
                      <w:lang w:val="en-US"/>
                    </w:rPr>
                    <w:t>/(m)</w:t>
                  </w:r>
                </w:p>
              </w:tc>
              <w:tc>
                <w:tcPr>
                  <w:tcW w:w="7008" w:type="dxa"/>
                  <w:gridSpan w:val="6"/>
                  <w:vAlign w:val="center"/>
                </w:tcPr>
                <w:p>
                  <w:pPr>
                    <w:adjustRightInd w:val="0"/>
                    <w:snapToGrid w:val="0"/>
                    <w:jc w:val="center"/>
                    <w:rPr>
                      <w:rFonts w:hint="eastAsia" w:eastAsia="宋体"/>
                      <w:b/>
                      <w:lang w:val="en-US" w:eastAsia="zh-CN"/>
                    </w:rPr>
                  </w:pPr>
                  <w:r>
                    <w:rPr>
                      <w:b/>
                      <w:kern w:val="0"/>
                    </w:rPr>
                    <w:t>DA00</w:t>
                  </w:r>
                  <w:r>
                    <w:rPr>
                      <w:rFonts w:hint="eastAsia"/>
                      <w:b/>
                      <w:kern w:val="0"/>
                      <w:lang w:val="en-US" w:eastAsia="zh-CN"/>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2" w:type="dxa"/>
                  <w:vMerge w:val="continue"/>
                  <w:vAlign w:val="center"/>
                </w:tcPr>
                <w:p>
                  <w:pPr>
                    <w:adjustRightInd w:val="0"/>
                    <w:snapToGrid w:val="0"/>
                    <w:ind w:firstLine="360"/>
                    <w:jc w:val="center"/>
                    <w:rPr>
                      <w:b/>
                      <w:lang w:val="en-US"/>
                    </w:rPr>
                  </w:pPr>
                </w:p>
              </w:tc>
              <w:tc>
                <w:tcPr>
                  <w:tcW w:w="2126" w:type="dxa"/>
                  <w:gridSpan w:val="2"/>
                  <w:vAlign w:val="center"/>
                </w:tcPr>
                <w:p>
                  <w:pPr>
                    <w:adjustRightInd w:val="0"/>
                    <w:snapToGrid w:val="0"/>
                    <w:jc w:val="center"/>
                    <w:rPr>
                      <w:b/>
                      <w:lang w:val="en-US"/>
                    </w:rPr>
                  </w:pPr>
                  <w:r>
                    <w:rPr>
                      <w:b/>
                      <w:lang w:val="en-US"/>
                    </w:rPr>
                    <w:t>NO</w:t>
                  </w:r>
                  <w:r>
                    <w:rPr>
                      <w:b/>
                      <w:vertAlign w:val="subscript"/>
                      <w:lang w:val="en-US"/>
                    </w:rPr>
                    <w:t>X</w:t>
                  </w:r>
                </w:p>
              </w:tc>
              <w:tc>
                <w:tcPr>
                  <w:tcW w:w="2410" w:type="dxa"/>
                  <w:gridSpan w:val="2"/>
                  <w:vAlign w:val="center"/>
                </w:tcPr>
                <w:p>
                  <w:pPr>
                    <w:adjustRightInd w:val="0"/>
                    <w:snapToGrid w:val="0"/>
                    <w:jc w:val="center"/>
                    <w:rPr>
                      <w:b/>
                      <w:lang w:val="en-US"/>
                    </w:rPr>
                  </w:pPr>
                  <w:r>
                    <w:rPr>
                      <w:b/>
                      <w:lang w:val="en-US"/>
                    </w:rPr>
                    <w:t>SO</w:t>
                  </w:r>
                  <w:r>
                    <w:rPr>
                      <w:b/>
                      <w:vertAlign w:val="subscript"/>
                      <w:lang w:val="en-US"/>
                    </w:rPr>
                    <w:t>2</w:t>
                  </w:r>
                </w:p>
              </w:tc>
              <w:tc>
                <w:tcPr>
                  <w:tcW w:w="2472" w:type="dxa"/>
                  <w:gridSpan w:val="2"/>
                  <w:vAlign w:val="center"/>
                </w:tcPr>
                <w:p>
                  <w:pPr>
                    <w:adjustRightInd w:val="0"/>
                    <w:snapToGrid w:val="0"/>
                    <w:jc w:val="center"/>
                    <w:rPr>
                      <w:b/>
                      <w:lang w:val="en-US"/>
                    </w:rPr>
                  </w:pPr>
                  <w:r>
                    <w:rPr>
                      <w:rFonts w:hint="eastAsia"/>
                      <w:b/>
                      <w:lang w:val="en-US"/>
                    </w:rPr>
                    <w:t>颗粒物</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2" w:type="dxa"/>
                  <w:vMerge w:val="continue"/>
                  <w:vAlign w:val="center"/>
                </w:tcPr>
                <w:p>
                  <w:pPr>
                    <w:adjustRightInd w:val="0"/>
                    <w:snapToGrid w:val="0"/>
                    <w:jc w:val="center"/>
                    <w:rPr>
                      <w:b/>
                      <w:lang w:val="en-US"/>
                    </w:rPr>
                  </w:pPr>
                </w:p>
              </w:tc>
              <w:tc>
                <w:tcPr>
                  <w:tcW w:w="850" w:type="dxa"/>
                  <w:vAlign w:val="center"/>
                </w:tcPr>
                <w:p>
                  <w:pPr>
                    <w:adjustRightInd w:val="0"/>
                    <w:snapToGrid w:val="0"/>
                    <w:jc w:val="center"/>
                    <w:rPr>
                      <w:b/>
                      <w:lang w:val="en-US"/>
                    </w:rPr>
                  </w:pPr>
                  <w:r>
                    <w:rPr>
                      <w:rFonts w:hint="eastAsia"/>
                      <w:b/>
                      <w:lang w:val="en-US"/>
                    </w:rPr>
                    <w:t>浓度（</w:t>
                  </w:r>
                  <w:r>
                    <w:rPr>
                      <w:b/>
                      <w:lang w:val="en-US"/>
                    </w:rPr>
                    <w:t>μg/m</w:t>
                  </w:r>
                  <w:r>
                    <w:rPr>
                      <w:b/>
                      <w:vertAlign w:val="superscript"/>
                      <w:lang w:val="en-US"/>
                    </w:rPr>
                    <w:t>3</w:t>
                  </w:r>
                  <w:r>
                    <w:rPr>
                      <w:rFonts w:hint="eastAsia"/>
                      <w:b/>
                      <w:lang w:val="en-US"/>
                    </w:rPr>
                    <w:t>）</w:t>
                  </w:r>
                </w:p>
              </w:tc>
              <w:tc>
                <w:tcPr>
                  <w:tcW w:w="1276" w:type="dxa"/>
                  <w:vAlign w:val="center"/>
                </w:tcPr>
                <w:p>
                  <w:pPr>
                    <w:adjustRightInd w:val="0"/>
                    <w:snapToGrid w:val="0"/>
                    <w:jc w:val="center"/>
                    <w:rPr>
                      <w:b/>
                      <w:lang w:val="en-US"/>
                    </w:rPr>
                  </w:pPr>
                  <w:r>
                    <w:rPr>
                      <w:rFonts w:hint="eastAsia"/>
                      <w:b/>
                      <w:lang w:val="en-US"/>
                    </w:rPr>
                    <w:t>占标率（</w:t>
                  </w:r>
                  <w:r>
                    <w:rPr>
                      <w:b/>
                      <w:lang w:val="en-US"/>
                    </w:rPr>
                    <w:t>%</w:t>
                  </w:r>
                  <w:r>
                    <w:rPr>
                      <w:rFonts w:hint="eastAsia"/>
                      <w:b/>
                      <w:lang w:val="en-US"/>
                    </w:rPr>
                    <w:t>）</w:t>
                  </w:r>
                </w:p>
              </w:tc>
              <w:tc>
                <w:tcPr>
                  <w:tcW w:w="1134" w:type="dxa"/>
                  <w:vAlign w:val="center"/>
                </w:tcPr>
                <w:p>
                  <w:pPr>
                    <w:adjustRightInd w:val="0"/>
                    <w:snapToGrid w:val="0"/>
                    <w:jc w:val="center"/>
                    <w:rPr>
                      <w:b/>
                      <w:lang w:val="en-US"/>
                    </w:rPr>
                  </w:pPr>
                  <w:r>
                    <w:rPr>
                      <w:rFonts w:hint="eastAsia"/>
                      <w:b/>
                      <w:lang w:val="en-US"/>
                    </w:rPr>
                    <w:t>浓度（</w:t>
                  </w:r>
                  <w:r>
                    <w:rPr>
                      <w:b/>
                      <w:lang w:val="en-US"/>
                    </w:rPr>
                    <w:t>μg/m</w:t>
                  </w:r>
                  <w:r>
                    <w:rPr>
                      <w:b/>
                      <w:vertAlign w:val="superscript"/>
                      <w:lang w:val="en-US"/>
                    </w:rPr>
                    <w:t>3</w:t>
                  </w:r>
                  <w:r>
                    <w:rPr>
                      <w:rFonts w:hint="eastAsia"/>
                      <w:b/>
                      <w:lang w:val="en-US"/>
                    </w:rPr>
                    <w:t>）</w:t>
                  </w:r>
                </w:p>
              </w:tc>
              <w:tc>
                <w:tcPr>
                  <w:tcW w:w="1276" w:type="dxa"/>
                  <w:vAlign w:val="center"/>
                </w:tcPr>
                <w:p>
                  <w:pPr>
                    <w:adjustRightInd w:val="0"/>
                    <w:snapToGrid w:val="0"/>
                    <w:jc w:val="center"/>
                    <w:rPr>
                      <w:b/>
                      <w:lang w:val="en-US"/>
                    </w:rPr>
                  </w:pPr>
                  <w:r>
                    <w:rPr>
                      <w:rFonts w:hint="eastAsia"/>
                      <w:b/>
                      <w:lang w:val="en-US"/>
                    </w:rPr>
                    <w:t>占标率（</w:t>
                  </w:r>
                  <w:r>
                    <w:rPr>
                      <w:b/>
                      <w:lang w:val="en-US"/>
                    </w:rPr>
                    <w:t>%</w:t>
                  </w:r>
                  <w:r>
                    <w:rPr>
                      <w:rFonts w:hint="eastAsia"/>
                      <w:b/>
                      <w:lang w:val="en-US"/>
                    </w:rPr>
                    <w:t>）</w:t>
                  </w:r>
                </w:p>
              </w:tc>
              <w:tc>
                <w:tcPr>
                  <w:tcW w:w="1134" w:type="dxa"/>
                  <w:vAlign w:val="center"/>
                </w:tcPr>
                <w:p>
                  <w:pPr>
                    <w:adjustRightInd w:val="0"/>
                    <w:snapToGrid w:val="0"/>
                    <w:jc w:val="center"/>
                    <w:rPr>
                      <w:b/>
                      <w:lang w:val="en-US"/>
                    </w:rPr>
                  </w:pPr>
                  <w:r>
                    <w:rPr>
                      <w:rFonts w:hint="eastAsia"/>
                      <w:b/>
                      <w:lang w:val="en-US"/>
                    </w:rPr>
                    <w:t>浓度（</w:t>
                  </w:r>
                  <w:r>
                    <w:rPr>
                      <w:b/>
                      <w:lang w:val="en-US"/>
                    </w:rPr>
                    <w:t>μg/m</w:t>
                  </w:r>
                  <w:r>
                    <w:rPr>
                      <w:b/>
                      <w:vertAlign w:val="superscript"/>
                      <w:lang w:val="en-US"/>
                    </w:rPr>
                    <w:t>3</w:t>
                  </w:r>
                  <w:r>
                    <w:rPr>
                      <w:rFonts w:hint="eastAsia"/>
                      <w:b/>
                      <w:lang w:val="en-US"/>
                    </w:rPr>
                    <w:t>）</w:t>
                  </w:r>
                </w:p>
              </w:tc>
              <w:tc>
                <w:tcPr>
                  <w:tcW w:w="1338" w:type="dxa"/>
                  <w:vAlign w:val="center"/>
                </w:tcPr>
                <w:p>
                  <w:pPr>
                    <w:adjustRightInd w:val="0"/>
                    <w:snapToGrid w:val="0"/>
                    <w:jc w:val="center"/>
                    <w:rPr>
                      <w:b/>
                      <w:lang w:val="en-US"/>
                    </w:rPr>
                  </w:pPr>
                  <w:r>
                    <w:rPr>
                      <w:rFonts w:hint="eastAsia"/>
                      <w:b/>
                      <w:lang w:val="en-US"/>
                    </w:rPr>
                    <w:t>占标率（</w:t>
                  </w:r>
                  <w:r>
                    <w:rPr>
                      <w:b/>
                      <w:lang w:val="en-US"/>
                    </w:rPr>
                    <w:t>%</w:t>
                  </w:r>
                  <w:r>
                    <w:rPr>
                      <w:rFonts w:hint="eastAsia"/>
                      <w:b/>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532" w:type="dxa"/>
                  <w:vAlign w:val="center"/>
                </w:tcPr>
                <w:p>
                  <w:pPr>
                    <w:adjustRightInd w:val="0"/>
                    <w:snapToGrid w:val="0"/>
                    <w:jc w:val="center"/>
                    <w:rPr>
                      <w:b/>
                      <w:lang w:val="en-US"/>
                    </w:rPr>
                  </w:pPr>
                  <w:r>
                    <w:rPr>
                      <w:rFonts w:hint="eastAsia"/>
                      <w:b/>
                      <w:lang w:val="en-US"/>
                    </w:rPr>
                    <w:t>最大落地浓度（</w:t>
                  </w:r>
                  <w:r>
                    <w:rPr>
                      <w:b/>
                      <w:lang w:val="en-US"/>
                    </w:rPr>
                    <w:t>μg/m</w:t>
                  </w:r>
                  <w:r>
                    <w:rPr>
                      <w:b/>
                      <w:vertAlign w:val="superscript"/>
                      <w:lang w:val="en-US"/>
                    </w:rPr>
                    <w:t>3</w:t>
                  </w:r>
                  <w:r>
                    <w:rPr>
                      <w:rFonts w:hint="eastAsia"/>
                      <w:b/>
                      <w:lang w:val="en-US"/>
                    </w:rPr>
                    <w:t>）</w:t>
                  </w:r>
                </w:p>
              </w:tc>
              <w:tc>
                <w:tcPr>
                  <w:tcW w:w="850" w:type="dxa"/>
                  <w:vAlign w:val="center"/>
                </w:tcPr>
                <w:p>
                  <w:pPr>
                    <w:spacing w:line="360" w:lineRule="exact"/>
                    <w:jc w:val="center"/>
                    <w:rPr>
                      <w:rFonts w:hint="default" w:eastAsia="宋体"/>
                      <w:lang w:val="en-US" w:eastAsia="zh-CN"/>
                    </w:rPr>
                  </w:pPr>
                  <w:r>
                    <w:rPr>
                      <w:rFonts w:hint="eastAsia"/>
                      <w:lang w:val="en-US" w:eastAsia="zh-CN"/>
                    </w:rPr>
                    <w:t>0.002382</w:t>
                  </w:r>
                </w:p>
              </w:tc>
              <w:tc>
                <w:tcPr>
                  <w:tcW w:w="1276" w:type="dxa"/>
                  <w:vAlign w:val="center"/>
                </w:tcPr>
                <w:p>
                  <w:pPr>
                    <w:spacing w:line="360" w:lineRule="exact"/>
                    <w:jc w:val="center"/>
                    <w:rPr>
                      <w:rFonts w:hint="default" w:eastAsia="宋体"/>
                      <w:lang w:val="en-US" w:eastAsia="zh-CN"/>
                    </w:rPr>
                  </w:pPr>
                  <w:r>
                    <w:rPr>
                      <w:rFonts w:hint="eastAsia"/>
                      <w:lang w:val="en-US" w:eastAsia="zh-CN"/>
                    </w:rPr>
                    <w:t>0.95</w:t>
                  </w:r>
                </w:p>
              </w:tc>
              <w:tc>
                <w:tcPr>
                  <w:tcW w:w="1134" w:type="dxa"/>
                  <w:vAlign w:val="center"/>
                </w:tcPr>
                <w:p>
                  <w:pPr>
                    <w:spacing w:line="360" w:lineRule="exact"/>
                    <w:jc w:val="center"/>
                    <w:rPr>
                      <w:rFonts w:hint="default" w:eastAsia="宋体"/>
                      <w:lang w:val="en-US" w:eastAsia="zh-CN"/>
                    </w:rPr>
                  </w:pPr>
                  <w:r>
                    <w:rPr>
                      <w:rFonts w:hint="eastAsia"/>
                      <w:lang w:val="en-US" w:eastAsia="zh-CN"/>
                    </w:rPr>
                    <w:t>0.01</w:t>
                  </w:r>
                </w:p>
              </w:tc>
              <w:tc>
                <w:tcPr>
                  <w:tcW w:w="1276" w:type="dxa"/>
                  <w:vAlign w:val="center"/>
                </w:tcPr>
                <w:p>
                  <w:pPr>
                    <w:spacing w:line="360" w:lineRule="exact"/>
                    <w:jc w:val="center"/>
                    <w:rPr>
                      <w:rFonts w:hint="default" w:eastAsia="宋体"/>
                      <w:lang w:val="en-US" w:eastAsia="zh-CN"/>
                    </w:rPr>
                  </w:pPr>
                  <w:r>
                    <w:rPr>
                      <w:rFonts w:hint="eastAsia"/>
                      <w:lang w:val="en-US" w:eastAsia="zh-CN"/>
                    </w:rPr>
                    <w:t>0.0000524</w:t>
                  </w:r>
                </w:p>
              </w:tc>
              <w:tc>
                <w:tcPr>
                  <w:tcW w:w="1134" w:type="dxa"/>
                  <w:vAlign w:val="center"/>
                </w:tcPr>
                <w:p>
                  <w:pPr>
                    <w:spacing w:line="360" w:lineRule="exact"/>
                    <w:jc w:val="center"/>
                    <w:rPr>
                      <w:rFonts w:hint="default" w:eastAsia="宋体"/>
                      <w:lang w:val="en-US" w:eastAsia="zh-CN"/>
                    </w:rPr>
                  </w:pPr>
                  <w:r>
                    <w:rPr>
                      <w:rFonts w:hint="eastAsia"/>
                      <w:lang w:val="en-US" w:eastAsia="zh-CN"/>
                    </w:rPr>
                    <w:t>0.001119</w:t>
                  </w:r>
                </w:p>
              </w:tc>
              <w:tc>
                <w:tcPr>
                  <w:tcW w:w="1338" w:type="dxa"/>
                  <w:vAlign w:val="center"/>
                </w:tcPr>
                <w:p>
                  <w:pPr>
                    <w:spacing w:line="360" w:lineRule="exact"/>
                    <w:jc w:val="center"/>
                    <w:rPr>
                      <w:rFonts w:hint="default" w:eastAsia="宋体"/>
                      <w:lang w:val="en-US" w:eastAsia="zh-CN"/>
                    </w:rPr>
                  </w:pPr>
                  <w:r>
                    <w:rPr>
                      <w:rFonts w:hint="eastAsia"/>
                      <w:lang w:val="en-US" w:eastAsia="zh-CN"/>
                    </w:rPr>
                    <w:t>0.12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2" w:type="dxa"/>
                  <w:vAlign w:val="center"/>
                </w:tcPr>
                <w:p>
                  <w:pPr>
                    <w:adjustRightInd w:val="0"/>
                    <w:snapToGrid w:val="0"/>
                    <w:jc w:val="center"/>
                    <w:rPr>
                      <w:b/>
                      <w:lang w:val="en-US"/>
                    </w:rPr>
                  </w:pPr>
                  <w:r>
                    <w:rPr>
                      <w:rFonts w:hint="eastAsia"/>
                      <w:b/>
                      <w:lang w:val="en-US"/>
                    </w:rPr>
                    <w:t>最大浓度出现距离（</w:t>
                  </w:r>
                  <w:r>
                    <w:rPr>
                      <w:b/>
                      <w:lang w:val="en-US"/>
                    </w:rPr>
                    <w:t>m</w:t>
                  </w:r>
                  <w:r>
                    <w:rPr>
                      <w:rFonts w:hint="eastAsia"/>
                      <w:b/>
                      <w:lang w:val="en-US"/>
                    </w:rPr>
                    <w:t>）</w:t>
                  </w:r>
                </w:p>
              </w:tc>
              <w:tc>
                <w:tcPr>
                  <w:tcW w:w="7008" w:type="dxa"/>
                  <w:gridSpan w:val="6"/>
                  <w:vAlign w:val="center"/>
                </w:tcPr>
                <w:p>
                  <w:pPr>
                    <w:spacing w:line="360" w:lineRule="exact"/>
                    <w:jc w:val="center"/>
                    <w:rPr>
                      <w:rFonts w:hint="default" w:eastAsia="宋体"/>
                      <w:lang w:val="en-US" w:eastAsia="zh-CN"/>
                    </w:rPr>
                  </w:pPr>
                  <w:r>
                    <w:rPr>
                      <w:rFonts w:hint="eastAsia"/>
                      <w:lang w:val="en-US" w:eastAsia="zh-CN"/>
                    </w:rPr>
                    <w:t>948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2" w:type="dxa"/>
                  <w:vAlign w:val="center"/>
                </w:tcPr>
                <w:p>
                  <w:pPr>
                    <w:adjustRightInd w:val="0"/>
                    <w:snapToGrid w:val="0"/>
                    <w:jc w:val="center"/>
                    <w:rPr>
                      <w:b/>
                      <w:lang w:val="en-US"/>
                    </w:rPr>
                  </w:pPr>
                  <w:r>
                    <w:rPr>
                      <w:b/>
                      <w:lang w:val="en-US"/>
                    </w:rPr>
                    <w:t>D10%</w:t>
                  </w:r>
                  <w:r>
                    <w:rPr>
                      <w:rFonts w:hint="eastAsia"/>
                      <w:b/>
                      <w:lang w:val="en-US"/>
                    </w:rPr>
                    <w:t>最远距离（</w:t>
                  </w:r>
                  <w:r>
                    <w:rPr>
                      <w:b/>
                      <w:lang w:val="en-US"/>
                    </w:rPr>
                    <w:t>m</w:t>
                  </w:r>
                  <w:r>
                    <w:rPr>
                      <w:rFonts w:hint="eastAsia"/>
                      <w:b/>
                      <w:lang w:val="en-US"/>
                    </w:rPr>
                    <w:t>）</w:t>
                  </w:r>
                </w:p>
              </w:tc>
              <w:tc>
                <w:tcPr>
                  <w:tcW w:w="7008" w:type="dxa"/>
                  <w:gridSpan w:val="6"/>
                  <w:vAlign w:val="center"/>
                </w:tcPr>
                <w:p>
                  <w:pPr>
                    <w:jc w:val="center"/>
                    <w:rPr>
                      <w:lang w:val="en-US"/>
                    </w:rPr>
                  </w:pPr>
                  <w:r>
                    <w:rPr>
                      <w:lang w:val="en-US"/>
                    </w:rPr>
                    <w:t>/</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w:t>
            </w:r>
            <w:r>
              <w:rPr>
                <w:rFonts w:hint="eastAsia" w:ascii="Times New Roman" w:hAnsi="Times New Roman" w:cs="Times New Roman" w:eastAsiaTheme="minorEastAsia"/>
                <w:b/>
                <w:color w:val="000000" w:themeColor="text1"/>
                <w:sz w:val="24"/>
                <w:szCs w:val="24"/>
                <w:lang w:val="en-US" w:eastAsia="zh-CN"/>
              </w:rPr>
              <w:t>7</w:t>
            </w:r>
            <w:r>
              <w:rPr>
                <w:rFonts w:hint="eastAsia" w:ascii="Times New Roman" w:hAnsi="Times New Roman" w:cs="Times New Roman" w:eastAsiaTheme="minorEastAsia"/>
                <w:b/>
                <w:color w:val="000000" w:themeColor="text1"/>
                <w:sz w:val="24"/>
                <w:szCs w:val="24"/>
                <w:lang w:val="en-US"/>
              </w:rPr>
              <w:t xml:space="preserve">  颗粒物无组织大气污染物排放影响计算结果表</w:t>
            </w:r>
          </w:p>
          <w:tbl>
            <w:tblPr>
              <w:tblStyle w:val="75"/>
              <w:tblW w:w="8313"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811"/>
              <w:gridCol w:w="3118"/>
              <w:gridCol w:w="2384"/>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811" w:type="dxa"/>
                  <w:vMerge w:val="restart"/>
                  <w:shd w:val="clear" w:color="auto" w:fill="FFFFFF"/>
                  <w:vAlign w:val="center"/>
                </w:tcPr>
                <w:p>
                  <w:pPr>
                    <w:tabs>
                      <w:tab w:val="left" w:pos="-2848"/>
                    </w:tabs>
                    <w:spacing w:before="24" w:after="24"/>
                    <w:jc w:val="center"/>
                    <w:rPr>
                      <w:b/>
                      <w:position w:val="-10"/>
                      <w:szCs w:val="21"/>
                    </w:rPr>
                  </w:pPr>
                  <w:r>
                    <w:rPr>
                      <w:rFonts w:hint="eastAsia"/>
                      <w:b/>
                      <w:position w:val="-10"/>
                      <w:szCs w:val="21"/>
                    </w:rPr>
                    <w:t>下风向距离</w:t>
                  </w:r>
                  <w:r>
                    <w:rPr>
                      <w:b/>
                      <w:position w:val="-10"/>
                      <w:szCs w:val="21"/>
                    </w:rPr>
                    <w:t>/m</w:t>
                  </w:r>
                </w:p>
              </w:tc>
              <w:tc>
                <w:tcPr>
                  <w:tcW w:w="5502" w:type="dxa"/>
                  <w:gridSpan w:val="2"/>
                  <w:shd w:val="clear" w:color="auto" w:fill="FFFFFF"/>
                  <w:vAlign w:val="center"/>
                </w:tcPr>
                <w:p>
                  <w:pPr>
                    <w:tabs>
                      <w:tab w:val="left" w:pos="-2848"/>
                    </w:tabs>
                    <w:spacing w:before="24" w:after="24"/>
                    <w:jc w:val="center"/>
                    <w:rPr>
                      <w:b/>
                      <w:position w:val="-10"/>
                      <w:szCs w:val="21"/>
                      <w:lang w:val="en-US"/>
                    </w:rPr>
                  </w:pPr>
                  <w:r>
                    <w:rPr>
                      <w:rFonts w:hint="eastAsia"/>
                      <w:b/>
                      <w:kern w:val="0"/>
                      <w:szCs w:val="21"/>
                    </w:rPr>
                    <w:t>颗粒物</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vMerge w:val="continue"/>
                  <w:shd w:val="clear" w:color="auto" w:fill="FFFFFF"/>
                  <w:vAlign w:val="center"/>
                </w:tcPr>
                <w:p>
                  <w:pPr>
                    <w:tabs>
                      <w:tab w:val="left" w:pos="-2848"/>
                    </w:tabs>
                    <w:spacing w:before="24" w:after="24" w:line="240" w:lineRule="atLeast"/>
                    <w:jc w:val="center"/>
                    <w:rPr>
                      <w:b/>
                      <w:position w:val="-10"/>
                      <w:szCs w:val="21"/>
                    </w:rPr>
                  </w:pPr>
                </w:p>
              </w:tc>
              <w:tc>
                <w:tcPr>
                  <w:tcW w:w="3118" w:type="dxa"/>
                  <w:shd w:val="clear" w:color="auto" w:fill="FFFFFF"/>
                  <w:vAlign w:val="center"/>
                </w:tcPr>
                <w:p>
                  <w:pPr>
                    <w:tabs>
                      <w:tab w:val="left" w:pos="-2848"/>
                    </w:tabs>
                    <w:spacing w:before="24" w:after="24" w:line="240" w:lineRule="atLeast"/>
                    <w:jc w:val="center"/>
                    <w:rPr>
                      <w:b/>
                      <w:position w:val="-10"/>
                      <w:szCs w:val="21"/>
                    </w:rPr>
                  </w:pPr>
                  <w:r>
                    <w:rPr>
                      <w:rFonts w:hint="eastAsia"/>
                      <w:b/>
                      <w:position w:val="-10"/>
                      <w:szCs w:val="21"/>
                    </w:rPr>
                    <w:t>预测质量浓度</w:t>
                  </w:r>
                  <w:r>
                    <w:rPr>
                      <w:b/>
                      <w:position w:val="-10"/>
                      <w:szCs w:val="21"/>
                    </w:rPr>
                    <w:t>/</w:t>
                  </w:r>
                  <w:r>
                    <w:rPr>
                      <w:rFonts w:hint="eastAsia"/>
                      <w:b/>
                      <w:position w:val="-10"/>
                      <w:szCs w:val="21"/>
                    </w:rPr>
                    <w:t>（</w:t>
                  </w:r>
                  <w:r>
                    <w:rPr>
                      <w:b/>
                      <w:position w:val="-10"/>
                      <w:szCs w:val="21"/>
                    </w:rPr>
                    <w:t>μg/m</w:t>
                  </w:r>
                  <w:r>
                    <w:rPr>
                      <w:b/>
                      <w:position w:val="-10"/>
                      <w:szCs w:val="21"/>
                      <w:vertAlign w:val="superscript"/>
                    </w:rPr>
                    <w:t>3</w:t>
                  </w:r>
                  <w:r>
                    <w:rPr>
                      <w:rFonts w:hint="eastAsia"/>
                      <w:b/>
                      <w:position w:val="-10"/>
                      <w:szCs w:val="21"/>
                    </w:rPr>
                    <w:t>）</w:t>
                  </w:r>
                </w:p>
              </w:tc>
              <w:tc>
                <w:tcPr>
                  <w:tcW w:w="2384" w:type="dxa"/>
                  <w:shd w:val="clear" w:color="auto" w:fill="FFFFFF"/>
                  <w:vAlign w:val="center"/>
                </w:tcPr>
                <w:p>
                  <w:pPr>
                    <w:tabs>
                      <w:tab w:val="left" w:pos="-2848"/>
                    </w:tabs>
                    <w:spacing w:before="24" w:after="24" w:line="240" w:lineRule="atLeast"/>
                    <w:jc w:val="center"/>
                    <w:rPr>
                      <w:b/>
                      <w:position w:val="-10"/>
                      <w:szCs w:val="21"/>
                    </w:rPr>
                  </w:pPr>
                  <w:r>
                    <w:rPr>
                      <w:rFonts w:hint="eastAsia"/>
                      <w:b/>
                      <w:position w:val="-10"/>
                      <w:szCs w:val="21"/>
                    </w:rPr>
                    <w:t>占标率</w:t>
                  </w:r>
                  <w:r>
                    <w:rPr>
                      <w:b/>
                      <w:position w:val="-10"/>
                      <w:szCs w:val="21"/>
                    </w:rPr>
                    <w: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811" w:type="dxa"/>
                  <w:shd w:val="clear" w:color="auto" w:fill="FFFFFF"/>
                  <w:vAlign w:val="center"/>
                </w:tcPr>
                <w:p>
                  <w:pPr>
                    <w:tabs>
                      <w:tab w:val="left" w:pos="-2848"/>
                    </w:tabs>
                    <w:spacing w:before="24" w:after="24" w:line="240" w:lineRule="atLeast"/>
                    <w:jc w:val="center"/>
                    <w:rPr>
                      <w:b/>
                      <w:position w:val="-10"/>
                      <w:szCs w:val="21"/>
                    </w:rPr>
                  </w:pPr>
                  <w:r>
                    <w:rPr>
                      <w:rFonts w:hint="eastAsia"/>
                      <w:b/>
                      <w:position w:val="-10"/>
                      <w:szCs w:val="21"/>
                    </w:rPr>
                    <w:t>下风向最大质量浓度及占标率</w:t>
                  </w:r>
                  <w:r>
                    <w:rPr>
                      <w:b/>
                      <w:position w:val="-10"/>
                      <w:szCs w:val="21"/>
                    </w:rPr>
                    <w:t>/%</w:t>
                  </w:r>
                </w:p>
              </w:tc>
              <w:tc>
                <w:tcPr>
                  <w:tcW w:w="3118" w:type="dxa"/>
                  <w:shd w:val="clear" w:color="auto" w:fill="FFFFFF"/>
                  <w:vAlign w:val="center"/>
                </w:tcPr>
                <w:p>
                  <w:pPr>
                    <w:tabs>
                      <w:tab w:val="left" w:pos="-2848"/>
                    </w:tabs>
                    <w:spacing w:before="24" w:after="24" w:line="240" w:lineRule="atLeast"/>
                    <w:jc w:val="center"/>
                    <w:rPr>
                      <w:rFonts w:hint="default" w:eastAsia="宋体"/>
                      <w:position w:val="-10"/>
                      <w:szCs w:val="21"/>
                      <w:lang w:val="en-US" w:eastAsia="zh-CN"/>
                    </w:rPr>
                  </w:pPr>
                  <w:r>
                    <w:rPr>
                      <w:rFonts w:hint="eastAsia"/>
                      <w:szCs w:val="21"/>
                      <w:lang w:val="en-US" w:eastAsia="zh-CN"/>
                    </w:rPr>
                    <w:t>0.00514</w:t>
                  </w:r>
                </w:p>
              </w:tc>
              <w:tc>
                <w:tcPr>
                  <w:tcW w:w="2384" w:type="dxa"/>
                  <w:shd w:val="clear" w:color="auto" w:fill="FFFFFF"/>
                  <w:vAlign w:val="center"/>
                </w:tcPr>
                <w:p>
                  <w:pPr>
                    <w:tabs>
                      <w:tab w:val="left" w:pos="-2848"/>
                    </w:tabs>
                    <w:spacing w:before="24" w:after="24" w:line="240" w:lineRule="atLeast"/>
                    <w:jc w:val="center"/>
                    <w:rPr>
                      <w:rFonts w:hint="default" w:eastAsia="宋体"/>
                      <w:position w:val="-10"/>
                      <w:szCs w:val="21"/>
                      <w:lang w:val="en-US" w:eastAsia="zh-CN"/>
                    </w:rPr>
                  </w:pPr>
                  <w:r>
                    <w:rPr>
                      <w:rFonts w:hint="eastAsia"/>
                      <w:position w:val="-10"/>
                      <w:szCs w:val="21"/>
                      <w:lang w:val="en-US" w:eastAsia="zh-CN"/>
                    </w:rPr>
                    <w:t>0.57</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PrEx>
              <w:trPr>
                <w:trHeight w:val="340" w:hRule="atLeast"/>
                <w:jc w:val="center"/>
              </w:trPr>
              <w:tc>
                <w:tcPr>
                  <w:tcW w:w="2811" w:type="dxa"/>
                  <w:shd w:val="clear" w:color="auto" w:fill="FFFFFF"/>
                  <w:vAlign w:val="center"/>
                </w:tcPr>
                <w:p>
                  <w:pPr>
                    <w:tabs>
                      <w:tab w:val="left" w:pos="-2848"/>
                    </w:tabs>
                    <w:spacing w:before="24" w:after="24" w:line="240" w:lineRule="atLeast"/>
                    <w:jc w:val="center"/>
                    <w:rPr>
                      <w:b/>
                      <w:position w:val="-10"/>
                      <w:szCs w:val="21"/>
                    </w:rPr>
                  </w:pPr>
                  <w:r>
                    <w:rPr>
                      <w:rFonts w:hint="eastAsia"/>
                      <w:b/>
                      <w:position w:val="-10"/>
                      <w:szCs w:val="21"/>
                    </w:rPr>
                    <w:t>最大落地浓度出现距离</w:t>
                  </w:r>
                  <w:r>
                    <w:rPr>
                      <w:b/>
                      <w:position w:val="-10"/>
                      <w:szCs w:val="21"/>
                    </w:rPr>
                    <w:t>/m</w:t>
                  </w:r>
                </w:p>
              </w:tc>
              <w:tc>
                <w:tcPr>
                  <w:tcW w:w="5502" w:type="dxa"/>
                  <w:gridSpan w:val="2"/>
                  <w:shd w:val="clear" w:color="auto" w:fill="FFFFFF"/>
                  <w:vAlign w:val="center"/>
                </w:tcPr>
                <w:p>
                  <w:pPr>
                    <w:tabs>
                      <w:tab w:val="left" w:pos="-2848"/>
                    </w:tabs>
                    <w:spacing w:before="24" w:after="24" w:line="240" w:lineRule="atLeast"/>
                    <w:jc w:val="center"/>
                    <w:rPr>
                      <w:rFonts w:hint="default" w:eastAsia="宋体"/>
                      <w:position w:val="-10"/>
                      <w:szCs w:val="21"/>
                      <w:lang w:val="en-US" w:eastAsia="zh-CN"/>
                    </w:rPr>
                  </w:pPr>
                  <w:r>
                    <w:rPr>
                      <w:rFonts w:hint="eastAsia"/>
                      <w:position w:val="-10"/>
                      <w:szCs w:val="21"/>
                      <w:lang w:val="en-US" w:eastAsia="zh-CN"/>
                    </w:rPr>
                    <w:t>105</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shd w:val="clear" w:color="auto" w:fill="FFFFFF"/>
                  <w:vAlign w:val="center"/>
                </w:tcPr>
                <w:p>
                  <w:pPr>
                    <w:adjustRightInd w:val="0"/>
                    <w:snapToGrid w:val="0"/>
                    <w:jc w:val="center"/>
                    <w:rPr>
                      <w:b/>
                      <w:lang w:val="en-US"/>
                    </w:rPr>
                  </w:pPr>
                  <w:r>
                    <w:rPr>
                      <w:b/>
                      <w:lang w:val="en-US"/>
                    </w:rPr>
                    <w:t>D10%</w:t>
                  </w:r>
                  <w:r>
                    <w:rPr>
                      <w:rFonts w:hint="eastAsia"/>
                      <w:b/>
                      <w:lang w:val="en-US"/>
                    </w:rPr>
                    <w:t>最远距离（</w:t>
                  </w:r>
                  <w:r>
                    <w:rPr>
                      <w:b/>
                      <w:lang w:val="en-US"/>
                    </w:rPr>
                    <w:t>m</w:t>
                  </w:r>
                  <w:r>
                    <w:rPr>
                      <w:rFonts w:hint="eastAsia"/>
                      <w:b/>
                      <w:lang w:val="en-US"/>
                    </w:rPr>
                    <w:t>）</w:t>
                  </w:r>
                </w:p>
              </w:tc>
              <w:tc>
                <w:tcPr>
                  <w:tcW w:w="5502" w:type="dxa"/>
                  <w:gridSpan w:val="2"/>
                  <w:shd w:val="clear" w:color="auto" w:fill="FFFFFF"/>
                  <w:vAlign w:val="center"/>
                </w:tcPr>
                <w:p>
                  <w:pPr>
                    <w:jc w:val="center"/>
                    <w:rPr>
                      <w:lang w:val="en-US"/>
                    </w:rPr>
                  </w:pPr>
                  <w:r>
                    <w:rPr>
                      <w:lang w:val="en-US"/>
                    </w:rPr>
                    <w:t>/</w:t>
                  </w:r>
                </w:p>
              </w:tc>
            </w:tr>
          </w:tbl>
          <w:p>
            <w:pPr>
              <w:spacing w:line="360" w:lineRule="auto"/>
              <w:ind w:firstLine="480" w:firstLineChars="200"/>
              <w:rPr>
                <w:sz w:val="24"/>
                <w:szCs w:val="24"/>
              </w:rPr>
            </w:pPr>
            <w:r>
              <w:rPr>
                <w:rFonts w:hint="eastAsia"/>
                <w:sz w:val="24"/>
                <w:szCs w:val="24"/>
              </w:rPr>
              <w:t>由上表可知，本项目</w:t>
            </w:r>
            <w:r>
              <w:rPr>
                <w:rFonts w:hint="eastAsia"/>
                <w:sz w:val="24"/>
                <w:szCs w:val="24"/>
                <w:lang w:val="en-US"/>
              </w:rPr>
              <w:t>有组织废气因子颗粒物、</w:t>
            </w:r>
            <w:r>
              <w:rPr>
                <w:sz w:val="24"/>
                <w:szCs w:val="24"/>
                <w:lang w:val="en-US"/>
              </w:rPr>
              <w:t>NO</w:t>
            </w:r>
            <w:r>
              <w:rPr>
                <w:sz w:val="24"/>
                <w:szCs w:val="24"/>
                <w:vertAlign w:val="subscript"/>
                <w:lang w:val="en-US"/>
              </w:rPr>
              <w:t>X</w:t>
            </w:r>
            <w:r>
              <w:rPr>
                <w:rFonts w:hint="eastAsia"/>
                <w:sz w:val="24"/>
                <w:szCs w:val="24"/>
                <w:lang w:val="en-US"/>
              </w:rPr>
              <w:t>、</w:t>
            </w:r>
            <w:r>
              <w:rPr>
                <w:sz w:val="24"/>
                <w:szCs w:val="24"/>
                <w:lang w:val="en-US"/>
              </w:rPr>
              <w:t>SO</w:t>
            </w:r>
            <w:r>
              <w:rPr>
                <w:sz w:val="24"/>
                <w:szCs w:val="24"/>
                <w:vertAlign w:val="subscript"/>
                <w:lang w:val="en-US"/>
              </w:rPr>
              <w:t>2</w:t>
            </w:r>
            <w:r>
              <w:rPr>
                <w:rFonts w:hint="eastAsia"/>
                <w:sz w:val="24"/>
                <w:szCs w:val="24"/>
                <w:lang w:val="en-US"/>
              </w:rPr>
              <w:t>及无组织因子颗粒物排</w:t>
            </w:r>
            <w:r>
              <w:rPr>
                <w:rFonts w:hint="eastAsia"/>
                <w:sz w:val="24"/>
                <w:szCs w:val="24"/>
              </w:rPr>
              <w:t>放最大地面浓度占标率</w:t>
            </w:r>
            <w:r>
              <w:rPr>
                <w:rFonts w:hint="eastAsia"/>
                <w:sz w:val="24"/>
                <w:szCs w:val="24"/>
                <w:lang w:val="en-US"/>
              </w:rPr>
              <w:t>皆</w:t>
            </w:r>
            <w:r>
              <w:rPr>
                <w:rFonts w:hint="eastAsia"/>
                <w:sz w:val="24"/>
                <w:szCs w:val="24"/>
                <w:lang w:val="en-US" w:eastAsia="zh-CN"/>
              </w:rPr>
              <w:t>小</w:t>
            </w:r>
            <w:r>
              <w:rPr>
                <w:rFonts w:hint="eastAsia"/>
                <w:sz w:val="24"/>
                <w:szCs w:val="24"/>
                <w:lang w:val="en-US"/>
              </w:rPr>
              <w:t>于1%，</w:t>
            </w:r>
            <w:r>
              <w:rPr>
                <w:rFonts w:hint="eastAsia"/>
                <w:sz w:val="24"/>
                <w:szCs w:val="24"/>
              </w:rPr>
              <w:t>根据《环境影响评价技术导则 大气环境》</w:t>
            </w:r>
            <w:r>
              <w:rPr>
                <w:sz w:val="24"/>
                <w:szCs w:val="24"/>
              </w:rPr>
              <w:t>(HJ2.2-2018)</w:t>
            </w:r>
            <w:r>
              <w:rPr>
                <w:rFonts w:hint="eastAsia"/>
                <w:sz w:val="24"/>
                <w:szCs w:val="24"/>
              </w:rPr>
              <w:t>，确定项目大气环评等级为</w:t>
            </w:r>
            <w:r>
              <w:rPr>
                <w:rFonts w:hint="eastAsia"/>
                <w:sz w:val="24"/>
                <w:szCs w:val="24"/>
                <w:lang w:eastAsia="zh-CN"/>
              </w:rPr>
              <w:t>三</w:t>
            </w:r>
            <w:r>
              <w:rPr>
                <w:rFonts w:hint="eastAsia"/>
                <w:sz w:val="24"/>
                <w:szCs w:val="24"/>
              </w:rPr>
              <w:t>级</w:t>
            </w:r>
            <w:r>
              <w:rPr>
                <w:rFonts w:hint="eastAsia"/>
                <w:sz w:val="24"/>
                <w:szCs w:val="24"/>
                <w:lang w:val="en-US"/>
              </w:rPr>
              <w:t>，</w:t>
            </w:r>
            <w:r>
              <w:rPr>
                <w:rFonts w:hint="eastAsia"/>
                <w:sz w:val="24"/>
                <w:szCs w:val="24"/>
              </w:rPr>
              <w:t>不进行进一步预测模式作预测，只对污染物排放量进行核算。本项目废气污染物排放量见下表所示。</w:t>
            </w:r>
          </w:p>
          <w:p>
            <w:pPr>
              <w:spacing w:line="360" w:lineRule="auto"/>
              <w:ind w:firstLine="480" w:firstLineChars="200"/>
              <w:rPr>
                <w:sz w:val="24"/>
              </w:rPr>
            </w:pPr>
            <w:r>
              <w:rPr>
                <w:sz w:val="24"/>
              </w:rPr>
              <w:t>本项目大气污染物有组织排放量核算见表7-</w:t>
            </w:r>
            <w:r>
              <w:rPr>
                <w:rFonts w:hint="eastAsia"/>
                <w:sz w:val="24"/>
                <w:lang w:val="en-US" w:eastAsia="zh-CN"/>
              </w:rPr>
              <w:t>8</w:t>
            </w:r>
            <w:r>
              <w:rPr>
                <w:sz w:val="24"/>
              </w:rPr>
              <w:t>；大气污染物无组织排放量见表7-</w:t>
            </w:r>
            <w:r>
              <w:rPr>
                <w:rFonts w:hint="eastAsia"/>
                <w:sz w:val="24"/>
                <w:lang w:val="en-US" w:eastAsia="zh-CN"/>
              </w:rPr>
              <w:t>9</w:t>
            </w:r>
            <w:r>
              <w:rPr>
                <w:sz w:val="24"/>
              </w:rPr>
              <w:t>；大气污染物年排放量核算见表7-</w:t>
            </w:r>
            <w:r>
              <w:rPr>
                <w:rFonts w:hint="eastAsia"/>
                <w:sz w:val="24"/>
              </w:rPr>
              <w:t>1</w:t>
            </w:r>
            <w:r>
              <w:rPr>
                <w:rFonts w:hint="eastAsia"/>
                <w:sz w:val="24"/>
                <w:lang w:val="en-US" w:eastAsia="zh-CN"/>
              </w:rPr>
              <w:t>0</w:t>
            </w:r>
            <w:r>
              <w:rPr>
                <w:sz w:val="24"/>
              </w:rPr>
              <w:t>。</w:t>
            </w:r>
            <w:bookmarkStart w:id="55" w:name="_Toc28246"/>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w:t>
            </w:r>
            <w:r>
              <w:rPr>
                <w:rFonts w:hint="eastAsia" w:cs="Times New Roman" w:eastAsiaTheme="minorEastAsia"/>
                <w:b/>
                <w:color w:val="000000" w:themeColor="text1"/>
                <w:sz w:val="24"/>
                <w:szCs w:val="24"/>
                <w:lang w:val="en-US" w:eastAsia="zh-CN"/>
              </w:rPr>
              <w:t>8</w:t>
            </w:r>
            <w:r>
              <w:rPr>
                <w:rFonts w:hint="eastAsia" w:ascii="Times New Roman" w:hAnsi="Times New Roman" w:cs="Times New Roman" w:eastAsiaTheme="minorEastAsia"/>
                <w:b/>
                <w:color w:val="000000" w:themeColor="text1"/>
                <w:sz w:val="24"/>
                <w:szCs w:val="24"/>
                <w:lang w:val="en-US"/>
              </w:rPr>
              <w:t xml:space="preserve">  大气污染物有组织排放量核算一览表</w:t>
            </w:r>
            <w:bookmarkEnd w:id="55"/>
          </w:p>
          <w:tbl>
            <w:tblPr>
              <w:tblStyle w:val="75"/>
              <w:tblW w:w="829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948"/>
              <w:gridCol w:w="1205"/>
              <w:gridCol w:w="2197"/>
              <w:gridCol w:w="1851"/>
              <w:gridCol w:w="148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b/>
                      <w:szCs w:val="21"/>
                    </w:rPr>
                  </w:pPr>
                  <w:r>
                    <w:rPr>
                      <w:b/>
                      <w:szCs w:val="21"/>
                    </w:rPr>
                    <w:t>序号</w:t>
                  </w:r>
                </w:p>
              </w:tc>
              <w:tc>
                <w:tcPr>
                  <w:tcW w:w="948" w:type="dxa"/>
                  <w:vAlign w:val="center"/>
                </w:tcPr>
                <w:p>
                  <w:pPr>
                    <w:adjustRightInd w:val="0"/>
                    <w:snapToGrid w:val="0"/>
                    <w:jc w:val="center"/>
                    <w:rPr>
                      <w:b/>
                      <w:szCs w:val="21"/>
                    </w:rPr>
                  </w:pPr>
                  <w:r>
                    <w:rPr>
                      <w:b/>
                      <w:szCs w:val="21"/>
                    </w:rPr>
                    <w:t>排放口</w:t>
                  </w:r>
                </w:p>
                <w:p>
                  <w:pPr>
                    <w:adjustRightInd w:val="0"/>
                    <w:snapToGrid w:val="0"/>
                    <w:jc w:val="center"/>
                    <w:rPr>
                      <w:b/>
                      <w:szCs w:val="21"/>
                    </w:rPr>
                  </w:pPr>
                  <w:r>
                    <w:rPr>
                      <w:b/>
                      <w:szCs w:val="21"/>
                    </w:rPr>
                    <w:t>编号</w:t>
                  </w:r>
                </w:p>
              </w:tc>
              <w:tc>
                <w:tcPr>
                  <w:tcW w:w="1205" w:type="dxa"/>
                  <w:vAlign w:val="center"/>
                </w:tcPr>
                <w:p>
                  <w:pPr>
                    <w:adjustRightInd w:val="0"/>
                    <w:snapToGrid w:val="0"/>
                    <w:ind w:left="-48" w:leftChars="-23" w:right="-69" w:rightChars="-33"/>
                    <w:jc w:val="center"/>
                    <w:rPr>
                      <w:b/>
                      <w:szCs w:val="21"/>
                    </w:rPr>
                  </w:pPr>
                  <w:r>
                    <w:rPr>
                      <w:b/>
                      <w:szCs w:val="21"/>
                    </w:rPr>
                    <w:t>污染物</w:t>
                  </w:r>
                </w:p>
              </w:tc>
              <w:tc>
                <w:tcPr>
                  <w:tcW w:w="2197" w:type="dxa"/>
                  <w:vAlign w:val="center"/>
                </w:tcPr>
                <w:p>
                  <w:pPr>
                    <w:adjustRightInd w:val="0"/>
                    <w:snapToGrid w:val="0"/>
                    <w:jc w:val="center"/>
                    <w:rPr>
                      <w:b/>
                      <w:szCs w:val="21"/>
                    </w:rPr>
                  </w:pPr>
                  <w:r>
                    <w:rPr>
                      <w:b/>
                      <w:szCs w:val="21"/>
                    </w:rPr>
                    <w:t>核算排放浓度</w:t>
                  </w:r>
                </w:p>
                <w:p>
                  <w:pPr>
                    <w:adjustRightInd w:val="0"/>
                    <w:snapToGrid w:val="0"/>
                    <w:jc w:val="center"/>
                    <w:rPr>
                      <w:b/>
                      <w:szCs w:val="21"/>
                    </w:rPr>
                  </w:pPr>
                  <w:r>
                    <w:rPr>
                      <w:b/>
                      <w:szCs w:val="21"/>
                    </w:rPr>
                    <w:t>/（mg/m</w:t>
                  </w:r>
                  <w:r>
                    <w:rPr>
                      <w:b/>
                      <w:szCs w:val="21"/>
                      <w:vertAlign w:val="superscript"/>
                    </w:rPr>
                    <w:t>3</w:t>
                  </w:r>
                  <w:r>
                    <w:rPr>
                      <w:b/>
                      <w:szCs w:val="21"/>
                    </w:rPr>
                    <w:t>）</w:t>
                  </w:r>
                </w:p>
              </w:tc>
              <w:tc>
                <w:tcPr>
                  <w:tcW w:w="1851" w:type="dxa"/>
                  <w:vAlign w:val="center"/>
                </w:tcPr>
                <w:p>
                  <w:pPr>
                    <w:adjustRightInd w:val="0"/>
                    <w:snapToGrid w:val="0"/>
                    <w:jc w:val="center"/>
                    <w:rPr>
                      <w:b/>
                      <w:szCs w:val="21"/>
                    </w:rPr>
                  </w:pPr>
                  <w:r>
                    <w:rPr>
                      <w:b/>
                      <w:szCs w:val="21"/>
                    </w:rPr>
                    <w:t>核算排放速率</w:t>
                  </w:r>
                </w:p>
                <w:p>
                  <w:pPr>
                    <w:adjustRightInd w:val="0"/>
                    <w:snapToGrid w:val="0"/>
                    <w:jc w:val="center"/>
                    <w:rPr>
                      <w:b/>
                      <w:szCs w:val="21"/>
                    </w:rPr>
                  </w:pPr>
                  <w:r>
                    <w:rPr>
                      <w:b/>
                      <w:szCs w:val="21"/>
                    </w:rPr>
                    <w:t>/（kg/h）</w:t>
                  </w:r>
                </w:p>
              </w:tc>
              <w:tc>
                <w:tcPr>
                  <w:tcW w:w="1489" w:type="dxa"/>
                  <w:vAlign w:val="center"/>
                </w:tcPr>
                <w:p>
                  <w:pPr>
                    <w:adjustRightInd w:val="0"/>
                    <w:snapToGrid w:val="0"/>
                    <w:jc w:val="center"/>
                    <w:rPr>
                      <w:b/>
                      <w:szCs w:val="21"/>
                    </w:rPr>
                  </w:pPr>
                  <w:r>
                    <w:rPr>
                      <w:b/>
                      <w:szCs w:val="21"/>
                    </w:rPr>
                    <w:t>核算年排放量</w:t>
                  </w:r>
                </w:p>
                <w:p>
                  <w:pPr>
                    <w:adjustRightInd w:val="0"/>
                    <w:snapToGrid w:val="0"/>
                    <w:jc w:val="center"/>
                    <w:rPr>
                      <w:b/>
                      <w:szCs w:val="21"/>
                    </w:rPr>
                  </w:pPr>
                  <w:r>
                    <w:rPr>
                      <w:b/>
                      <w:szCs w:val="21"/>
                    </w:rPr>
                    <w:t>/（t/a）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szCs w:val="21"/>
                    </w:rPr>
                  </w:pPr>
                  <w:r>
                    <w:rPr>
                      <w:b/>
                      <w:szCs w:val="21"/>
                    </w:rPr>
                    <w:t>主要排放口</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szCs w:val="21"/>
                    </w:rPr>
                  </w:pPr>
                  <w:r>
                    <w:rPr>
                      <w:rFonts w:hint="eastAsia"/>
                      <w:szCs w:val="21"/>
                    </w:rPr>
                    <w:t>1</w:t>
                  </w:r>
                </w:p>
              </w:tc>
              <w:tc>
                <w:tcPr>
                  <w:tcW w:w="948" w:type="dxa"/>
                  <w:vAlign w:val="center"/>
                </w:tcPr>
                <w:p>
                  <w:pPr>
                    <w:adjustRightInd w:val="0"/>
                    <w:snapToGrid w:val="0"/>
                    <w:jc w:val="center"/>
                    <w:rPr>
                      <w:szCs w:val="21"/>
                    </w:rPr>
                  </w:pPr>
                  <w:r>
                    <w:rPr>
                      <w:szCs w:val="21"/>
                    </w:rPr>
                    <w:t>/</w:t>
                  </w:r>
                </w:p>
              </w:tc>
              <w:tc>
                <w:tcPr>
                  <w:tcW w:w="1205" w:type="dxa"/>
                  <w:vAlign w:val="center"/>
                </w:tcPr>
                <w:p>
                  <w:pPr>
                    <w:widowControl/>
                    <w:jc w:val="center"/>
                    <w:rPr>
                      <w:szCs w:val="21"/>
                    </w:rPr>
                  </w:pPr>
                  <w:r>
                    <w:rPr>
                      <w:szCs w:val="21"/>
                    </w:rPr>
                    <w:t>/</w:t>
                  </w:r>
                </w:p>
              </w:tc>
              <w:tc>
                <w:tcPr>
                  <w:tcW w:w="2197" w:type="dxa"/>
                  <w:vAlign w:val="center"/>
                </w:tcPr>
                <w:p>
                  <w:pPr>
                    <w:widowControl/>
                    <w:jc w:val="center"/>
                    <w:textAlignment w:val="center"/>
                    <w:rPr>
                      <w:kern w:val="0"/>
                      <w:szCs w:val="21"/>
                    </w:rPr>
                  </w:pPr>
                  <w:r>
                    <w:rPr>
                      <w:szCs w:val="21"/>
                    </w:rPr>
                    <w:t>/</w:t>
                  </w:r>
                </w:p>
              </w:tc>
              <w:tc>
                <w:tcPr>
                  <w:tcW w:w="1851" w:type="dxa"/>
                  <w:vAlign w:val="center"/>
                </w:tcPr>
                <w:p>
                  <w:pPr>
                    <w:widowControl/>
                    <w:jc w:val="center"/>
                    <w:textAlignment w:val="center"/>
                    <w:rPr>
                      <w:szCs w:val="21"/>
                    </w:rPr>
                  </w:pPr>
                  <w:r>
                    <w:rPr>
                      <w:szCs w:val="21"/>
                    </w:rPr>
                    <w:t>/</w:t>
                  </w:r>
                </w:p>
              </w:tc>
              <w:tc>
                <w:tcPr>
                  <w:tcW w:w="1489" w:type="dxa"/>
                  <w:vAlign w:val="center"/>
                </w:tcPr>
                <w:p>
                  <w:pPr>
                    <w:widowControl/>
                    <w:jc w:val="center"/>
                    <w:textAlignment w:val="center"/>
                    <w:rPr>
                      <w:szCs w:val="21"/>
                    </w:rPr>
                  </w:pPr>
                  <w:r>
                    <w:rPr>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Align w:val="center"/>
                </w:tcPr>
                <w:p>
                  <w:pPr>
                    <w:adjustRightInd w:val="0"/>
                    <w:snapToGrid w:val="0"/>
                    <w:jc w:val="center"/>
                    <w:rPr>
                      <w:b/>
                      <w:szCs w:val="21"/>
                    </w:rPr>
                  </w:pPr>
                  <w:r>
                    <w:rPr>
                      <w:rFonts w:hint="eastAsia"/>
                      <w:b/>
                      <w:lang w:val="en-US"/>
                    </w:rPr>
                    <w:t>主要排放口合计</w:t>
                  </w:r>
                </w:p>
              </w:tc>
              <w:tc>
                <w:tcPr>
                  <w:tcW w:w="5253" w:type="dxa"/>
                  <w:gridSpan w:val="3"/>
                  <w:vAlign w:val="center"/>
                </w:tcPr>
                <w:p>
                  <w:pPr>
                    <w:adjustRightInd w:val="0"/>
                    <w:snapToGrid w:val="0"/>
                    <w:jc w:val="center"/>
                    <w:rPr>
                      <w:szCs w:val="21"/>
                    </w:rPr>
                  </w:pPr>
                  <w:r>
                    <w:rPr>
                      <w:szCs w:val="21"/>
                    </w:rPr>
                    <w:t>/</w:t>
                  </w:r>
                </w:p>
              </w:tc>
              <w:tc>
                <w:tcPr>
                  <w:tcW w:w="1489" w:type="dxa"/>
                  <w:vAlign w:val="center"/>
                </w:tcPr>
                <w:p>
                  <w:pPr>
                    <w:adjustRightInd w:val="0"/>
                    <w:snapToGrid w:val="0"/>
                    <w:jc w:val="center"/>
                    <w:rPr>
                      <w:szCs w:val="21"/>
                    </w:rPr>
                  </w:pPr>
                  <w:r>
                    <w:rPr>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szCs w:val="21"/>
                    </w:rPr>
                  </w:pPr>
                  <w:r>
                    <w:rPr>
                      <w:b/>
                      <w:szCs w:val="21"/>
                    </w:rPr>
                    <w:t>一般排放口</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szCs w:val="21"/>
                    </w:rPr>
                  </w:pPr>
                  <w:r>
                    <w:rPr>
                      <w:rFonts w:hint="eastAsia"/>
                      <w:szCs w:val="21"/>
                    </w:rPr>
                    <w:t>2</w:t>
                  </w:r>
                </w:p>
              </w:tc>
              <w:tc>
                <w:tcPr>
                  <w:tcW w:w="948" w:type="dxa"/>
                  <w:vMerge w:val="restart"/>
                  <w:vAlign w:val="center"/>
                </w:tcPr>
                <w:p>
                  <w:pPr>
                    <w:jc w:val="center"/>
                    <w:rPr>
                      <w:rFonts w:hint="eastAsia" w:eastAsia="宋体"/>
                      <w:szCs w:val="21"/>
                      <w:lang w:eastAsia="zh-CN"/>
                    </w:rPr>
                  </w:pPr>
                  <w:r>
                    <w:rPr>
                      <w:rFonts w:hint="eastAsia"/>
                      <w:szCs w:val="21"/>
                    </w:rPr>
                    <w:t>DA00</w:t>
                  </w:r>
                  <w:r>
                    <w:rPr>
                      <w:rFonts w:hint="eastAsia"/>
                      <w:szCs w:val="21"/>
                      <w:lang w:val="en-US" w:eastAsia="zh-CN"/>
                    </w:rPr>
                    <w:t>1</w:t>
                  </w:r>
                </w:p>
              </w:tc>
              <w:tc>
                <w:tcPr>
                  <w:tcW w:w="1205" w:type="dxa"/>
                  <w:vAlign w:val="center"/>
                </w:tcPr>
                <w:p>
                  <w:pPr>
                    <w:widowControl/>
                    <w:jc w:val="center"/>
                    <w:rPr>
                      <w:kern w:val="0"/>
                      <w:szCs w:val="21"/>
                    </w:rPr>
                  </w:pPr>
                  <w:r>
                    <w:rPr>
                      <w:rFonts w:eastAsiaTheme="minorEastAsia"/>
                      <w:szCs w:val="21"/>
                    </w:rPr>
                    <w:t>NO</w:t>
                  </w:r>
                  <w:r>
                    <w:rPr>
                      <w:rFonts w:eastAsiaTheme="minorEastAsia"/>
                      <w:szCs w:val="21"/>
                      <w:vertAlign w:val="subscript"/>
                    </w:rPr>
                    <w:t>X</w:t>
                  </w:r>
                </w:p>
              </w:tc>
              <w:tc>
                <w:tcPr>
                  <w:tcW w:w="2197"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137.57</w:t>
                  </w:r>
                </w:p>
              </w:tc>
              <w:tc>
                <w:tcPr>
                  <w:tcW w:w="1851" w:type="dxa"/>
                  <w:vAlign w:val="center"/>
                </w:tcPr>
                <w:p>
                  <w:pPr>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0.1</w:t>
                  </w:r>
                </w:p>
              </w:tc>
              <w:tc>
                <w:tcPr>
                  <w:tcW w:w="1489"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szCs w:val="21"/>
                    </w:rPr>
                  </w:pPr>
                  <w:r>
                    <w:rPr>
                      <w:rFonts w:hint="eastAsia"/>
                      <w:szCs w:val="21"/>
                    </w:rPr>
                    <w:t>3</w:t>
                  </w:r>
                </w:p>
              </w:tc>
              <w:tc>
                <w:tcPr>
                  <w:tcW w:w="948" w:type="dxa"/>
                  <w:vMerge w:val="continue"/>
                  <w:vAlign w:val="center"/>
                </w:tcPr>
                <w:p>
                  <w:pPr>
                    <w:jc w:val="center"/>
                    <w:rPr>
                      <w:szCs w:val="21"/>
                    </w:rPr>
                  </w:pPr>
                </w:p>
              </w:tc>
              <w:tc>
                <w:tcPr>
                  <w:tcW w:w="1205" w:type="dxa"/>
                  <w:vAlign w:val="center"/>
                </w:tcPr>
                <w:p>
                  <w:pPr>
                    <w:widowControl/>
                    <w:jc w:val="center"/>
                    <w:rPr>
                      <w:kern w:val="0"/>
                      <w:szCs w:val="21"/>
                    </w:rPr>
                  </w:pPr>
                  <w:r>
                    <w:rPr>
                      <w:rFonts w:eastAsiaTheme="minorEastAsia"/>
                      <w:szCs w:val="21"/>
                    </w:rPr>
                    <w:t>SO</w:t>
                  </w:r>
                  <w:r>
                    <w:rPr>
                      <w:rFonts w:eastAsiaTheme="minorEastAsia"/>
                      <w:szCs w:val="21"/>
                      <w:vertAlign w:val="subscript"/>
                    </w:rPr>
                    <w:t>2</w:t>
                  </w:r>
                </w:p>
              </w:tc>
              <w:tc>
                <w:tcPr>
                  <w:tcW w:w="2197" w:type="dxa"/>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29.41</w:t>
                  </w:r>
                </w:p>
              </w:tc>
              <w:tc>
                <w:tcPr>
                  <w:tcW w:w="1851" w:type="dxa"/>
                  <w:vAlign w:val="center"/>
                </w:tcPr>
                <w:p>
                  <w:pPr>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0.0022</w:t>
                  </w:r>
                </w:p>
              </w:tc>
              <w:tc>
                <w:tcPr>
                  <w:tcW w:w="1489"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0.16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2" w:type="dxa"/>
                  <w:vAlign w:val="center"/>
                </w:tcPr>
                <w:p>
                  <w:pPr>
                    <w:adjustRightInd w:val="0"/>
                    <w:snapToGrid w:val="0"/>
                    <w:jc w:val="center"/>
                    <w:rPr>
                      <w:szCs w:val="21"/>
                    </w:rPr>
                  </w:pPr>
                  <w:r>
                    <w:rPr>
                      <w:rFonts w:hint="eastAsia"/>
                      <w:szCs w:val="21"/>
                    </w:rPr>
                    <w:t>4</w:t>
                  </w:r>
                </w:p>
              </w:tc>
              <w:tc>
                <w:tcPr>
                  <w:tcW w:w="948" w:type="dxa"/>
                  <w:vMerge w:val="continue"/>
                  <w:vAlign w:val="center"/>
                </w:tcPr>
                <w:p>
                  <w:pPr>
                    <w:jc w:val="center"/>
                    <w:rPr>
                      <w:szCs w:val="21"/>
                    </w:rPr>
                  </w:pPr>
                </w:p>
              </w:tc>
              <w:tc>
                <w:tcPr>
                  <w:tcW w:w="1205" w:type="dxa"/>
                  <w:vAlign w:val="center"/>
                </w:tcPr>
                <w:p>
                  <w:pPr>
                    <w:widowControl/>
                    <w:jc w:val="center"/>
                    <w:rPr>
                      <w:kern w:val="0"/>
                      <w:szCs w:val="21"/>
                    </w:rPr>
                  </w:pPr>
                  <w:r>
                    <w:rPr>
                      <w:rFonts w:hint="eastAsia" w:eastAsiaTheme="minorEastAsia"/>
                      <w:szCs w:val="21"/>
                    </w:rPr>
                    <w:t>颗粒物</w:t>
                  </w:r>
                </w:p>
              </w:tc>
              <w:tc>
                <w:tcPr>
                  <w:tcW w:w="2197" w:type="dxa"/>
                  <w:vAlign w:val="center"/>
                </w:tcPr>
                <w:p>
                  <w:pPr>
                    <w:jc w:val="center"/>
                    <w:rPr>
                      <w:rFonts w:ascii="Times New Roman" w:hAnsi="Times New Roman" w:eastAsia="宋体" w:cs="Times New Roman"/>
                      <w:kern w:val="2"/>
                      <w:sz w:val="21"/>
                      <w:szCs w:val="21"/>
                      <w:lang w:val="en-US" w:eastAsia="zh-CN" w:bidi="ar-SA"/>
                    </w:rPr>
                  </w:pPr>
                  <w:r>
                    <w:rPr>
                      <w:rFonts w:hint="eastAsia" w:cs="Times New Roman"/>
                      <w:color w:val="000000" w:themeColor="text1"/>
                      <w:kern w:val="2"/>
                      <w:sz w:val="21"/>
                      <w:szCs w:val="21"/>
                      <w:lang w:val="en-US" w:eastAsia="zh-CN" w:bidi="ar-SA"/>
                    </w:rPr>
                    <w:t>3.99</w:t>
                  </w:r>
                </w:p>
              </w:tc>
              <w:tc>
                <w:tcPr>
                  <w:tcW w:w="1851" w:type="dxa"/>
                  <w:vAlign w:val="center"/>
                </w:tcPr>
                <w:p>
                  <w:pPr>
                    <w:jc w:val="center"/>
                    <w:rPr>
                      <w:rFonts w:ascii="Times New Roman" w:hAnsi="Times New Roman" w:cs="Times New Roman" w:eastAsiaTheme="minorEastAsia"/>
                      <w:kern w:val="2"/>
                      <w:sz w:val="21"/>
                      <w:szCs w:val="21"/>
                      <w:lang w:val="fi-FI" w:eastAsia="zh-CN" w:bidi="ar-SA"/>
                    </w:rPr>
                  </w:pPr>
                  <w:r>
                    <w:rPr>
                      <w:rFonts w:hint="eastAsia" w:eastAsiaTheme="minorEastAsia"/>
                      <w:color w:val="000000" w:themeColor="text1"/>
                      <w:szCs w:val="21"/>
                      <w:lang w:val="en-US" w:eastAsia="zh-CN"/>
                    </w:rPr>
                    <w:t>0.047</w:t>
                  </w:r>
                </w:p>
              </w:tc>
              <w:tc>
                <w:tcPr>
                  <w:tcW w:w="1489" w:type="dxa"/>
                  <w:vAlign w:val="center"/>
                </w:tcPr>
                <w:p>
                  <w:pPr>
                    <w:jc w:val="center"/>
                    <w:rPr>
                      <w:rFonts w:ascii="Times New Roman" w:hAnsi="Times New Roman" w:eastAsia="宋体" w:cs="Times New Roman"/>
                      <w:kern w:val="2"/>
                      <w:sz w:val="21"/>
                      <w:szCs w:val="21"/>
                      <w:lang w:val="en-US" w:eastAsia="zh-CN" w:bidi="ar-SA"/>
                    </w:rPr>
                  </w:pPr>
                  <w:r>
                    <w:rPr>
                      <w:rFonts w:hint="eastAsia" w:cs="Times New Roman" w:eastAsiaTheme="minorEastAsia"/>
                      <w:color w:val="000000" w:themeColor="text1"/>
                      <w:kern w:val="2"/>
                      <w:sz w:val="21"/>
                      <w:szCs w:val="21"/>
                      <w:lang w:val="en-US" w:eastAsia="zh-CN" w:bidi="ar-SA"/>
                    </w:rPr>
                    <w:t>0.113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restart"/>
                  <w:vAlign w:val="center"/>
                </w:tcPr>
                <w:p>
                  <w:pPr>
                    <w:adjustRightInd w:val="0"/>
                    <w:snapToGrid w:val="0"/>
                    <w:jc w:val="center"/>
                    <w:rPr>
                      <w:b/>
                      <w:szCs w:val="21"/>
                    </w:rPr>
                  </w:pPr>
                  <w:r>
                    <w:rPr>
                      <w:b/>
                      <w:szCs w:val="21"/>
                    </w:rPr>
                    <w:t>一般排放口</w:t>
                  </w:r>
                </w:p>
                <w:p>
                  <w:pPr>
                    <w:adjustRightInd w:val="0"/>
                    <w:snapToGrid w:val="0"/>
                    <w:jc w:val="center"/>
                    <w:rPr>
                      <w:szCs w:val="21"/>
                    </w:rPr>
                  </w:pPr>
                  <w:r>
                    <w:rPr>
                      <w:b/>
                      <w:szCs w:val="21"/>
                    </w:rPr>
                    <w:t>合计</w:t>
                  </w:r>
                </w:p>
              </w:tc>
              <w:tc>
                <w:tcPr>
                  <w:tcW w:w="5253" w:type="dxa"/>
                  <w:gridSpan w:val="3"/>
                  <w:vAlign w:val="center"/>
                </w:tcPr>
                <w:p>
                  <w:pPr>
                    <w:jc w:val="center"/>
                    <w:rPr>
                      <w:szCs w:val="21"/>
                    </w:rPr>
                  </w:pPr>
                  <w:r>
                    <w:rPr>
                      <w:rFonts w:eastAsiaTheme="minorEastAsia"/>
                      <w:szCs w:val="21"/>
                    </w:rPr>
                    <w:t>NO</w:t>
                  </w:r>
                  <w:r>
                    <w:rPr>
                      <w:rFonts w:eastAsiaTheme="minorEastAsia"/>
                      <w:szCs w:val="21"/>
                      <w:vertAlign w:val="subscript"/>
                    </w:rPr>
                    <w:t>X</w:t>
                  </w:r>
                </w:p>
              </w:tc>
              <w:tc>
                <w:tcPr>
                  <w:tcW w:w="1489" w:type="dxa"/>
                  <w:vAlign w:val="center"/>
                </w:tcPr>
                <w:p>
                  <w:pPr>
                    <w:jc w:val="center"/>
                    <w:rPr>
                      <w:rFonts w:hint="default" w:eastAsia="宋体"/>
                      <w:szCs w:val="21"/>
                      <w:lang w:val="en-US" w:eastAsia="zh-CN"/>
                    </w:rPr>
                  </w:pPr>
                  <w:r>
                    <w:rPr>
                      <w:rFonts w:hint="eastAsia"/>
                      <w:szCs w:val="21"/>
                      <w:lang w:val="en-US" w:eastAsia="zh-CN"/>
                    </w:rPr>
                    <w:t>0.75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szCs w:val="21"/>
                    </w:rPr>
                  </w:pPr>
                </w:p>
              </w:tc>
              <w:tc>
                <w:tcPr>
                  <w:tcW w:w="5253" w:type="dxa"/>
                  <w:gridSpan w:val="3"/>
                  <w:vAlign w:val="center"/>
                </w:tcPr>
                <w:p>
                  <w:pPr>
                    <w:jc w:val="center"/>
                    <w:rPr>
                      <w:szCs w:val="21"/>
                    </w:rPr>
                  </w:pPr>
                  <w:r>
                    <w:rPr>
                      <w:rFonts w:eastAsiaTheme="minorEastAsia"/>
                      <w:szCs w:val="21"/>
                    </w:rPr>
                    <w:t>SO</w:t>
                  </w:r>
                  <w:r>
                    <w:rPr>
                      <w:rFonts w:eastAsiaTheme="minorEastAsia"/>
                      <w:szCs w:val="21"/>
                      <w:vertAlign w:val="subscript"/>
                    </w:rPr>
                    <w:t>2</w:t>
                  </w:r>
                </w:p>
              </w:tc>
              <w:tc>
                <w:tcPr>
                  <w:tcW w:w="1489" w:type="dxa"/>
                  <w:vAlign w:val="center"/>
                </w:tcPr>
                <w:p>
                  <w:pPr>
                    <w:jc w:val="center"/>
                    <w:rPr>
                      <w:rFonts w:hint="default" w:eastAsia="宋体"/>
                      <w:kern w:val="0"/>
                      <w:szCs w:val="21"/>
                      <w:lang w:val="en-US" w:eastAsia="zh-CN"/>
                    </w:rPr>
                  </w:pPr>
                  <w:r>
                    <w:rPr>
                      <w:rFonts w:hint="eastAsia"/>
                      <w:kern w:val="0"/>
                      <w:szCs w:val="21"/>
                      <w:lang w:val="en-US" w:eastAsia="zh-CN"/>
                    </w:rPr>
                    <w:t>0.16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szCs w:val="21"/>
                    </w:rPr>
                  </w:pPr>
                </w:p>
              </w:tc>
              <w:tc>
                <w:tcPr>
                  <w:tcW w:w="5253" w:type="dxa"/>
                  <w:gridSpan w:val="3"/>
                  <w:vAlign w:val="center"/>
                </w:tcPr>
                <w:p>
                  <w:pPr>
                    <w:jc w:val="center"/>
                    <w:rPr>
                      <w:szCs w:val="21"/>
                    </w:rPr>
                  </w:pPr>
                  <w:r>
                    <w:rPr>
                      <w:rFonts w:hint="eastAsia"/>
                      <w:kern w:val="0"/>
                      <w:szCs w:val="21"/>
                    </w:rPr>
                    <w:t>颗粒物</w:t>
                  </w:r>
                </w:p>
              </w:tc>
              <w:tc>
                <w:tcPr>
                  <w:tcW w:w="1489" w:type="dxa"/>
                  <w:vAlign w:val="center"/>
                </w:tcPr>
                <w:p>
                  <w:pPr>
                    <w:jc w:val="center"/>
                    <w:rPr>
                      <w:rFonts w:hint="default" w:eastAsia="宋体"/>
                      <w:kern w:val="0"/>
                      <w:szCs w:val="21"/>
                      <w:lang w:val="en-US" w:eastAsia="zh-CN"/>
                    </w:rPr>
                  </w:pPr>
                  <w:r>
                    <w:rPr>
                      <w:rFonts w:hint="eastAsia"/>
                      <w:kern w:val="0"/>
                      <w:szCs w:val="21"/>
                      <w:lang w:val="en-US" w:eastAsia="zh-CN"/>
                    </w:rPr>
                    <w:t>0.113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292" w:type="dxa"/>
                  <w:gridSpan w:val="6"/>
                  <w:vAlign w:val="center"/>
                </w:tcPr>
                <w:p>
                  <w:pPr>
                    <w:adjustRightInd w:val="0"/>
                    <w:snapToGrid w:val="0"/>
                    <w:jc w:val="center"/>
                    <w:rPr>
                      <w:b/>
                      <w:szCs w:val="21"/>
                    </w:rPr>
                  </w:pPr>
                  <w:r>
                    <w:rPr>
                      <w:b/>
                      <w:szCs w:val="21"/>
                    </w:rPr>
                    <w:t>有组织排放总计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restart"/>
                  <w:vAlign w:val="center"/>
                </w:tcPr>
                <w:p>
                  <w:pPr>
                    <w:adjustRightInd w:val="0"/>
                    <w:snapToGrid w:val="0"/>
                    <w:jc w:val="center"/>
                    <w:rPr>
                      <w:b/>
                      <w:szCs w:val="21"/>
                    </w:rPr>
                  </w:pPr>
                  <w:r>
                    <w:rPr>
                      <w:b/>
                      <w:szCs w:val="21"/>
                    </w:rPr>
                    <w:t>有组织排放</w:t>
                  </w:r>
                </w:p>
                <w:p>
                  <w:pPr>
                    <w:adjustRightInd w:val="0"/>
                    <w:snapToGrid w:val="0"/>
                    <w:jc w:val="center"/>
                    <w:rPr>
                      <w:szCs w:val="21"/>
                    </w:rPr>
                  </w:pPr>
                  <w:r>
                    <w:rPr>
                      <w:b/>
                      <w:szCs w:val="21"/>
                    </w:rPr>
                    <w:t>总计</w:t>
                  </w:r>
                </w:p>
              </w:tc>
              <w:tc>
                <w:tcPr>
                  <w:tcW w:w="5253" w:type="dxa"/>
                  <w:gridSpan w:val="3"/>
                  <w:vAlign w:val="center"/>
                </w:tcPr>
                <w:p>
                  <w:pPr>
                    <w:adjustRightInd w:val="0"/>
                    <w:snapToGrid w:val="0"/>
                    <w:jc w:val="center"/>
                    <w:rPr>
                      <w:szCs w:val="21"/>
                    </w:rPr>
                  </w:pPr>
                  <w:r>
                    <w:rPr>
                      <w:rFonts w:eastAsiaTheme="minorEastAsia"/>
                      <w:szCs w:val="21"/>
                    </w:rPr>
                    <w:t>NO</w:t>
                  </w:r>
                  <w:r>
                    <w:rPr>
                      <w:rFonts w:eastAsiaTheme="minorEastAsia"/>
                      <w:szCs w:val="21"/>
                      <w:vertAlign w:val="subscript"/>
                    </w:rPr>
                    <w:t>X</w:t>
                  </w:r>
                </w:p>
              </w:tc>
              <w:tc>
                <w:tcPr>
                  <w:tcW w:w="148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szCs w:val="21"/>
                    </w:rPr>
                  </w:pPr>
                </w:p>
              </w:tc>
              <w:tc>
                <w:tcPr>
                  <w:tcW w:w="5253" w:type="dxa"/>
                  <w:gridSpan w:val="3"/>
                  <w:vAlign w:val="center"/>
                </w:tcPr>
                <w:p>
                  <w:pPr>
                    <w:adjustRightInd w:val="0"/>
                    <w:snapToGrid w:val="0"/>
                    <w:jc w:val="center"/>
                    <w:rPr>
                      <w:kern w:val="0"/>
                      <w:szCs w:val="21"/>
                    </w:rPr>
                  </w:pPr>
                  <w:r>
                    <w:rPr>
                      <w:rFonts w:eastAsiaTheme="minorEastAsia"/>
                      <w:szCs w:val="21"/>
                    </w:rPr>
                    <w:t>SO</w:t>
                  </w:r>
                  <w:r>
                    <w:rPr>
                      <w:rFonts w:eastAsiaTheme="minorEastAsia"/>
                      <w:szCs w:val="21"/>
                      <w:vertAlign w:val="subscript"/>
                    </w:rPr>
                    <w:t>2</w:t>
                  </w:r>
                </w:p>
              </w:tc>
              <w:tc>
                <w:tcPr>
                  <w:tcW w:w="1489" w:type="dxa"/>
                  <w:vAlign w:val="center"/>
                </w:tcPr>
                <w:p>
                  <w:pPr>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0.16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0" w:type="dxa"/>
                  <w:gridSpan w:val="2"/>
                  <w:vMerge w:val="continue"/>
                  <w:vAlign w:val="center"/>
                </w:tcPr>
                <w:p>
                  <w:pPr>
                    <w:adjustRightInd w:val="0"/>
                    <w:snapToGrid w:val="0"/>
                    <w:jc w:val="center"/>
                    <w:rPr>
                      <w:szCs w:val="21"/>
                    </w:rPr>
                  </w:pPr>
                </w:p>
              </w:tc>
              <w:tc>
                <w:tcPr>
                  <w:tcW w:w="5253" w:type="dxa"/>
                  <w:gridSpan w:val="3"/>
                  <w:vAlign w:val="center"/>
                </w:tcPr>
                <w:p>
                  <w:pPr>
                    <w:adjustRightInd w:val="0"/>
                    <w:snapToGrid w:val="0"/>
                    <w:jc w:val="center"/>
                    <w:rPr>
                      <w:kern w:val="0"/>
                      <w:szCs w:val="21"/>
                    </w:rPr>
                  </w:pPr>
                  <w:r>
                    <w:rPr>
                      <w:rFonts w:hint="eastAsia" w:eastAsiaTheme="minorEastAsia"/>
                      <w:szCs w:val="21"/>
                    </w:rPr>
                    <w:t>颗粒物</w:t>
                  </w:r>
                </w:p>
              </w:tc>
              <w:tc>
                <w:tcPr>
                  <w:tcW w:w="1489" w:type="dxa"/>
                  <w:vAlign w:val="center"/>
                </w:tcPr>
                <w:p>
                  <w:pPr>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0.113</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bookmarkStart w:id="56" w:name="_Toc13311"/>
            <w:r>
              <w:rPr>
                <w:rFonts w:hint="eastAsia" w:ascii="Times New Roman" w:hAnsi="Times New Roman" w:cs="Times New Roman" w:eastAsiaTheme="minorEastAsia"/>
                <w:b/>
                <w:color w:val="000000" w:themeColor="text1"/>
                <w:sz w:val="24"/>
                <w:szCs w:val="24"/>
                <w:lang w:val="en-US"/>
              </w:rPr>
              <w:t>表7-</w:t>
            </w:r>
            <w:r>
              <w:rPr>
                <w:rFonts w:hint="eastAsia" w:cs="Times New Roman" w:eastAsiaTheme="minorEastAsia"/>
                <w:b/>
                <w:color w:val="000000" w:themeColor="text1"/>
                <w:sz w:val="24"/>
                <w:szCs w:val="24"/>
                <w:lang w:val="en-US" w:eastAsia="zh-CN"/>
              </w:rPr>
              <w:t>9</w:t>
            </w:r>
            <w:r>
              <w:rPr>
                <w:rFonts w:hint="eastAsia" w:ascii="Times New Roman" w:hAnsi="Times New Roman" w:cs="Times New Roman" w:eastAsiaTheme="minorEastAsia"/>
                <w:b/>
                <w:color w:val="000000" w:themeColor="text1"/>
                <w:sz w:val="24"/>
                <w:szCs w:val="24"/>
                <w:lang w:val="en-US"/>
              </w:rPr>
              <w:t xml:space="preserve">  大气污染物无组织排放量核算表</w:t>
            </w:r>
          </w:p>
          <w:tbl>
            <w:tblPr>
              <w:tblStyle w:val="75"/>
              <w:tblW w:w="846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908"/>
              <w:gridCol w:w="733"/>
              <w:gridCol w:w="1099"/>
              <w:gridCol w:w="1115"/>
              <w:gridCol w:w="1943"/>
              <w:gridCol w:w="1219"/>
              <w:gridCol w:w="9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restart"/>
                  <w:tcBorders>
                    <w:tl2br w:val="nil"/>
                    <w:tr2bl w:val="nil"/>
                  </w:tcBorders>
                  <w:vAlign w:val="center"/>
                </w:tcPr>
                <w:p>
                  <w:pPr>
                    <w:adjustRightInd w:val="0"/>
                    <w:snapToGrid w:val="0"/>
                    <w:jc w:val="center"/>
                    <w:rPr>
                      <w:b/>
                      <w:bCs/>
                    </w:rPr>
                  </w:pPr>
                  <w:r>
                    <w:rPr>
                      <w:b/>
                      <w:bCs/>
                    </w:rPr>
                    <w:t>序号</w:t>
                  </w:r>
                </w:p>
              </w:tc>
              <w:tc>
                <w:tcPr>
                  <w:tcW w:w="995" w:type="dxa"/>
                  <w:vMerge w:val="restart"/>
                  <w:tcBorders>
                    <w:tl2br w:val="nil"/>
                    <w:tr2bl w:val="nil"/>
                  </w:tcBorders>
                  <w:vAlign w:val="center"/>
                </w:tcPr>
                <w:p>
                  <w:pPr>
                    <w:adjustRightInd w:val="0"/>
                    <w:snapToGrid w:val="0"/>
                    <w:ind w:left="-71" w:leftChars="-34" w:right="-80" w:rightChars="-38"/>
                    <w:jc w:val="center"/>
                    <w:rPr>
                      <w:b/>
                      <w:bCs/>
                    </w:rPr>
                  </w:pPr>
                  <w:r>
                    <w:rPr>
                      <w:b/>
                      <w:bCs/>
                    </w:rPr>
                    <w:t>排放口</w:t>
                  </w:r>
                </w:p>
                <w:p>
                  <w:pPr>
                    <w:adjustRightInd w:val="0"/>
                    <w:snapToGrid w:val="0"/>
                    <w:ind w:left="-71" w:leftChars="-34" w:right="-80" w:rightChars="-38"/>
                    <w:jc w:val="center"/>
                    <w:rPr>
                      <w:b/>
                      <w:bCs/>
                    </w:rPr>
                  </w:pPr>
                  <w:r>
                    <w:rPr>
                      <w:b/>
                      <w:bCs/>
                    </w:rPr>
                    <w:t>编号</w:t>
                  </w:r>
                </w:p>
              </w:tc>
              <w:tc>
                <w:tcPr>
                  <w:tcW w:w="788" w:type="dxa"/>
                  <w:vMerge w:val="restart"/>
                  <w:tcBorders>
                    <w:tl2br w:val="nil"/>
                    <w:tr2bl w:val="nil"/>
                  </w:tcBorders>
                  <w:vAlign w:val="center"/>
                </w:tcPr>
                <w:p>
                  <w:pPr>
                    <w:adjustRightInd w:val="0"/>
                    <w:snapToGrid w:val="0"/>
                    <w:jc w:val="center"/>
                    <w:rPr>
                      <w:b/>
                      <w:bCs/>
                    </w:rPr>
                  </w:pPr>
                  <w:r>
                    <w:rPr>
                      <w:b/>
                      <w:bCs/>
                    </w:rPr>
                    <w:t>产污</w:t>
                  </w:r>
                </w:p>
                <w:p>
                  <w:pPr>
                    <w:adjustRightInd w:val="0"/>
                    <w:snapToGrid w:val="0"/>
                    <w:jc w:val="center"/>
                    <w:rPr>
                      <w:b/>
                      <w:bCs/>
                    </w:rPr>
                  </w:pPr>
                  <w:r>
                    <w:rPr>
                      <w:b/>
                      <w:bCs/>
                    </w:rPr>
                    <w:t>环节</w:t>
                  </w:r>
                </w:p>
              </w:tc>
              <w:tc>
                <w:tcPr>
                  <w:tcW w:w="1220" w:type="dxa"/>
                  <w:vMerge w:val="restart"/>
                  <w:tcBorders>
                    <w:tl2br w:val="nil"/>
                    <w:tr2bl w:val="nil"/>
                  </w:tcBorders>
                  <w:vAlign w:val="center"/>
                </w:tcPr>
                <w:p>
                  <w:pPr>
                    <w:adjustRightInd w:val="0"/>
                    <w:snapToGrid w:val="0"/>
                    <w:jc w:val="center"/>
                    <w:rPr>
                      <w:b/>
                      <w:bCs/>
                    </w:rPr>
                  </w:pPr>
                  <w:r>
                    <w:rPr>
                      <w:b/>
                      <w:bCs/>
                    </w:rPr>
                    <w:t>污染物</w:t>
                  </w:r>
                </w:p>
              </w:tc>
              <w:tc>
                <w:tcPr>
                  <w:tcW w:w="1238" w:type="dxa"/>
                  <w:vMerge w:val="restart"/>
                  <w:tcBorders>
                    <w:tl2br w:val="nil"/>
                    <w:tr2bl w:val="nil"/>
                  </w:tcBorders>
                  <w:vAlign w:val="center"/>
                </w:tcPr>
                <w:p>
                  <w:pPr>
                    <w:adjustRightInd w:val="0"/>
                    <w:snapToGrid w:val="0"/>
                    <w:jc w:val="center"/>
                    <w:rPr>
                      <w:b/>
                      <w:bCs/>
                    </w:rPr>
                  </w:pPr>
                  <w:r>
                    <w:rPr>
                      <w:b/>
                      <w:bCs/>
                    </w:rPr>
                    <w:t>主要污染防治措施</w:t>
                  </w:r>
                </w:p>
              </w:tc>
              <w:tc>
                <w:tcPr>
                  <w:tcW w:w="2750" w:type="dxa"/>
                  <w:gridSpan w:val="2"/>
                  <w:tcBorders>
                    <w:tl2br w:val="nil"/>
                    <w:tr2bl w:val="nil"/>
                  </w:tcBorders>
                  <w:vAlign w:val="center"/>
                </w:tcPr>
                <w:p>
                  <w:pPr>
                    <w:adjustRightInd w:val="0"/>
                    <w:snapToGrid w:val="0"/>
                    <w:jc w:val="center"/>
                    <w:rPr>
                      <w:b/>
                      <w:bCs/>
                    </w:rPr>
                  </w:pPr>
                  <w:r>
                    <w:rPr>
                      <w:b/>
                      <w:bCs/>
                    </w:rPr>
                    <w:t>国家或地方污染物排放标准</w:t>
                  </w:r>
                </w:p>
              </w:tc>
              <w:tc>
                <w:tcPr>
                  <w:tcW w:w="959" w:type="dxa"/>
                  <w:vMerge w:val="restart"/>
                  <w:tcBorders>
                    <w:tl2br w:val="nil"/>
                    <w:tr2bl w:val="nil"/>
                  </w:tcBorders>
                  <w:vAlign w:val="center"/>
                </w:tcPr>
                <w:p>
                  <w:pPr>
                    <w:adjustRightInd w:val="0"/>
                    <w:snapToGrid w:val="0"/>
                    <w:jc w:val="center"/>
                    <w:rPr>
                      <w:b/>
                      <w:bCs/>
                    </w:rPr>
                  </w:pPr>
                  <w:r>
                    <w:rPr>
                      <w:b/>
                      <w:bCs/>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tcBorders>
                    <w:tl2br w:val="nil"/>
                    <w:tr2bl w:val="nil"/>
                  </w:tcBorders>
                  <w:vAlign w:val="center"/>
                </w:tcPr>
                <w:p>
                  <w:pPr>
                    <w:widowControl/>
                    <w:jc w:val="left"/>
                    <w:rPr>
                      <w:b/>
                      <w:bCs/>
                    </w:rPr>
                  </w:pPr>
                </w:p>
              </w:tc>
              <w:tc>
                <w:tcPr>
                  <w:tcW w:w="995" w:type="dxa"/>
                  <w:vMerge w:val="continue"/>
                  <w:tcBorders>
                    <w:tl2br w:val="nil"/>
                    <w:tr2bl w:val="nil"/>
                  </w:tcBorders>
                  <w:vAlign w:val="center"/>
                </w:tcPr>
                <w:p>
                  <w:pPr>
                    <w:widowControl/>
                    <w:jc w:val="left"/>
                    <w:rPr>
                      <w:b/>
                      <w:bCs/>
                    </w:rPr>
                  </w:pPr>
                </w:p>
              </w:tc>
              <w:tc>
                <w:tcPr>
                  <w:tcW w:w="788" w:type="dxa"/>
                  <w:vMerge w:val="continue"/>
                  <w:tcBorders>
                    <w:tl2br w:val="nil"/>
                    <w:tr2bl w:val="nil"/>
                  </w:tcBorders>
                  <w:vAlign w:val="center"/>
                </w:tcPr>
                <w:p>
                  <w:pPr>
                    <w:widowControl/>
                    <w:jc w:val="left"/>
                    <w:rPr>
                      <w:b/>
                      <w:bCs/>
                    </w:rPr>
                  </w:pPr>
                </w:p>
              </w:tc>
              <w:tc>
                <w:tcPr>
                  <w:tcW w:w="1220" w:type="dxa"/>
                  <w:vMerge w:val="continue"/>
                  <w:tcBorders>
                    <w:tl2br w:val="nil"/>
                    <w:tr2bl w:val="nil"/>
                  </w:tcBorders>
                  <w:vAlign w:val="center"/>
                </w:tcPr>
                <w:p>
                  <w:pPr>
                    <w:widowControl/>
                    <w:jc w:val="left"/>
                    <w:rPr>
                      <w:b/>
                      <w:bCs/>
                    </w:rPr>
                  </w:pPr>
                </w:p>
              </w:tc>
              <w:tc>
                <w:tcPr>
                  <w:tcW w:w="1238" w:type="dxa"/>
                  <w:vMerge w:val="continue"/>
                  <w:tcBorders>
                    <w:tl2br w:val="nil"/>
                    <w:tr2bl w:val="nil"/>
                  </w:tcBorders>
                  <w:vAlign w:val="center"/>
                </w:tcPr>
                <w:p>
                  <w:pPr>
                    <w:widowControl/>
                    <w:jc w:val="left"/>
                    <w:rPr>
                      <w:b/>
                      <w:bCs/>
                    </w:rPr>
                  </w:pPr>
                </w:p>
              </w:tc>
              <w:tc>
                <w:tcPr>
                  <w:tcW w:w="1609" w:type="dxa"/>
                  <w:tcBorders>
                    <w:tl2br w:val="nil"/>
                    <w:tr2bl w:val="nil"/>
                  </w:tcBorders>
                  <w:vAlign w:val="center"/>
                </w:tcPr>
                <w:p>
                  <w:pPr>
                    <w:adjustRightInd w:val="0"/>
                    <w:snapToGrid w:val="0"/>
                    <w:jc w:val="center"/>
                    <w:rPr>
                      <w:b/>
                      <w:bCs/>
                    </w:rPr>
                  </w:pPr>
                  <w:r>
                    <w:rPr>
                      <w:b/>
                      <w:bCs/>
                    </w:rPr>
                    <w:t>标准名称</w:t>
                  </w:r>
                </w:p>
              </w:tc>
              <w:tc>
                <w:tcPr>
                  <w:tcW w:w="1141" w:type="dxa"/>
                  <w:tcBorders>
                    <w:tl2br w:val="nil"/>
                    <w:tr2bl w:val="nil"/>
                  </w:tcBorders>
                  <w:vAlign w:val="center"/>
                </w:tcPr>
                <w:p>
                  <w:pPr>
                    <w:adjustRightInd w:val="0"/>
                    <w:snapToGrid w:val="0"/>
                    <w:jc w:val="center"/>
                    <w:rPr>
                      <w:b/>
                      <w:bCs/>
                    </w:rPr>
                  </w:pPr>
                  <w:r>
                    <w:rPr>
                      <w:b/>
                      <w:bCs/>
                    </w:rPr>
                    <w:t>无组织监控浓度限制/（mg/m</w:t>
                  </w:r>
                  <w:r>
                    <w:rPr>
                      <w:b/>
                      <w:bCs/>
                      <w:vertAlign w:val="superscript"/>
                    </w:rPr>
                    <w:t>3</w:t>
                  </w:r>
                  <w:r>
                    <w:rPr>
                      <w:b/>
                      <w:bCs/>
                    </w:rPr>
                    <w:t>）</w:t>
                  </w:r>
                </w:p>
              </w:tc>
              <w:tc>
                <w:tcPr>
                  <w:tcW w:w="959" w:type="dxa"/>
                  <w:vMerge w:val="continue"/>
                  <w:tcBorders>
                    <w:tl2br w:val="nil"/>
                    <w:tr2bl w:val="nil"/>
                  </w:tcBorders>
                  <w:vAlign w:val="center"/>
                </w:tcPr>
                <w:p>
                  <w:pPr>
                    <w:widowControl/>
                    <w:jc w:val="left"/>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tcBorders>
                    <w:tl2br w:val="nil"/>
                    <w:tr2bl w:val="nil"/>
                  </w:tcBorders>
                  <w:vAlign w:val="center"/>
                </w:tcPr>
                <w:p>
                  <w:pPr>
                    <w:adjustRightInd w:val="0"/>
                    <w:snapToGrid w:val="0"/>
                    <w:jc w:val="center"/>
                  </w:pPr>
                  <w:r>
                    <w:t>1</w:t>
                  </w:r>
                </w:p>
              </w:tc>
              <w:tc>
                <w:tcPr>
                  <w:tcW w:w="995" w:type="dxa"/>
                  <w:tcBorders>
                    <w:tl2br w:val="nil"/>
                    <w:tr2bl w:val="nil"/>
                  </w:tcBorders>
                  <w:vAlign w:val="center"/>
                </w:tcPr>
                <w:p>
                  <w:pPr>
                    <w:adjustRightInd w:val="0"/>
                    <w:snapToGrid w:val="0"/>
                    <w:jc w:val="center"/>
                  </w:pPr>
                  <w:r>
                    <w:t>生产</w:t>
                  </w:r>
                </w:p>
                <w:p>
                  <w:pPr>
                    <w:adjustRightInd w:val="0"/>
                    <w:snapToGrid w:val="0"/>
                    <w:jc w:val="center"/>
                    <w:rPr>
                      <w:lang w:val="en-US"/>
                    </w:rPr>
                  </w:pPr>
                  <w:r>
                    <w:t>车间</w:t>
                  </w:r>
                </w:p>
              </w:tc>
              <w:tc>
                <w:tcPr>
                  <w:tcW w:w="788" w:type="dxa"/>
                  <w:tcBorders>
                    <w:tl2br w:val="nil"/>
                    <w:tr2bl w:val="nil"/>
                  </w:tcBorders>
                  <w:vAlign w:val="center"/>
                </w:tcPr>
                <w:p>
                  <w:pPr>
                    <w:adjustRightInd w:val="0"/>
                    <w:snapToGrid w:val="0"/>
                    <w:jc w:val="center"/>
                    <w:rPr>
                      <w:lang w:val="en-US"/>
                    </w:rPr>
                  </w:pPr>
                  <w:r>
                    <w:rPr>
                      <w:rFonts w:hint="eastAsia"/>
                      <w:lang w:val="en-US"/>
                    </w:rPr>
                    <w:t>投料工序</w:t>
                  </w:r>
                </w:p>
              </w:tc>
              <w:tc>
                <w:tcPr>
                  <w:tcW w:w="1220" w:type="dxa"/>
                  <w:tcBorders>
                    <w:tl2br w:val="nil"/>
                    <w:tr2bl w:val="nil"/>
                  </w:tcBorders>
                  <w:vAlign w:val="center"/>
                </w:tcPr>
                <w:p>
                  <w:pPr>
                    <w:pStyle w:val="40"/>
                    <w:jc w:val="center"/>
                  </w:pPr>
                  <w:r>
                    <w:rPr>
                      <w:rFonts w:hint="eastAsia"/>
                      <w:lang w:val="fi-FI"/>
                    </w:rPr>
                    <w:t>颗粒物</w:t>
                  </w:r>
                </w:p>
              </w:tc>
              <w:tc>
                <w:tcPr>
                  <w:tcW w:w="1238" w:type="dxa"/>
                  <w:tcBorders>
                    <w:tl2br w:val="nil"/>
                    <w:tr2bl w:val="nil"/>
                  </w:tcBorders>
                  <w:vAlign w:val="center"/>
                </w:tcPr>
                <w:p>
                  <w:pPr>
                    <w:adjustRightInd w:val="0"/>
                    <w:snapToGrid w:val="0"/>
                    <w:jc w:val="center"/>
                    <w:rPr>
                      <w:lang w:val="en-US"/>
                    </w:rPr>
                  </w:pPr>
                  <w:r>
                    <w:rPr>
                      <w:rFonts w:hint="eastAsia"/>
                      <w:lang w:val="en-US"/>
                    </w:rPr>
                    <w:t>机械通风</w:t>
                  </w:r>
                </w:p>
              </w:tc>
              <w:tc>
                <w:tcPr>
                  <w:tcW w:w="1609" w:type="dxa"/>
                  <w:tcBorders>
                    <w:tl2br w:val="nil"/>
                    <w:tr2bl w:val="nil"/>
                  </w:tcBorders>
                  <w:vAlign w:val="center"/>
                </w:tcPr>
                <w:p>
                  <w:pPr>
                    <w:adjustRightInd w:val="0"/>
                    <w:snapToGrid w:val="0"/>
                    <w:jc w:val="center"/>
                  </w:pPr>
                  <w:r>
                    <w:rPr>
                      <w:rFonts w:hint="eastAsia" w:hAnsi="宋体"/>
                      <w:bCs/>
                      <w:szCs w:val="21"/>
                    </w:rPr>
                    <w:t>《大气污染物综合排放标准》（GB16297-1996）</w:t>
                  </w:r>
                </w:p>
              </w:tc>
              <w:tc>
                <w:tcPr>
                  <w:tcW w:w="1141" w:type="dxa"/>
                  <w:tcBorders>
                    <w:tl2br w:val="nil"/>
                    <w:tr2bl w:val="nil"/>
                  </w:tcBorders>
                  <w:vAlign w:val="center"/>
                </w:tcPr>
                <w:p>
                  <w:pPr>
                    <w:adjustRightInd w:val="0"/>
                    <w:snapToGrid w:val="0"/>
                    <w:jc w:val="center"/>
                    <w:rPr>
                      <w:lang w:val="en-US"/>
                    </w:rPr>
                  </w:pPr>
                  <w:r>
                    <w:rPr>
                      <w:rFonts w:hint="eastAsia"/>
                      <w:lang w:val="en-US"/>
                    </w:rPr>
                    <w:t>1.0</w:t>
                  </w:r>
                </w:p>
              </w:tc>
              <w:tc>
                <w:tcPr>
                  <w:tcW w:w="959" w:type="dxa"/>
                  <w:tcBorders>
                    <w:tl2br w:val="nil"/>
                    <w:tr2bl w:val="nil"/>
                  </w:tcBorders>
                  <w:vAlign w:val="center"/>
                </w:tcPr>
                <w:p>
                  <w:pPr>
                    <w:adjustRightInd w:val="0"/>
                    <w:snapToGrid w:val="0"/>
                    <w:jc w:val="center"/>
                    <w:rPr>
                      <w:rFonts w:hint="default" w:eastAsia="宋体"/>
                      <w:lang w:val="en-US" w:eastAsia="zh-CN"/>
                    </w:rPr>
                  </w:pPr>
                  <w:r>
                    <w:rPr>
                      <w:rFonts w:hint="eastAsia"/>
                      <w:lang w:val="en-US" w:eastAsia="zh-CN"/>
                    </w:rPr>
                    <w:t>0.11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5" w:type="dxa"/>
                  <w:gridSpan w:val="8"/>
                  <w:tcBorders>
                    <w:tl2br w:val="nil"/>
                    <w:tr2bl w:val="nil"/>
                  </w:tcBorders>
                  <w:vAlign w:val="center"/>
                </w:tcPr>
                <w:p>
                  <w:pPr>
                    <w:adjustRightInd w:val="0"/>
                    <w:snapToGrid w:val="0"/>
                    <w:jc w:val="center"/>
                    <w:rPr>
                      <w:b/>
                    </w:rPr>
                  </w:pPr>
                  <w:r>
                    <w:rPr>
                      <w:b/>
                    </w:rPr>
                    <w:t>无组织排放总计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8" w:type="dxa"/>
                  <w:gridSpan w:val="4"/>
                  <w:tcBorders>
                    <w:tl2br w:val="nil"/>
                    <w:tr2bl w:val="nil"/>
                  </w:tcBorders>
                  <w:vAlign w:val="center"/>
                </w:tcPr>
                <w:p>
                  <w:pPr>
                    <w:pStyle w:val="40"/>
                    <w:jc w:val="center"/>
                    <w:rPr>
                      <w:b/>
                    </w:rPr>
                  </w:pPr>
                  <w:r>
                    <w:rPr>
                      <w:b/>
                    </w:rPr>
                    <w:t>无组织排放总计（</w:t>
                  </w:r>
                  <w:r>
                    <w:rPr>
                      <w:rFonts w:ascii="Times New Roman" w:hAnsi="Times New Roman"/>
                      <w:b/>
                    </w:rPr>
                    <w:t>t/a</w:t>
                  </w:r>
                  <w:r>
                    <w:rPr>
                      <w:b/>
                    </w:rPr>
                    <w:t>）</w:t>
                  </w:r>
                </w:p>
              </w:tc>
              <w:tc>
                <w:tcPr>
                  <w:tcW w:w="2847" w:type="dxa"/>
                  <w:gridSpan w:val="2"/>
                  <w:tcBorders>
                    <w:tl2br w:val="nil"/>
                    <w:tr2bl w:val="nil"/>
                  </w:tcBorders>
                  <w:vAlign w:val="center"/>
                </w:tcPr>
                <w:p>
                  <w:pPr>
                    <w:adjustRightInd w:val="0"/>
                    <w:snapToGrid w:val="0"/>
                    <w:jc w:val="center"/>
                  </w:pPr>
                  <w:r>
                    <w:t>颗粒物</w:t>
                  </w:r>
                </w:p>
              </w:tc>
              <w:tc>
                <w:tcPr>
                  <w:tcW w:w="2100" w:type="dxa"/>
                  <w:gridSpan w:val="2"/>
                  <w:tcBorders>
                    <w:tl2br w:val="nil"/>
                    <w:tr2bl w:val="nil"/>
                  </w:tcBorders>
                  <w:vAlign w:val="center"/>
                </w:tcPr>
                <w:p>
                  <w:pPr>
                    <w:adjustRightInd w:val="0"/>
                    <w:snapToGrid w:val="0"/>
                    <w:jc w:val="center"/>
                    <w:rPr>
                      <w:rFonts w:hint="default" w:eastAsia="宋体"/>
                      <w:lang w:val="en-US" w:eastAsia="zh-CN"/>
                    </w:rPr>
                  </w:pPr>
                  <w:r>
                    <w:rPr>
                      <w:rFonts w:hint="eastAsia"/>
                      <w:lang w:val="en-US" w:eastAsia="zh-CN"/>
                    </w:rPr>
                    <w:t>0.11</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表7-1</w:t>
            </w:r>
            <w:r>
              <w:rPr>
                <w:rFonts w:hint="eastAsia" w:cs="Times New Roman" w:eastAsiaTheme="minorEastAsia"/>
                <w:b/>
                <w:color w:val="000000" w:themeColor="text1"/>
                <w:sz w:val="24"/>
                <w:szCs w:val="24"/>
                <w:lang w:val="en-US" w:eastAsia="zh-CN"/>
              </w:rPr>
              <w:t>0</w:t>
            </w:r>
            <w:r>
              <w:rPr>
                <w:rFonts w:hint="eastAsia" w:ascii="Times New Roman" w:hAnsi="Times New Roman" w:cs="Times New Roman" w:eastAsiaTheme="minorEastAsia"/>
                <w:b/>
                <w:color w:val="000000" w:themeColor="text1"/>
                <w:sz w:val="24"/>
                <w:szCs w:val="24"/>
                <w:lang w:val="en-US"/>
              </w:rPr>
              <w:t xml:space="preserve">  大气污染物年排放量核算表</w:t>
            </w:r>
            <w:bookmarkEnd w:id="56"/>
          </w:p>
          <w:tbl>
            <w:tblPr>
              <w:tblStyle w:val="75"/>
              <w:tblW w:w="8218"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3118"/>
              <w:gridCol w:w="259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b/>
                      <w:bCs/>
                      <w:szCs w:val="21"/>
                    </w:rPr>
                  </w:pPr>
                  <w:r>
                    <w:rPr>
                      <w:rFonts w:hint="eastAsia"/>
                      <w:b/>
                      <w:bCs/>
                      <w:szCs w:val="21"/>
                    </w:rPr>
                    <w:t>序号</w:t>
                  </w:r>
                </w:p>
              </w:tc>
              <w:tc>
                <w:tcPr>
                  <w:tcW w:w="3118" w:type="dxa"/>
                  <w:vAlign w:val="center"/>
                </w:tcPr>
                <w:p>
                  <w:pPr>
                    <w:adjustRightInd w:val="0"/>
                    <w:snapToGrid w:val="0"/>
                    <w:jc w:val="center"/>
                    <w:rPr>
                      <w:b/>
                      <w:bCs/>
                      <w:szCs w:val="21"/>
                    </w:rPr>
                  </w:pPr>
                  <w:r>
                    <w:rPr>
                      <w:rFonts w:hint="eastAsia"/>
                      <w:b/>
                      <w:bCs/>
                      <w:szCs w:val="21"/>
                    </w:rPr>
                    <w:t>污染物</w:t>
                  </w:r>
                </w:p>
              </w:tc>
              <w:tc>
                <w:tcPr>
                  <w:tcW w:w="2595" w:type="dxa"/>
                  <w:vAlign w:val="center"/>
                </w:tcPr>
                <w:p>
                  <w:pPr>
                    <w:adjustRightInd w:val="0"/>
                    <w:snapToGrid w:val="0"/>
                    <w:jc w:val="center"/>
                    <w:rPr>
                      <w:b/>
                      <w:bCs/>
                      <w:szCs w:val="21"/>
                    </w:rPr>
                  </w:pPr>
                  <w:r>
                    <w:rPr>
                      <w:rFonts w:hint="eastAsia"/>
                      <w:b/>
                      <w:bCs/>
                      <w:szCs w:val="21"/>
                    </w:rPr>
                    <w:t>年排放量</w:t>
                  </w:r>
                  <w:r>
                    <w:rPr>
                      <w:b/>
                      <w:bCs/>
                      <w:szCs w:val="21"/>
                    </w:rPr>
                    <w:t>/</w:t>
                  </w:r>
                  <w:r>
                    <w:rPr>
                      <w:rFonts w:hint="eastAsia"/>
                      <w:b/>
                      <w:bCs/>
                      <w:szCs w:val="21"/>
                    </w:rPr>
                    <w:t>（</w:t>
                  </w:r>
                  <w:r>
                    <w:rPr>
                      <w:b/>
                      <w:bCs/>
                      <w:szCs w:val="21"/>
                    </w:rPr>
                    <w:t>t/a</w:t>
                  </w:r>
                  <w:r>
                    <w:rPr>
                      <w:rFonts w:hint="eastAsia"/>
                      <w:b/>
                      <w:bCs/>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szCs w:val="21"/>
                    </w:rPr>
                  </w:pPr>
                  <w:r>
                    <w:rPr>
                      <w:szCs w:val="21"/>
                    </w:rPr>
                    <w:t>1</w:t>
                  </w:r>
                </w:p>
              </w:tc>
              <w:tc>
                <w:tcPr>
                  <w:tcW w:w="3118" w:type="dxa"/>
                  <w:vAlign w:val="center"/>
                </w:tcPr>
                <w:p>
                  <w:pPr>
                    <w:adjustRightInd w:val="0"/>
                    <w:snapToGrid w:val="0"/>
                    <w:jc w:val="center"/>
                    <w:rPr>
                      <w:szCs w:val="21"/>
                    </w:rPr>
                  </w:pPr>
                  <w:r>
                    <w:rPr>
                      <w:rFonts w:eastAsiaTheme="minorEastAsia"/>
                      <w:szCs w:val="21"/>
                    </w:rPr>
                    <w:t>NO</w:t>
                  </w:r>
                  <w:r>
                    <w:rPr>
                      <w:rFonts w:eastAsiaTheme="minorEastAsia"/>
                      <w:szCs w:val="21"/>
                      <w:vertAlign w:val="subscript"/>
                    </w:rPr>
                    <w:t>X</w:t>
                  </w:r>
                </w:p>
              </w:tc>
              <w:tc>
                <w:tcPr>
                  <w:tcW w:w="2595" w:type="dxa"/>
                  <w:vAlign w:val="center"/>
                </w:tcPr>
                <w:p>
                  <w:pPr>
                    <w:jc w:val="center"/>
                    <w:rPr>
                      <w:rFonts w:hint="default" w:eastAsia="宋体"/>
                      <w:szCs w:val="21"/>
                      <w:lang w:val="en-US" w:eastAsia="zh-CN"/>
                    </w:rPr>
                  </w:pPr>
                  <w:r>
                    <w:rPr>
                      <w:rFonts w:hint="eastAsia"/>
                      <w:szCs w:val="21"/>
                      <w:lang w:val="en-US" w:eastAsia="zh-CN"/>
                    </w:rPr>
                    <w:t>0.75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szCs w:val="21"/>
                      <w:lang w:val="en-US"/>
                    </w:rPr>
                  </w:pPr>
                  <w:r>
                    <w:rPr>
                      <w:szCs w:val="21"/>
                      <w:lang w:val="en-US"/>
                    </w:rPr>
                    <w:t>2</w:t>
                  </w:r>
                </w:p>
              </w:tc>
              <w:tc>
                <w:tcPr>
                  <w:tcW w:w="3118" w:type="dxa"/>
                  <w:vAlign w:val="center"/>
                </w:tcPr>
                <w:p>
                  <w:pPr>
                    <w:pStyle w:val="59"/>
                    <w:adjustRightInd w:val="0"/>
                    <w:snapToGrid w:val="0"/>
                    <w:spacing w:after="0" w:line="240" w:lineRule="auto"/>
                    <w:ind w:left="0"/>
                    <w:jc w:val="center"/>
                    <w:rPr>
                      <w:sz w:val="21"/>
                      <w:szCs w:val="21"/>
                    </w:rPr>
                  </w:pPr>
                  <w:r>
                    <w:rPr>
                      <w:rFonts w:eastAsiaTheme="minorEastAsia"/>
                      <w:sz w:val="21"/>
                      <w:szCs w:val="21"/>
                    </w:rPr>
                    <w:t>SO</w:t>
                  </w:r>
                  <w:r>
                    <w:rPr>
                      <w:rFonts w:eastAsiaTheme="minorEastAsia"/>
                      <w:sz w:val="21"/>
                      <w:szCs w:val="21"/>
                      <w:vertAlign w:val="subscript"/>
                    </w:rPr>
                    <w:t>2</w:t>
                  </w:r>
                </w:p>
              </w:tc>
              <w:tc>
                <w:tcPr>
                  <w:tcW w:w="2595" w:type="dxa"/>
                  <w:vAlign w:val="center"/>
                </w:tcPr>
                <w:p>
                  <w:pPr>
                    <w:jc w:val="center"/>
                    <w:rPr>
                      <w:rFonts w:hint="default" w:eastAsia="宋体"/>
                      <w:kern w:val="0"/>
                      <w:szCs w:val="21"/>
                      <w:lang w:val="en-US" w:eastAsia="zh-CN"/>
                    </w:rPr>
                  </w:pPr>
                  <w:r>
                    <w:rPr>
                      <w:rFonts w:hint="eastAsia"/>
                      <w:szCs w:val="21"/>
                    </w:rPr>
                    <w:t>0.</w:t>
                  </w:r>
                  <w:r>
                    <w:rPr>
                      <w:rFonts w:hint="eastAsia"/>
                      <w:szCs w:val="21"/>
                      <w:lang w:val="en-US" w:eastAsia="zh-CN"/>
                    </w:rPr>
                    <w:t>16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05" w:type="dxa"/>
                  <w:vAlign w:val="center"/>
                </w:tcPr>
                <w:p>
                  <w:pPr>
                    <w:adjustRightInd w:val="0"/>
                    <w:snapToGrid w:val="0"/>
                    <w:jc w:val="center"/>
                    <w:rPr>
                      <w:szCs w:val="21"/>
                      <w:lang w:val="en-US"/>
                    </w:rPr>
                  </w:pPr>
                  <w:r>
                    <w:rPr>
                      <w:szCs w:val="21"/>
                      <w:lang w:val="en-US"/>
                    </w:rPr>
                    <w:t>3</w:t>
                  </w:r>
                </w:p>
              </w:tc>
              <w:tc>
                <w:tcPr>
                  <w:tcW w:w="3118" w:type="dxa"/>
                  <w:vAlign w:val="center"/>
                </w:tcPr>
                <w:p>
                  <w:pPr>
                    <w:pStyle w:val="59"/>
                    <w:adjustRightInd w:val="0"/>
                    <w:snapToGrid w:val="0"/>
                    <w:spacing w:after="0" w:line="240" w:lineRule="auto"/>
                    <w:ind w:left="0"/>
                    <w:jc w:val="center"/>
                    <w:rPr>
                      <w:sz w:val="21"/>
                      <w:szCs w:val="21"/>
                    </w:rPr>
                  </w:pPr>
                  <w:r>
                    <w:rPr>
                      <w:rFonts w:hint="eastAsia" w:eastAsiaTheme="minorEastAsia"/>
                      <w:sz w:val="21"/>
                      <w:szCs w:val="21"/>
                    </w:rPr>
                    <w:t>颗粒物</w:t>
                  </w:r>
                </w:p>
              </w:tc>
              <w:tc>
                <w:tcPr>
                  <w:tcW w:w="2595" w:type="dxa"/>
                  <w:vAlign w:val="center"/>
                </w:tcPr>
                <w:p>
                  <w:pPr>
                    <w:adjustRightInd w:val="0"/>
                    <w:snapToGrid w:val="0"/>
                    <w:jc w:val="center"/>
                    <w:rPr>
                      <w:rFonts w:hint="default" w:eastAsia="宋体"/>
                      <w:szCs w:val="21"/>
                      <w:lang w:val="en-US" w:eastAsia="zh-CN"/>
                    </w:rPr>
                  </w:pPr>
                  <w:r>
                    <w:rPr>
                      <w:rFonts w:hint="eastAsia"/>
                      <w:szCs w:val="21"/>
                      <w:lang w:val="en-US" w:eastAsia="zh-CN"/>
                    </w:rPr>
                    <w:t>0.223</w:t>
                  </w:r>
                </w:p>
              </w:tc>
            </w:tr>
          </w:tbl>
          <w:p>
            <w:pPr>
              <w:adjustRightInd w:val="0"/>
              <w:snapToGrid w:val="0"/>
              <w:spacing w:beforeLines="50" w:line="360" w:lineRule="auto"/>
              <w:ind w:firstLine="482"/>
              <w:rPr>
                <w:b/>
                <w:bCs w:val="0"/>
                <w:sz w:val="24"/>
                <w:szCs w:val="24"/>
              </w:rPr>
            </w:pPr>
            <w:r>
              <w:rPr>
                <w:b/>
                <w:bCs w:val="0"/>
                <w:sz w:val="24"/>
                <w:szCs w:val="32"/>
              </w:rPr>
              <w:t>(</w:t>
            </w:r>
            <w:r>
              <w:rPr>
                <w:rFonts w:hint="eastAsia"/>
                <w:b/>
                <w:bCs w:val="0"/>
                <w:sz w:val="24"/>
                <w:szCs w:val="32"/>
                <w:lang w:val="en-US" w:eastAsia="zh-CN"/>
              </w:rPr>
              <w:t>4</w:t>
            </w:r>
            <w:r>
              <w:rPr>
                <w:b/>
                <w:bCs w:val="0"/>
                <w:sz w:val="24"/>
                <w:szCs w:val="32"/>
              </w:rPr>
              <w:t>)</w:t>
            </w:r>
            <w:r>
              <w:rPr>
                <w:rFonts w:hint="eastAsia"/>
                <w:b/>
                <w:bCs w:val="0"/>
                <w:sz w:val="24"/>
                <w:szCs w:val="24"/>
              </w:rPr>
              <w:t>大气环境防护距离</w:t>
            </w:r>
          </w:p>
          <w:p>
            <w:pPr>
              <w:snapToGrid w:val="0"/>
              <w:spacing w:line="360" w:lineRule="auto"/>
              <w:ind w:firstLine="480" w:firstLineChars="200"/>
              <w:rPr>
                <w:sz w:val="24"/>
                <w:szCs w:val="24"/>
              </w:rPr>
            </w:pPr>
            <w:r>
              <w:rPr>
                <w:sz w:val="24"/>
                <w:szCs w:val="24"/>
              </w:rPr>
              <w:t>本项目大气环境影响评价工作等级为</w:t>
            </w:r>
            <w:r>
              <w:rPr>
                <w:rFonts w:hint="eastAsia"/>
                <w:sz w:val="24"/>
                <w:szCs w:val="24"/>
                <w:lang w:eastAsia="zh-CN"/>
              </w:rPr>
              <w:t>三</w:t>
            </w:r>
            <w:r>
              <w:rPr>
                <w:sz w:val="24"/>
                <w:szCs w:val="24"/>
              </w:rPr>
              <w:t>级，大气污染物短期贡献浓度最大值能满足环境质量浓度限值且污染源数量较少，根据《环境影响评价技术导则 大气环境》（HJ2.2-2018）</w:t>
            </w:r>
            <w:r>
              <w:rPr>
                <w:rFonts w:hint="eastAsia"/>
                <w:sz w:val="24"/>
                <w:szCs w:val="24"/>
                <w:lang w:eastAsia="zh-CN"/>
              </w:rPr>
              <w:t>三</w:t>
            </w:r>
            <w:r>
              <w:rPr>
                <w:sz w:val="24"/>
                <w:szCs w:val="24"/>
              </w:rPr>
              <w:t>级评价不再进一步预测，不必计算大气防护距离。</w:t>
            </w:r>
          </w:p>
          <w:p>
            <w:pPr>
              <w:snapToGrid w:val="0"/>
              <w:spacing w:line="360" w:lineRule="auto"/>
              <w:ind w:firstLine="482" w:firstLineChars="200"/>
              <w:rPr>
                <w:b/>
                <w:bCs w:val="0"/>
                <w:sz w:val="24"/>
                <w:szCs w:val="24"/>
              </w:rPr>
            </w:pPr>
            <w:r>
              <w:rPr>
                <w:b/>
                <w:bCs w:val="0"/>
                <w:sz w:val="24"/>
                <w:szCs w:val="32"/>
              </w:rPr>
              <w:t>(</w:t>
            </w:r>
            <w:r>
              <w:rPr>
                <w:rFonts w:hint="eastAsia"/>
                <w:b/>
                <w:bCs w:val="0"/>
                <w:sz w:val="24"/>
                <w:szCs w:val="32"/>
                <w:lang w:val="en-US" w:eastAsia="zh-CN"/>
              </w:rPr>
              <w:t>5</w:t>
            </w:r>
            <w:r>
              <w:rPr>
                <w:b/>
                <w:bCs w:val="0"/>
                <w:sz w:val="24"/>
                <w:szCs w:val="32"/>
              </w:rPr>
              <w:t>)</w:t>
            </w:r>
            <w:r>
              <w:rPr>
                <w:b/>
                <w:bCs w:val="0"/>
                <w:sz w:val="24"/>
                <w:szCs w:val="24"/>
              </w:rPr>
              <w:t>卫生防护距离计算</w:t>
            </w:r>
          </w:p>
          <w:p>
            <w:pPr>
              <w:snapToGrid w:val="0"/>
              <w:spacing w:line="360" w:lineRule="auto"/>
              <w:ind w:firstLine="480" w:firstLineChars="200"/>
              <w:rPr>
                <w:sz w:val="24"/>
                <w:szCs w:val="24"/>
              </w:rPr>
            </w:pPr>
            <w:r>
              <w:rPr>
                <w:sz w:val="24"/>
                <w:szCs w:val="24"/>
              </w:rPr>
              <w:t>卫生防护距离是指产生有害因素的部门（车间或工段）的边界至居民区边界的最小距离。根据环保法规，无组织排放源所在单元与居民区之间应设卫生防护距离。根据《制定地方大气污染排放标准的技术办法》（GB/T3840-91），企业卫生防护距离可按下式计算：</w:t>
            </w:r>
          </w:p>
          <w:p>
            <w:pPr>
              <w:adjustRightInd w:val="0"/>
              <w:snapToGrid w:val="0"/>
              <w:spacing w:line="360" w:lineRule="auto"/>
              <w:jc w:val="center"/>
              <w:rPr>
                <w:sz w:val="24"/>
                <w:szCs w:val="24"/>
              </w:rPr>
            </w:pPr>
            <w:r>
              <w:rPr>
                <w:sz w:val="24"/>
                <w:szCs w:val="24"/>
              </w:rPr>
              <w:object>
                <v:shape id="_x0000_i1025" o:spt="75" type="#_x0000_t75" style="height:31.7pt;width:134.3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adjustRightInd w:val="0"/>
              <w:snapToGrid w:val="0"/>
              <w:spacing w:line="360" w:lineRule="auto"/>
              <w:ind w:firstLine="480" w:firstLineChars="200"/>
              <w:rPr>
                <w:sz w:val="24"/>
                <w:szCs w:val="24"/>
              </w:rPr>
            </w:pPr>
            <w:r>
              <w:rPr>
                <w:sz w:val="24"/>
                <w:szCs w:val="24"/>
              </w:rPr>
              <w:t>式中：QC—无组织排放的污染物量，kg/h；</w:t>
            </w:r>
          </w:p>
          <w:p>
            <w:pPr>
              <w:adjustRightInd w:val="0"/>
              <w:snapToGrid w:val="0"/>
              <w:spacing w:line="360" w:lineRule="auto"/>
              <w:ind w:firstLine="1200" w:firstLineChars="500"/>
              <w:rPr>
                <w:sz w:val="24"/>
                <w:szCs w:val="24"/>
              </w:rPr>
            </w:pPr>
            <w:r>
              <w:rPr>
                <w:sz w:val="24"/>
                <w:szCs w:val="24"/>
              </w:rPr>
              <w:t>Cm—标准浓度限值，mg/m</w:t>
            </w:r>
            <w:r>
              <w:rPr>
                <w:sz w:val="24"/>
                <w:szCs w:val="24"/>
                <w:vertAlign w:val="superscript"/>
              </w:rPr>
              <w:t>3</w:t>
            </w:r>
            <w:r>
              <w:rPr>
                <w:sz w:val="24"/>
                <w:szCs w:val="24"/>
              </w:rPr>
              <w:t>；</w:t>
            </w:r>
          </w:p>
          <w:p>
            <w:pPr>
              <w:adjustRightInd w:val="0"/>
              <w:snapToGrid w:val="0"/>
              <w:spacing w:line="360" w:lineRule="auto"/>
              <w:ind w:firstLine="1200" w:firstLineChars="500"/>
              <w:rPr>
                <w:sz w:val="24"/>
                <w:szCs w:val="24"/>
              </w:rPr>
            </w:pPr>
            <w:r>
              <w:rPr>
                <w:sz w:val="24"/>
                <w:szCs w:val="24"/>
              </w:rPr>
              <w:t>L—工业企业所需卫生防护距离，m；</w:t>
            </w:r>
          </w:p>
          <w:p>
            <w:pPr>
              <w:adjustRightInd w:val="0"/>
              <w:snapToGrid w:val="0"/>
              <w:spacing w:line="360" w:lineRule="auto"/>
              <w:ind w:firstLine="1200" w:firstLineChars="500"/>
              <w:rPr>
                <w:sz w:val="24"/>
                <w:szCs w:val="24"/>
              </w:rPr>
            </w:pPr>
            <w:r>
              <w:rPr>
                <w:sz w:val="24"/>
                <w:szCs w:val="24"/>
              </w:rPr>
              <w:t>r—有害气体无组织排放源所在生产单位等效半径，m；</w:t>
            </w:r>
          </w:p>
          <w:p>
            <w:pPr>
              <w:adjustRightInd w:val="0"/>
              <w:snapToGrid w:val="0"/>
              <w:spacing w:line="360" w:lineRule="auto"/>
              <w:ind w:firstLine="1200" w:firstLineChars="500"/>
              <w:rPr>
                <w:sz w:val="24"/>
                <w:szCs w:val="24"/>
              </w:rPr>
            </w:pPr>
            <w:r>
              <w:rPr>
                <w:sz w:val="24"/>
                <w:szCs w:val="24"/>
              </w:rPr>
              <w:t>A、B、C、D—卫生防护距离计算系数，无因次，从卫生防护距离系数表中查取。</w:t>
            </w:r>
          </w:p>
          <w:p>
            <w:pPr>
              <w:snapToGrid w:val="0"/>
              <w:spacing w:line="360" w:lineRule="auto"/>
              <w:ind w:firstLine="480" w:firstLineChars="200"/>
              <w:rPr>
                <w:color w:val="FF0000"/>
                <w:sz w:val="24"/>
                <w:szCs w:val="24"/>
              </w:rPr>
            </w:pPr>
            <w:r>
              <w:rPr>
                <w:sz w:val="24"/>
                <w:szCs w:val="24"/>
              </w:rPr>
              <w:t>本项目无组织排放单元主要为</w:t>
            </w:r>
            <w:r>
              <w:rPr>
                <w:rFonts w:hint="eastAsia"/>
                <w:sz w:val="24"/>
                <w:szCs w:val="24"/>
              </w:rPr>
              <w:t>生产车间</w:t>
            </w:r>
            <w:r>
              <w:rPr>
                <w:sz w:val="24"/>
                <w:szCs w:val="24"/>
              </w:rPr>
              <w:t>，本次评价以</w:t>
            </w:r>
            <w:r>
              <w:rPr>
                <w:rFonts w:hint="eastAsia"/>
                <w:sz w:val="24"/>
                <w:szCs w:val="24"/>
              </w:rPr>
              <w:t>生产车间</w:t>
            </w:r>
            <w:r>
              <w:rPr>
                <w:sz w:val="24"/>
                <w:szCs w:val="24"/>
              </w:rPr>
              <w:t>作为无组织排放单位进行卫生防护距离计算，计算结果见表7-1</w:t>
            </w:r>
            <w:r>
              <w:rPr>
                <w:rFonts w:hint="eastAsia"/>
                <w:sz w:val="24"/>
                <w:szCs w:val="24"/>
                <w:lang w:val="en-US" w:eastAsia="zh-CN"/>
              </w:rPr>
              <w:t>1</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表7-1</w:t>
            </w:r>
            <w:r>
              <w:rPr>
                <w:rFonts w:hint="eastAsia" w:cs="Times New Roman" w:eastAsiaTheme="minorEastAsia"/>
                <w:b/>
                <w:color w:val="000000" w:themeColor="text1"/>
                <w:sz w:val="24"/>
                <w:szCs w:val="24"/>
                <w:lang w:val="en-US" w:eastAsia="zh-CN"/>
              </w:rPr>
              <w:t>1</w:t>
            </w:r>
            <w:r>
              <w:rPr>
                <w:rFonts w:hint="eastAsia" w:ascii="Times New Roman" w:hAnsi="Times New Roman" w:cs="Times New Roman" w:eastAsiaTheme="minorEastAsia"/>
                <w:b/>
                <w:color w:val="000000" w:themeColor="text1"/>
                <w:sz w:val="24"/>
                <w:szCs w:val="24"/>
                <w:lang w:val="en-US"/>
              </w:rPr>
              <w:t xml:space="preserve">  无组织排放卫生防护距离情况</w:t>
            </w:r>
          </w:p>
          <w:tbl>
            <w:tblPr>
              <w:tblStyle w:val="75"/>
              <w:tblW w:w="8636"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24"/>
              <w:gridCol w:w="1197"/>
              <w:gridCol w:w="2159"/>
              <w:gridCol w:w="1208"/>
              <w:gridCol w:w="1206"/>
              <w:gridCol w:w="124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624" w:type="dxa"/>
                  <w:vAlign w:val="center"/>
                </w:tcPr>
                <w:p>
                  <w:pPr>
                    <w:spacing w:line="280" w:lineRule="exact"/>
                    <w:jc w:val="center"/>
                    <w:rPr>
                      <w:b/>
                      <w:bCs/>
                    </w:rPr>
                  </w:pPr>
                  <w:r>
                    <w:rPr>
                      <w:rFonts w:hint="eastAsia"/>
                      <w:b/>
                      <w:bCs/>
                    </w:rPr>
                    <w:t>排放位置</w:t>
                  </w:r>
                </w:p>
              </w:tc>
              <w:tc>
                <w:tcPr>
                  <w:tcW w:w="1197" w:type="dxa"/>
                  <w:vAlign w:val="center"/>
                </w:tcPr>
                <w:p>
                  <w:pPr>
                    <w:widowControl/>
                    <w:jc w:val="center"/>
                    <w:rPr>
                      <w:b/>
                      <w:bCs/>
                    </w:rPr>
                  </w:pPr>
                  <w:r>
                    <w:rPr>
                      <w:rFonts w:hint="eastAsia"/>
                      <w:b/>
                      <w:bCs/>
                    </w:rPr>
                    <w:t>污染源</w:t>
                  </w:r>
                </w:p>
              </w:tc>
              <w:tc>
                <w:tcPr>
                  <w:tcW w:w="2159" w:type="dxa"/>
                  <w:vAlign w:val="center"/>
                </w:tcPr>
                <w:p>
                  <w:pPr>
                    <w:spacing w:line="280" w:lineRule="exact"/>
                    <w:jc w:val="center"/>
                    <w:rPr>
                      <w:b/>
                      <w:bCs/>
                    </w:rPr>
                  </w:pPr>
                  <w:r>
                    <w:rPr>
                      <w:rFonts w:hint="eastAsia"/>
                      <w:b/>
                      <w:bCs/>
                    </w:rPr>
                    <w:t>生产单元占地面积</w:t>
                  </w:r>
                  <w:r>
                    <w:rPr>
                      <w:b/>
                      <w:bCs/>
                    </w:rPr>
                    <w:t>(m</w:t>
                  </w:r>
                  <w:r>
                    <w:rPr>
                      <w:b/>
                      <w:bCs/>
                      <w:vertAlign w:val="superscript"/>
                    </w:rPr>
                    <w:t>2</w:t>
                  </w:r>
                  <w:r>
                    <w:rPr>
                      <w:b/>
                      <w:bCs/>
                    </w:rPr>
                    <w:t>)</w:t>
                  </w:r>
                </w:p>
              </w:tc>
              <w:tc>
                <w:tcPr>
                  <w:tcW w:w="1208" w:type="dxa"/>
                  <w:vAlign w:val="center"/>
                </w:tcPr>
                <w:p>
                  <w:pPr>
                    <w:spacing w:line="280" w:lineRule="exact"/>
                    <w:jc w:val="center"/>
                    <w:rPr>
                      <w:b/>
                      <w:bCs/>
                    </w:rPr>
                  </w:pPr>
                  <w:r>
                    <w:rPr>
                      <w:rFonts w:hint="eastAsia"/>
                      <w:b/>
                      <w:bCs/>
                    </w:rPr>
                    <w:t>排放</w:t>
                  </w:r>
                  <w:r>
                    <w:rPr>
                      <w:rFonts w:hint="eastAsia"/>
                      <w:b/>
                      <w:bCs/>
                      <w:lang w:val="en-US"/>
                    </w:rPr>
                    <w:t>速率</w:t>
                  </w:r>
                  <w:r>
                    <w:rPr>
                      <w:b/>
                      <w:bCs/>
                    </w:rPr>
                    <w:t>kg/h</w:t>
                  </w:r>
                </w:p>
              </w:tc>
              <w:tc>
                <w:tcPr>
                  <w:tcW w:w="1206" w:type="dxa"/>
                  <w:vAlign w:val="center"/>
                </w:tcPr>
                <w:p>
                  <w:pPr>
                    <w:spacing w:line="280" w:lineRule="exact"/>
                    <w:jc w:val="center"/>
                    <w:rPr>
                      <w:b/>
                      <w:bCs/>
                    </w:rPr>
                  </w:pPr>
                  <w:r>
                    <w:rPr>
                      <w:rFonts w:hint="eastAsia"/>
                      <w:b/>
                      <w:bCs/>
                    </w:rPr>
                    <w:t>标准值</w:t>
                  </w:r>
                </w:p>
                <w:p>
                  <w:pPr>
                    <w:spacing w:line="280" w:lineRule="exact"/>
                    <w:jc w:val="center"/>
                    <w:rPr>
                      <w:b/>
                      <w:bCs/>
                    </w:rPr>
                  </w:pPr>
                  <w:r>
                    <w:rPr>
                      <w:b/>
                      <w:bCs/>
                    </w:rPr>
                    <w:t>mg/m</w:t>
                  </w:r>
                  <w:r>
                    <w:rPr>
                      <w:b/>
                      <w:bCs/>
                      <w:vertAlign w:val="superscript"/>
                    </w:rPr>
                    <w:t>3</w:t>
                  </w:r>
                </w:p>
              </w:tc>
              <w:tc>
                <w:tcPr>
                  <w:tcW w:w="1242" w:type="dxa"/>
                  <w:vAlign w:val="center"/>
                </w:tcPr>
                <w:p>
                  <w:pPr>
                    <w:spacing w:line="280" w:lineRule="exact"/>
                    <w:jc w:val="center"/>
                    <w:rPr>
                      <w:b/>
                      <w:bCs/>
                    </w:rPr>
                  </w:pPr>
                  <w:r>
                    <w:rPr>
                      <w:rFonts w:hint="eastAsia"/>
                      <w:b/>
                      <w:bCs/>
                    </w:rPr>
                    <w:t>计算结果（</w:t>
                  </w:r>
                  <w:r>
                    <w:rPr>
                      <w:b/>
                      <w:bCs/>
                    </w:rPr>
                    <w:t>m</w:t>
                  </w:r>
                  <w:r>
                    <w:rPr>
                      <w:rFonts w:hint="eastAsia"/>
                      <w:b/>
                      <w:bCs/>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1624" w:type="dxa"/>
                  <w:vAlign w:val="center"/>
                </w:tcPr>
                <w:p>
                  <w:pPr>
                    <w:widowControl/>
                    <w:jc w:val="center"/>
                    <w:rPr>
                      <w:lang w:val="en-US"/>
                    </w:rPr>
                  </w:pPr>
                  <w:r>
                    <w:rPr>
                      <w:rFonts w:hint="eastAsia"/>
                    </w:rPr>
                    <w:t>生产车间</w:t>
                  </w:r>
                </w:p>
              </w:tc>
              <w:tc>
                <w:tcPr>
                  <w:tcW w:w="1197" w:type="dxa"/>
                  <w:vAlign w:val="center"/>
                </w:tcPr>
                <w:p>
                  <w:pPr>
                    <w:jc w:val="center"/>
                  </w:pPr>
                  <w:r>
                    <w:rPr>
                      <w:rFonts w:hint="eastAsia"/>
                    </w:rPr>
                    <w:t>颗粒物</w:t>
                  </w:r>
                </w:p>
              </w:tc>
              <w:tc>
                <w:tcPr>
                  <w:tcW w:w="2159" w:type="dxa"/>
                  <w:vAlign w:val="center"/>
                </w:tcPr>
                <w:p>
                  <w:pPr>
                    <w:widowControl/>
                    <w:jc w:val="center"/>
                    <w:rPr>
                      <w:rFonts w:hint="default" w:eastAsia="宋体"/>
                      <w:lang w:val="en-US" w:eastAsia="zh-CN"/>
                    </w:rPr>
                  </w:pPr>
                  <w:r>
                    <w:rPr>
                      <w:rFonts w:hint="eastAsia"/>
                      <w:lang w:val="en-US" w:eastAsia="zh-CN"/>
                    </w:rPr>
                    <w:t>58</w:t>
                  </w:r>
                  <w:r>
                    <w:t>×</w:t>
                  </w:r>
                  <w:r>
                    <w:rPr>
                      <w:rFonts w:hint="eastAsia"/>
                      <w:lang w:val="en-US" w:eastAsia="zh-CN"/>
                    </w:rPr>
                    <w:t>17</w:t>
                  </w:r>
                </w:p>
              </w:tc>
              <w:tc>
                <w:tcPr>
                  <w:tcW w:w="1208" w:type="dxa"/>
                  <w:vAlign w:val="center"/>
                </w:tcPr>
                <w:p>
                  <w:pPr>
                    <w:widowControl/>
                    <w:jc w:val="center"/>
                    <w:rPr>
                      <w:rFonts w:hint="default" w:eastAsiaTheme="minorEastAsia"/>
                      <w:lang w:val="en-US" w:eastAsia="zh-CN"/>
                    </w:rPr>
                  </w:pPr>
                  <w:r>
                    <w:rPr>
                      <w:rFonts w:hint="eastAsia" w:eastAsiaTheme="minorEastAsia"/>
                      <w:szCs w:val="21"/>
                    </w:rPr>
                    <w:t>0.0</w:t>
                  </w:r>
                  <w:r>
                    <w:rPr>
                      <w:rFonts w:hint="eastAsia" w:eastAsiaTheme="minorEastAsia"/>
                      <w:szCs w:val="21"/>
                      <w:lang w:val="en-US" w:eastAsia="zh-CN"/>
                    </w:rPr>
                    <w:t>15</w:t>
                  </w:r>
                </w:p>
              </w:tc>
              <w:tc>
                <w:tcPr>
                  <w:tcW w:w="1206" w:type="dxa"/>
                  <w:vAlign w:val="center"/>
                </w:tcPr>
                <w:p>
                  <w:pPr>
                    <w:widowControl/>
                    <w:jc w:val="center"/>
                  </w:pPr>
                  <w:r>
                    <w:t>0.9</w:t>
                  </w:r>
                </w:p>
              </w:tc>
              <w:tc>
                <w:tcPr>
                  <w:tcW w:w="1242" w:type="dxa"/>
                  <w:vAlign w:val="center"/>
                </w:tcPr>
                <w:p>
                  <w:pPr>
                    <w:spacing w:line="280" w:lineRule="exact"/>
                    <w:jc w:val="center"/>
                    <w:rPr>
                      <w:rFonts w:hint="default" w:eastAsia="宋体"/>
                      <w:lang w:val="en-US" w:eastAsia="zh-CN"/>
                    </w:rPr>
                  </w:pPr>
                  <w:r>
                    <w:rPr>
                      <w:rFonts w:hint="eastAsia"/>
                      <w:color w:val="auto"/>
                      <w:lang w:val="en-US" w:eastAsia="zh-CN"/>
                    </w:rPr>
                    <w:t>0.864</w:t>
                  </w:r>
                </w:p>
              </w:tc>
            </w:tr>
          </w:tbl>
          <w:p>
            <w:pPr>
              <w:adjustRightInd w:val="0"/>
              <w:snapToGrid w:val="0"/>
              <w:spacing w:before="120" w:beforeLines="50" w:line="360" w:lineRule="auto"/>
              <w:ind w:firstLine="480" w:firstLineChars="200"/>
              <w:rPr>
                <w:rFonts w:hint="eastAsia" w:eastAsia="宋体"/>
                <w:snapToGrid w:val="0"/>
                <w:sz w:val="24"/>
                <w:lang w:eastAsia="zh-CN"/>
              </w:rPr>
            </w:pPr>
            <w:r>
              <w:rPr>
                <w:snapToGrid w:val="0"/>
                <w:sz w:val="24"/>
              </w:rPr>
              <w:t>根据《制定地方大气污染物排放标准的技术方法》(GB/T13201-91)的规定：卫生防护距离在100m以内时，级差为50m。根据差级原则，本次评价给出卫生防护距离推荐值为以生产车间边界为起点设置50m卫生防护距离</w:t>
            </w:r>
            <w:r>
              <w:rPr>
                <w:rFonts w:hint="eastAsia"/>
                <w:snapToGrid w:val="0"/>
                <w:sz w:val="24"/>
                <w:lang w:eastAsia="zh-CN"/>
              </w:rPr>
              <w:t>。</w:t>
            </w:r>
          </w:p>
          <w:p>
            <w:pPr>
              <w:spacing w:line="360" w:lineRule="auto"/>
              <w:ind w:firstLine="480" w:firstLineChars="200"/>
              <w:rPr>
                <w:rFonts w:hint="eastAsia"/>
                <w:color w:val="000000"/>
                <w:sz w:val="24"/>
                <w:szCs w:val="20"/>
              </w:rPr>
            </w:pPr>
            <w:r>
              <w:rPr>
                <w:rFonts w:hint="eastAsia"/>
                <w:color w:val="000000"/>
                <w:sz w:val="24"/>
              </w:rPr>
              <w:t>经现场调查，本项目</w:t>
            </w:r>
            <w:r>
              <w:rPr>
                <w:rFonts w:hint="eastAsia"/>
                <w:color w:val="000000"/>
                <w:sz w:val="24"/>
                <w:lang w:eastAsia="zh-CN"/>
              </w:rPr>
              <w:t>厂界</w:t>
            </w:r>
            <w:r>
              <w:rPr>
                <w:rFonts w:hint="eastAsia"/>
                <w:color w:val="000000"/>
                <w:sz w:val="24"/>
                <w:szCs w:val="20"/>
                <w:lang w:eastAsia="zh-CN"/>
              </w:rPr>
              <w:t>北</w:t>
            </w:r>
            <w:r>
              <w:rPr>
                <w:rFonts w:hint="eastAsia"/>
                <w:color w:val="000000"/>
                <w:sz w:val="24"/>
                <w:szCs w:val="20"/>
              </w:rPr>
              <w:t>方向直线距离</w:t>
            </w:r>
            <w:r>
              <w:rPr>
                <w:rFonts w:hint="eastAsia"/>
                <w:color w:val="000000"/>
                <w:sz w:val="24"/>
                <w:szCs w:val="20"/>
                <w:lang w:val="en-US" w:eastAsia="zh-CN"/>
              </w:rPr>
              <w:t>72</w:t>
            </w:r>
            <w:r>
              <w:rPr>
                <w:rFonts w:hint="eastAsia"/>
                <w:color w:val="000000"/>
                <w:sz w:val="24"/>
                <w:szCs w:val="20"/>
              </w:rPr>
              <w:t>米有</w:t>
            </w:r>
            <w:r>
              <w:rPr>
                <w:rFonts w:hint="eastAsia"/>
                <w:color w:val="000000"/>
                <w:sz w:val="24"/>
                <w:szCs w:val="20"/>
                <w:lang w:eastAsia="zh-CN"/>
              </w:rPr>
              <w:t>查林村</w:t>
            </w:r>
            <w:r>
              <w:rPr>
                <w:rFonts w:hint="eastAsia"/>
                <w:color w:val="000000"/>
                <w:sz w:val="24"/>
                <w:szCs w:val="20"/>
              </w:rPr>
              <w:t>居民住宅环境敏感目标存在，其中</w:t>
            </w:r>
            <w:r>
              <w:rPr>
                <w:rFonts w:hint="eastAsia"/>
                <w:color w:val="000000"/>
                <w:sz w:val="24"/>
                <w:szCs w:val="20"/>
                <w:lang w:val="en-US" w:eastAsia="zh-CN"/>
              </w:rPr>
              <w:t>6户</w:t>
            </w:r>
            <w:r>
              <w:rPr>
                <w:rFonts w:hint="eastAsia"/>
                <w:color w:val="000000"/>
                <w:sz w:val="24"/>
                <w:szCs w:val="20"/>
              </w:rPr>
              <w:t>居民住宅在</w:t>
            </w:r>
            <w:r>
              <w:rPr>
                <w:rFonts w:hint="eastAsia"/>
                <w:color w:val="000000"/>
                <w:sz w:val="24"/>
                <w:szCs w:val="20"/>
                <w:lang w:eastAsia="zh-CN"/>
              </w:rPr>
              <w:t>距离</w:t>
            </w:r>
            <w:r>
              <w:rPr>
                <w:rFonts w:hint="eastAsia"/>
                <w:color w:val="000000"/>
                <w:sz w:val="24"/>
                <w:szCs w:val="20"/>
              </w:rPr>
              <w:t>本项目</w:t>
            </w:r>
            <w:r>
              <w:rPr>
                <w:rFonts w:hint="eastAsia"/>
                <w:color w:val="000000"/>
                <w:sz w:val="24"/>
                <w:szCs w:val="20"/>
                <w:lang w:eastAsia="zh-CN"/>
              </w:rPr>
              <w:t>厂界</w:t>
            </w:r>
            <w:r>
              <w:rPr>
                <w:rFonts w:hint="eastAsia"/>
                <w:color w:val="000000"/>
                <w:sz w:val="24"/>
                <w:szCs w:val="20"/>
                <w:lang w:val="en-US" w:eastAsia="zh-CN"/>
              </w:rPr>
              <w:t>100m范围内</w:t>
            </w:r>
            <w:r>
              <w:rPr>
                <w:rFonts w:hint="eastAsia"/>
                <w:color w:val="000000"/>
                <w:sz w:val="24"/>
                <w:szCs w:val="20"/>
              </w:rPr>
              <w:t>，为本项目环境</w:t>
            </w:r>
            <w:r>
              <w:rPr>
                <w:rFonts w:hint="eastAsia"/>
                <w:color w:val="000000"/>
                <w:sz w:val="24"/>
                <w:szCs w:val="20"/>
                <w:lang w:eastAsia="zh-CN"/>
              </w:rPr>
              <w:t>敏感</w:t>
            </w:r>
            <w:r>
              <w:rPr>
                <w:rFonts w:hint="eastAsia"/>
                <w:color w:val="000000"/>
                <w:sz w:val="24"/>
                <w:szCs w:val="20"/>
              </w:rPr>
              <w:t>保护目标。</w:t>
            </w:r>
          </w:p>
          <w:p>
            <w:pPr>
              <w:spacing w:line="360" w:lineRule="auto"/>
              <w:ind w:firstLine="480" w:firstLineChars="200"/>
              <w:outlineLvl w:val="0"/>
              <w:rPr>
                <w:color w:val="000000"/>
                <w:sz w:val="24"/>
              </w:rPr>
            </w:pPr>
            <w:r>
              <w:rPr>
                <w:rFonts w:hint="eastAsia"/>
                <w:color w:val="000000"/>
                <w:sz w:val="24"/>
              </w:rPr>
              <w:t>本项目在认真落实废气、废水等污染治理的措施下，经预测对相邻的居民住宅造成环境影响的可能性很小。因此在落实相关的污染防治措施并达标排放情况下，在获得相邻范围内居民的同意，本项目仍有建设可行性。</w:t>
            </w:r>
          </w:p>
          <w:p>
            <w:pPr>
              <w:spacing w:line="360" w:lineRule="auto"/>
              <w:ind w:firstLine="480" w:firstLineChars="200"/>
              <w:rPr>
                <w:rFonts w:hint="eastAsia"/>
                <w:color w:val="000000"/>
                <w:sz w:val="24"/>
                <w:szCs w:val="20"/>
              </w:rPr>
            </w:pPr>
            <w:r>
              <w:rPr>
                <w:rFonts w:hint="eastAsia"/>
                <w:color w:val="000000"/>
                <w:sz w:val="24"/>
                <w:szCs w:val="20"/>
              </w:rPr>
              <w:t>根据相邻关系法则，为加强建设项目各方与受项目影响的公众之间的联系和交流，使公众比较全面了解拟建项目，减轻对项目影响的担忧，通过公众参与的形式，把公众对项目的多种意见和建议体现在公众参与的结论中，使项目的规划设计更加完善和合理，以提高项目的环境和经济效益。</w:t>
            </w:r>
          </w:p>
          <w:p>
            <w:pPr>
              <w:snapToGrid w:val="0"/>
              <w:spacing w:line="360" w:lineRule="auto"/>
              <w:ind w:firstLine="480" w:firstLineChars="200"/>
              <w:rPr>
                <w:rFonts w:hint="eastAsia"/>
                <w:color w:val="000000"/>
                <w:sz w:val="24"/>
                <w:szCs w:val="20"/>
              </w:rPr>
            </w:pPr>
            <w:r>
              <w:rPr>
                <w:rFonts w:hint="eastAsia"/>
                <w:color w:val="000000"/>
                <w:sz w:val="24"/>
                <w:szCs w:val="20"/>
              </w:rPr>
              <w:t>公众通过参与来维护其环境权益、履行其保护环境的责任和义务，对形成良好的保护环境的社会风气和实现预定的环境目标有重要的保证作用。公众参与的结论体现在报告表中，环保部门及行业主管部门在报告表审批时应充分考虑公众的意见，并及时反馈给建设单位，作为监督和验收的内容之一。通过公众参与，可使环境影响评价的对策更具合理性、实用性和可操作性。</w:t>
            </w:r>
          </w:p>
          <w:p>
            <w:pPr>
              <w:spacing w:line="360" w:lineRule="auto"/>
              <w:ind w:firstLine="480" w:firstLineChars="200"/>
              <w:rPr>
                <w:color w:val="000000"/>
                <w:sz w:val="24"/>
                <w:szCs w:val="20"/>
              </w:rPr>
            </w:pPr>
            <w:r>
              <w:rPr>
                <w:color w:val="000000"/>
                <w:sz w:val="24"/>
                <w:szCs w:val="20"/>
              </w:rPr>
              <w:t>本次调查对象主要为本项目设置</w:t>
            </w:r>
            <w:r>
              <w:rPr>
                <w:rFonts w:hint="eastAsia"/>
                <w:color w:val="000000"/>
                <w:sz w:val="24"/>
                <w:szCs w:val="20"/>
                <w:lang w:eastAsia="zh-CN"/>
              </w:rPr>
              <w:t>厂界</w:t>
            </w:r>
            <w:r>
              <w:rPr>
                <w:rFonts w:hint="eastAsia"/>
                <w:color w:val="000000"/>
                <w:sz w:val="24"/>
                <w:szCs w:val="20"/>
                <w:lang w:val="en-US" w:eastAsia="zh-CN"/>
              </w:rPr>
              <w:t>100</w:t>
            </w:r>
            <w:r>
              <w:rPr>
                <w:color w:val="000000"/>
                <w:sz w:val="24"/>
              </w:rPr>
              <w:t>米</w:t>
            </w:r>
            <w:r>
              <w:rPr>
                <w:color w:val="000000"/>
                <w:sz w:val="24"/>
                <w:szCs w:val="20"/>
              </w:rPr>
              <w:t>内的居民住宅环境敏感保护目标，调查对象资料详见表7-</w:t>
            </w:r>
            <w:r>
              <w:rPr>
                <w:rFonts w:hint="eastAsia"/>
                <w:color w:val="000000"/>
                <w:sz w:val="24"/>
                <w:szCs w:val="20"/>
                <w:lang w:val="en-US" w:eastAsia="zh-CN"/>
              </w:rPr>
              <w:t>12</w:t>
            </w:r>
            <w:r>
              <w:rPr>
                <w:color w:val="000000"/>
                <w:sz w:val="24"/>
                <w:szCs w:val="20"/>
              </w:rPr>
              <w:t>，调查统计结果详见表7</w:t>
            </w:r>
            <w:r>
              <w:rPr>
                <w:rFonts w:hint="eastAsia"/>
                <w:color w:val="000000"/>
                <w:sz w:val="24"/>
                <w:szCs w:val="20"/>
                <w:lang w:val="en-US" w:eastAsia="zh-CN"/>
              </w:rPr>
              <w:t>-13</w:t>
            </w:r>
            <w:r>
              <w:rPr>
                <w:color w:val="000000"/>
                <w:sz w:val="24"/>
                <w:szCs w:val="20"/>
              </w:rPr>
              <w:t>。</w:t>
            </w:r>
          </w:p>
          <w:p>
            <w:pPr>
              <w:numPr>
                <w:ilvl w:val="0"/>
                <w:numId w:val="0"/>
              </w:numPr>
              <w:adjustRightInd w:val="0"/>
              <w:snapToGrid w:val="0"/>
              <w:ind w:leftChars="0"/>
              <w:jc w:val="center"/>
              <w:rPr>
                <w:b/>
                <w:color w:val="000000"/>
                <w:sz w:val="24"/>
                <w:szCs w:val="24"/>
              </w:rPr>
            </w:pPr>
            <w:r>
              <w:rPr>
                <w:rFonts w:hint="eastAsia"/>
                <w:b/>
                <w:color w:val="000000"/>
                <w:sz w:val="24"/>
                <w:szCs w:val="24"/>
                <w:lang w:val="en-US" w:eastAsia="zh-CN"/>
              </w:rPr>
              <w:t>表7-12</w:t>
            </w:r>
            <w:r>
              <w:rPr>
                <w:b/>
                <w:color w:val="000000"/>
                <w:sz w:val="24"/>
                <w:szCs w:val="24"/>
              </w:rPr>
              <w:t xml:space="preserve">  调查对象资料表</w:t>
            </w:r>
          </w:p>
          <w:tbl>
            <w:tblPr>
              <w:tblStyle w:val="7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486"/>
              <w:gridCol w:w="757"/>
              <w:gridCol w:w="755"/>
              <w:gridCol w:w="2375"/>
              <w:gridCol w:w="198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jc w:val="center"/>
                    <w:rPr>
                      <w:color w:val="000000"/>
                      <w:sz w:val="21"/>
                      <w:szCs w:val="21"/>
                    </w:rPr>
                  </w:pPr>
                  <w:r>
                    <w:rPr>
                      <w:color w:val="000000"/>
                      <w:sz w:val="21"/>
                      <w:szCs w:val="21"/>
                    </w:rPr>
                    <w:t>序号</w:t>
                  </w:r>
                </w:p>
              </w:tc>
              <w:tc>
                <w:tcPr>
                  <w:tcW w:w="1486" w:type="dxa"/>
                  <w:tcBorders>
                    <w:tl2br w:val="nil"/>
                    <w:tr2bl w:val="nil"/>
                  </w:tcBorders>
                  <w:noWrap w:val="0"/>
                  <w:vAlign w:val="center"/>
                </w:tcPr>
                <w:p>
                  <w:pPr>
                    <w:jc w:val="center"/>
                    <w:rPr>
                      <w:color w:val="000000"/>
                      <w:sz w:val="21"/>
                      <w:szCs w:val="21"/>
                    </w:rPr>
                  </w:pPr>
                  <w:r>
                    <w:rPr>
                      <w:color w:val="000000"/>
                      <w:sz w:val="21"/>
                      <w:szCs w:val="21"/>
                    </w:rPr>
                    <w:t>姓名</w:t>
                  </w:r>
                </w:p>
              </w:tc>
              <w:tc>
                <w:tcPr>
                  <w:tcW w:w="757" w:type="dxa"/>
                  <w:tcBorders>
                    <w:tl2br w:val="nil"/>
                    <w:tr2bl w:val="nil"/>
                  </w:tcBorders>
                  <w:noWrap w:val="0"/>
                  <w:vAlign w:val="center"/>
                </w:tcPr>
                <w:p>
                  <w:pPr>
                    <w:jc w:val="center"/>
                    <w:rPr>
                      <w:color w:val="000000"/>
                      <w:sz w:val="21"/>
                      <w:szCs w:val="21"/>
                    </w:rPr>
                  </w:pPr>
                  <w:r>
                    <w:rPr>
                      <w:color w:val="000000"/>
                      <w:sz w:val="21"/>
                      <w:szCs w:val="21"/>
                    </w:rPr>
                    <w:t>年龄</w:t>
                  </w:r>
                </w:p>
              </w:tc>
              <w:tc>
                <w:tcPr>
                  <w:tcW w:w="755" w:type="dxa"/>
                  <w:tcBorders>
                    <w:tl2br w:val="nil"/>
                    <w:tr2bl w:val="nil"/>
                  </w:tcBorders>
                  <w:noWrap w:val="0"/>
                  <w:vAlign w:val="center"/>
                </w:tcPr>
                <w:p>
                  <w:pPr>
                    <w:jc w:val="center"/>
                    <w:rPr>
                      <w:color w:val="000000"/>
                      <w:sz w:val="21"/>
                      <w:szCs w:val="21"/>
                    </w:rPr>
                  </w:pPr>
                  <w:r>
                    <w:rPr>
                      <w:color w:val="000000"/>
                      <w:sz w:val="21"/>
                      <w:szCs w:val="21"/>
                    </w:rPr>
                    <w:t>性别</w:t>
                  </w:r>
                </w:p>
              </w:tc>
              <w:tc>
                <w:tcPr>
                  <w:tcW w:w="2375" w:type="dxa"/>
                  <w:tcBorders>
                    <w:tl2br w:val="nil"/>
                    <w:tr2bl w:val="nil"/>
                  </w:tcBorders>
                  <w:noWrap w:val="0"/>
                  <w:vAlign w:val="center"/>
                </w:tcPr>
                <w:p>
                  <w:pPr>
                    <w:jc w:val="center"/>
                    <w:rPr>
                      <w:color w:val="000000"/>
                      <w:sz w:val="21"/>
                      <w:szCs w:val="21"/>
                    </w:rPr>
                  </w:pPr>
                  <w:r>
                    <w:rPr>
                      <w:color w:val="000000"/>
                      <w:sz w:val="21"/>
                      <w:szCs w:val="21"/>
                    </w:rPr>
                    <w:t>工作单位或住址</w:t>
                  </w:r>
                </w:p>
              </w:tc>
              <w:tc>
                <w:tcPr>
                  <w:tcW w:w="1983" w:type="dxa"/>
                  <w:tcBorders>
                    <w:tl2br w:val="nil"/>
                    <w:tr2bl w:val="nil"/>
                  </w:tcBorders>
                  <w:noWrap w:val="0"/>
                  <w:vAlign w:val="center"/>
                </w:tcPr>
                <w:p>
                  <w:pPr>
                    <w:jc w:val="center"/>
                    <w:rPr>
                      <w:color w:val="000000"/>
                      <w:sz w:val="21"/>
                      <w:szCs w:val="21"/>
                    </w:rPr>
                  </w:pPr>
                  <w:r>
                    <w:rPr>
                      <w:color w:val="000000"/>
                      <w:sz w:val="21"/>
                      <w:szCs w:val="21"/>
                    </w:rPr>
                    <w:t>联系电话</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spacing w:line="0" w:lineRule="atLeast"/>
                    <w:jc w:val="center"/>
                    <w:rPr>
                      <w:color w:val="0000FF"/>
                      <w:sz w:val="21"/>
                      <w:szCs w:val="21"/>
                    </w:rPr>
                  </w:pPr>
                  <w:r>
                    <w:rPr>
                      <w:color w:val="0000FF"/>
                      <w:sz w:val="21"/>
                      <w:szCs w:val="21"/>
                    </w:rPr>
                    <w:t>1</w:t>
                  </w:r>
                </w:p>
              </w:tc>
              <w:tc>
                <w:tcPr>
                  <w:tcW w:w="1486" w:type="dxa"/>
                  <w:tcBorders>
                    <w:tl2br w:val="nil"/>
                    <w:tr2bl w:val="nil"/>
                  </w:tcBorders>
                  <w:noWrap w:val="0"/>
                  <w:vAlign w:val="center"/>
                </w:tcPr>
                <w:p>
                  <w:pPr>
                    <w:jc w:val="center"/>
                    <w:rPr>
                      <w:rFonts w:hint="eastAsia" w:eastAsia="宋体"/>
                      <w:color w:val="0000FF"/>
                      <w:sz w:val="21"/>
                      <w:szCs w:val="21"/>
                      <w:lang w:eastAsia="zh-CN"/>
                    </w:rPr>
                  </w:pPr>
                  <w:r>
                    <w:rPr>
                      <w:rFonts w:hint="eastAsia" w:eastAsia="宋体"/>
                      <w:color w:val="0000FF"/>
                      <w:sz w:val="21"/>
                      <w:szCs w:val="21"/>
                      <w:lang w:eastAsia="zh-CN"/>
                    </w:rPr>
                    <w:t>王立君</w:t>
                  </w:r>
                </w:p>
              </w:tc>
              <w:tc>
                <w:tcPr>
                  <w:tcW w:w="757"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55</w:t>
                  </w:r>
                </w:p>
              </w:tc>
              <w:tc>
                <w:tcPr>
                  <w:tcW w:w="755" w:type="dxa"/>
                  <w:tcBorders>
                    <w:tl2br w:val="nil"/>
                    <w:tr2bl w:val="nil"/>
                  </w:tcBorders>
                  <w:noWrap w:val="0"/>
                  <w:vAlign w:val="center"/>
                </w:tcPr>
                <w:p>
                  <w:pPr>
                    <w:jc w:val="center"/>
                    <w:rPr>
                      <w:rFonts w:hint="eastAsia" w:eastAsia="宋体"/>
                      <w:color w:val="0000FF"/>
                      <w:sz w:val="21"/>
                      <w:szCs w:val="21"/>
                      <w:lang w:eastAsia="zh-CN"/>
                    </w:rPr>
                  </w:pPr>
                  <w:r>
                    <w:rPr>
                      <w:rFonts w:hint="eastAsia"/>
                      <w:color w:val="0000FF"/>
                      <w:sz w:val="21"/>
                      <w:szCs w:val="21"/>
                      <w:lang w:eastAsia="zh-CN"/>
                    </w:rPr>
                    <w:t>男</w:t>
                  </w:r>
                </w:p>
              </w:tc>
              <w:tc>
                <w:tcPr>
                  <w:tcW w:w="2375" w:type="dxa"/>
                  <w:tcBorders>
                    <w:tl2br w:val="nil"/>
                    <w:tr2bl w:val="nil"/>
                  </w:tcBorders>
                  <w:noWrap w:val="0"/>
                  <w:vAlign w:val="center"/>
                </w:tcPr>
                <w:p>
                  <w:pPr>
                    <w:jc w:val="center"/>
                    <w:rPr>
                      <w:rFonts w:hint="eastAsia" w:eastAsia="宋体"/>
                      <w:color w:val="0000FF"/>
                      <w:sz w:val="21"/>
                      <w:szCs w:val="21"/>
                      <w:lang w:eastAsia="zh-CN"/>
                    </w:rPr>
                  </w:pPr>
                  <w:r>
                    <w:rPr>
                      <w:rFonts w:hint="eastAsia"/>
                      <w:color w:val="0000FF"/>
                      <w:sz w:val="21"/>
                      <w:szCs w:val="21"/>
                      <w:lang w:eastAsia="zh-CN"/>
                    </w:rPr>
                    <w:t>高塍镇塍西村</w:t>
                  </w:r>
                </w:p>
              </w:tc>
              <w:tc>
                <w:tcPr>
                  <w:tcW w:w="1983"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13906151723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spacing w:line="0" w:lineRule="atLeast"/>
                    <w:jc w:val="center"/>
                    <w:rPr>
                      <w:color w:val="0000FF"/>
                      <w:sz w:val="21"/>
                      <w:szCs w:val="21"/>
                    </w:rPr>
                  </w:pPr>
                  <w:r>
                    <w:rPr>
                      <w:color w:val="0000FF"/>
                      <w:sz w:val="21"/>
                      <w:szCs w:val="21"/>
                    </w:rPr>
                    <w:t>2</w:t>
                  </w:r>
                </w:p>
              </w:tc>
              <w:tc>
                <w:tcPr>
                  <w:tcW w:w="1486" w:type="dxa"/>
                  <w:tcBorders>
                    <w:tl2br w:val="nil"/>
                    <w:tr2bl w:val="nil"/>
                  </w:tcBorders>
                  <w:noWrap w:val="0"/>
                  <w:vAlign w:val="center"/>
                </w:tcPr>
                <w:p>
                  <w:pPr>
                    <w:jc w:val="center"/>
                    <w:rPr>
                      <w:rFonts w:hint="eastAsia" w:eastAsia="宋体"/>
                      <w:color w:val="0000FF"/>
                      <w:sz w:val="21"/>
                      <w:szCs w:val="21"/>
                      <w:lang w:eastAsia="zh-CN"/>
                    </w:rPr>
                  </w:pPr>
                  <w:r>
                    <w:rPr>
                      <w:rFonts w:hint="eastAsia" w:eastAsia="宋体"/>
                      <w:color w:val="0000FF"/>
                      <w:sz w:val="21"/>
                      <w:szCs w:val="21"/>
                      <w:lang w:eastAsia="zh-CN"/>
                    </w:rPr>
                    <w:t>周华明</w:t>
                  </w:r>
                </w:p>
              </w:tc>
              <w:tc>
                <w:tcPr>
                  <w:tcW w:w="757"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52</w:t>
                  </w:r>
                </w:p>
              </w:tc>
              <w:tc>
                <w:tcPr>
                  <w:tcW w:w="755" w:type="dxa"/>
                  <w:tcBorders>
                    <w:tl2br w:val="nil"/>
                    <w:tr2bl w:val="nil"/>
                  </w:tcBorders>
                  <w:noWrap w:val="0"/>
                  <w:vAlign w:val="center"/>
                </w:tcPr>
                <w:p>
                  <w:pPr>
                    <w:jc w:val="center"/>
                    <w:rPr>
                      <w:color w:val="0000FF"/>
                      <w:sz w:val="21"/>
                      <w:szCs w:val="21"/>
                    </w:rPr>
                  </w:pPr>
                  <w:r>
                    <w:rPr>
                      <w:color w:val="0000FF"/>
                      <w:sz w:val="21"/>
                      <w:szCs w:val="21"/>
                    </w:rPr>
                    <w:t>男</w:t>
                  </w:r>
                </w:p>
              </w:tc>
              <w:tc>
                <w:tcPr>
                  <w:tcW w:w="2375" w:type="dxa"/>
                  <w:tcBorders>
                    <w:tl2br w:val="nil"/>
                    <w:tr2bl w:val="nil"/>
                  </w:tcBorders>
                  <w:noWrap w:val="0"/>
                  <w:vAlign w:val="center"/>
                </w:tcPr>
                <w:p>
                  <w:pPr>
                    <w:jc w:val="center"/>
                    <w:rPr>
                      <w:color w:val="0000FF"/>
                      <w:sz w:val="21"/>
                      <w:szCs w:val="21"/>
                    </w:rPr>
                  </w:pPr>
                  <w:r>
                    <w:rPr>
                      <w:rFonts w:hint="eastAsia"/>
                      <w:color w:val="0000FF"/>
                      <w:sz w:val="21"/>
                      <w:szCs w:val="21"/>
                      <w:lang w:eastAsia="zh-CN"/>
                    </w:rPr>
                    <w:t>高塍镇塍西村</w:t>
                  </w:r>
                </w:p>
              </w:tc>
              <w:tc>
                <w:tcPr>
                  <w:tcW w:w="1983"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13961594287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spacing w:line="0" w:lineRule="atLeast"/>
                    <w:jc w:val="center"/>
                    <w:rPr>
                      <w:color w:val="0000FF"/>
                      <w:sz w:val="21"/>
                      <w:szCs w:val="21"/>
                    </w:rPr>
                  </w:pPr>
                  <w:r>
                    <w:rPr>
                      <w:color w:val="0000FF"/>
                      <w:sz w:val="21"/>
                      <w:szCs w:val="21"/>
                    </w:rPr>
                    <w:t>3</w:t>
                  </w:r>
                </w:p>
              </w:tc>
              <w:tc>
                <w:tcPr>
                  <w:tcW w:w="1486" w:type="dxa"/>
                  <w:tcBorders>
                    <w:tl2br w:val="nil"/>
                    <w:tr2bl w:val="nil"/>
                  </w:tcBorders>
                  <w:noWrap w:val="0"/>
                  <w:vAlign w:val="center"/>
                </w:tcPr>
                <w:p>
                  <w:pPr>
                    <w:jc w:val="center"/>
                    <w:rPr>
                      <w:rFonts w:hint="eastAsia" w:eastAsia="宋体"/>
                      <w:color w:val="0000FF"/>
                      <w:sz w:val="21"/>
                      <w:szCs w:val="21"/>
                      <w:lang w:eastAsia="zh-CN"/>
                    </w:rPr>
                  </w:pPr>
                  <w:r>
                    <w:rPr>
                      <w:rFonts w:hint="eastAsia" w:eastAsia="宋体"/>
                      <w:color w:val="0000FF"/>
                      <w:sz w:val="21"/>
                      <w:szCs w:val="21"/>
                      <w:lang w:eastAsia="zh-CN"/>
                    </w:rPr>
                    <w:t>周金林</w:t>
                  </w:r>
                </w:p>
              </w:tc>
              <w:tc>
                <w:tcPr>
                  <w:tcW w:w="757"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68</w:t>
                  </w:r>
                </w:p>
              </w:tc>
              <w:tc>
                <w:tcPr>
                  <w:tcW w:w="755" w:type="dxa"/>
                  <w:tcBorders>
                    <w:tl2br w:val="nil"/>
                    <w:tr2bl w:val="nil"/>
                  </w:tcBorders>
                  <w:noWrap w:val="0"/>
                  <w:vAlign w:val="center"/>
                </w:tcPr>
                <w:p>
                  <w:pPr>
                    <w:jc w:val="center"/>
                    <w:rPr>
                      <w:rFonts w:hint="eastAsia" w:eastAsia="宋体"/>
                      <w:color w:val="0000FF"/>
                      <w:sz w:val="21"/>
                      <w:szCs w:val="21"/>
                      <w:lang w:eastAsia="zh-CN"/>
                    </w:rPr>
                  </w:pPr>
                  <w:r>
                    <w:rPr>
                      <w:rFonts w:hint="eastAsia"/>
                      <w:color w:val="0000FF"/>
                      <w:sz w:val="21"/>
                      <w:szCs w:val="21"/>
                      <w:lang w:eastAsia="zh-CN"/>
                    </w:rPr>
                    <w:t>男</w:t>
                  </w:r>
                </w:p>
              </w:tc>
              <w:tc>
                <w:tcPr>
                  <w:tcW w:w="2375" w:type="dxa"/>
                  <w:tcBorders>
                    <w:tl2br w:val="nil"/>
                    <w:tr2bl w:val="nil"/>
                  </w:tcBorders>
                  <w:noWrap w:val="0"/>
                  <w:vAlign w:val="center"/>
                </w:tcPr>
                <w:p>
                  <w:pPr>
                    <w:jc w:val="center"/>
                    <w:rPr>
                      <w:color w:val="0000FF"/>
                      <w:sz w:val="21"/>
                      <w:szCs w:val="21"/>
                    </w:rPr>
                  </w:pPr>
                  <w:r>
                    <w:rPr>
                      <w:rFonts w:hint="eastAsia"/>
                      <w:color w:val="0000FF"/>
                      <w:sz w:val="21"/>
                      <w:szCs w:val="21"/>
                      <w:lang w:eastAsia="zh-CN"/>
                    </w:rPr>
                    <w:t>高塍镇塍西村</w:t>
                  </w:r>
                </w:p>
              </w:tc>
              <w:tc>
                <w:tcPr>
                  <w:tcW w:w="1983" w:type="dxa"/>
                  <w:tcBorders>
                    <w:tl2br w:val="nil"/>
                    <w:tr2bl w:val="nil"/>
                  </w:tcBorders>
                  <w:noWrap w:val="0"/>
                  <w:vAlign w:val="center"/>
                </w:tcPr>
                <w:p>
                  <w:pPr>
                    <w:jc w:val="center"/>
                    <w:rPr>
                      <w:rFonts w:hint="default" w:eastAsia="宋体"/>
                      <w:color w:val="0000FF"/>
                      <w:sz w:val="21"/>
                      <w:szCs w:val="21"/>
                      <w:lang w:val="en-US" w:eastAsia="zh-CN"/>
                    </w:rPr>
                  </w:pPr>
                  <w:r>
                    <w:rPr>
                      <w:rFonts w:hint="eastAsia"/>
                      <w:color w:val="0000FF"/>
                      <w:sz w:val="21"/>
                      <w:szCs w:val="21"/>
                      <w:lang w:val="en-US" w:eastAsia="zh-CN"/>
                    </w:rPr>
                    <w:t>13921373004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spacing w:line="0" w:lineRule="atLeast"/>
                    <w:jc w:val="center"/>
                    <w:rPr>
                      <w:color w:val="0000FF"/>
                      <w:sz w:val="21"/>
                      <w:szCs w:val="21"/>
                    </w:rPr>
                  </w:pPr>
                  <w:r>
                    <w:rPr>
                      <w:color w:val="0000FF"/>
                      <w:sz w:val="21"/>
                      <w:szCs w:val="21"/>
                    </w:rPr>
                    <w:t>4</w:t>
                  </w:r>
                </w:p>
              </w:tc>
              <w:tc>
                <w:tcPr>
                  <w:tcW w:w="1486" w:type="dxa"/>
                  <w:tcBorders>
                    <w:tl2br w:val="nil"/>
                    <w:tr2bl w:val="nil"/>
                  </w:tcBorders>
                  <w:noWrap w:val="0"/>
                  <w:vAlign w:val="center"/>
                </w:tcPr>
                <w:p>
                  <w:pPr>
                    <w:spacing w:line="0" w:lineRule="atLeast"/>
                    <w:jc w:val="center"/>
                    <w:rPr>
                      <w:rFonts w:hint="eastAsia" w:eastAsia="宋体"/>
                      <w:color w:val="0000FF"/>
                      <w:sz w:val="21"/>
                      <w:szCs w:val="21"/>
                      <w:lang w:eastAsia="zh-CN"/>
                    </w:rPr>
                  </w:pPr>
                  <w:r>
                    <w:rPr>
                      <w:rFonts w:hint="eastAsia" w:eastAsia="宋体"/>
                      <w:color w:val="0000FF"/>
                      <w:sz w:val="21"/>
                      <w:szCs w:val="21"/>
                      <w:lang w:eastAsia="zh-CN"/>
                    </w:rPr>
                    <w:t>周余良</w:t>
                  </w:r>
                </w:p>
              </w:tc>
              <w:tc>
                <w:tcPr>
                  <w:tcW w:w="757"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79</w:t>
                  </w:r>
                </w:p>
              </w:tc>
              <w:tc>
                <w:tcPr>
                  <w:tcW w:w="755" w:type="dxa"/>
                  <w:tcBorders>
                    <w:tl2br w:val="nil"/>
                    <w:tr2bl w:val="nil"/>
                  </w:tcBorders>
                  <w:noWrap w:val="0"/>
                  <w:vAlign w:val="center"/>
                </w:tcPr>
                <w:p>
                  <w:pPr>
                    <w:spacing w:line="0" w:lineRule="atLeast"/>
                    <w:jc w:val="center"/>
                    <w:rPr>
                      <w:color w:val="0000FF"/>
                      <w:sz w:val="21"/>
                      <w:szCs w:val="21"/>
                    </w:rPr>
                  </w:pPr>
                  <w:r>
                    <w:rPr>
                      <w:color w:val="0000FF"/>
                      <w:sz w:val="21"/>
                      <w:szCs w:val="21"/>
                    </w:rPr>
                    <w:t>男</w:t>
                  </w:r>
                </w:p>
              </w:tc>
              <w:tc>
                <w:tcPr>
                  <w:tcW w:w="2375" w:type="dxa"/>
                  <w:tcBorders>
                    <w:tl2br w:val="nil"/>
                    <w:tr2bl w:val="nil"/>
                  </w:tcBorders>
                  <w:noWrap w:val="0"/>
                  <w:vAlign w:val="center"/>
                </w:tcPr>
                <w:p>
                  <w:pPr>
                    <w:spacing w:line="0" w:lineRule="atLeast"/>
                    <w:jc w:val="center"/>
                    <w:rPr>
                      <w:color w:val="0000FF"/>
                      <w:sz w:val="21"/>
                      <w:szCs w:val="21"/>
                    </w:rPr>
                  </w:pPr>
                  <w:r>
                    <w:rPr>
                      <w:rFonts w:hint="eastAsia"/>
                      <w:color w:val="0000FF"/>
                      <w:sz w:val="21"/>
                      <w:szCs w:val="21"/>
                      <w:lang w:eastAsia="zh-CN"/>
                    </w:rPr>
                    <w:t>高塍镇塍西村</w:t>
                  </w:r>
                </w:p>
              </w:tc>
              <w:tc>
                <w:tcPr>
                  <w:tcW w:w="1983"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13222819485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l2br w:val="nil"/>
                    <w:tr2bl w:val="nil"/>
                  </w:tcBorders>
                  <w:noWrap w:val="0"/>
                  <w:vAlign w:val="center"/>
                </w:tcPr>
                <w:p>
                  <w:pPr>
                    <w:spacing w:line="0" w:lineRule="atLeast"/>
                    <w:jc w:val="center"/>
                    <w:rPr>
                      <w:rFonts w:hint="eastAsia" w:eastAsia="宋体"/>
                      <w:color w:val="0000FF"/>
                      <w:sz w:val="21"/>
                      <w:szCs w:val="21"/>
                      <w:lang w:val="en-US" w:eastAsia="zh-CN"/>
                    </w:rPr>
                  </w:pPr>
                  <w:r>
                    <w:rPr>
                      <w:rFonts w:hint="eastAsia"/>
                      <w:color w:val="0000FF"/>
                      <w:sz w:val="21"/>
                      <w:szCs w:val="21"/>
                      <w:lang w:val="en-US" w:eastAsia="zh-CN"/>
                    </w:rPr>
                    <w:t>5</w:t>
                  </w:r>
                </w:p>
              </w:tc>
              <w:tc>
                <w:tcPr>
                  <w:tcW w:w="1486" w:type="dxa"/>
                  <w:tcBorders>
                    <w:tl2br w:val="nil"/>
                    <w:tr2bl w:val="nil"/>
                  </w:tcBorders>
                  <w:noWrap w:val="0"/>
                  <w:vAlign w:val="center"/>
                </w:tcPr>
                <w:p>
                  <w:pPr>
                    <w:spacing w:line="0" w:lineRule="atLeast"/>
                    <w:jc w:val="center"/>
                    <w:rPr>
                      <w:rFonts w:hint="eastAsia" w:eastAsia="宋体"/>
                      <w:color w:val="0000FF"/>
                      <w:sz w:val="21"/>
                      <w:szCs w:val="21"/>
                      <w:lang w:eastAsia="zh-CN"/>
                    </w:rPr>
                  </w:pPr>
                  <w:r>
                    <w:rPr>
                      <w:rFonts w:hint="eastAsia" w:eastAsia="宋体"/>
                      <w:color w:val="0000FF"/>
                      <w:sz w:val="21"/>
                      <w:szCs w:val="21"/>
                      <w:lang w:eastAsia="zh-CN"/>
                    </w:rPr>
                    <w:t>王美华</w:t>
                  </w:r>
                </w:p>
              </w:tc>
              <w:tc>
                <w:tcPr>
                  <w:tcW w:w="757"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57</w:t>
                  </w:r>
                </w:p>
              </w:tc>
              <w:tc>
                <w:tcPr>
                  <w:tcW w:w="755" w:type="dxa"/>
                  <w:tcBorders>
                    <w:tl2br w:val="nil"/>
                    <w:tr2bl w:val="nil"/>
                  </w:tcBorders>
                  <w:noWrap w:val="0"/>
                  <w:vAlign w:val="center"/>
                </w:tcPr>
                <w:p>
                  <w:pPr>
                    <w:spacing w:line="0" w:lineRule="atLeast"/>
                    <w:jc w:val="center"/>
                    <w:rPr>
                      <w:rFonts w:hint="eastAsia" w:eastAsia="宋体"/>
                      <w:color w:val="0000FF"/>
                      <w:sz w:val="21"/>
                      <w:szCs w:val="21"/>
                      <w:lang w:eastAsia="zh-CN"/>
                    </w:rPr>
                  </w:pPr>
                  <w:r>
                    <w:rPr>
                      <w:rFonts w:hint="eastAsia"/>
                      <w:color w:val="0000FF"/>
                      <w:sz w:val="21"/>
                      <w:szCs w:val="21"/>
                      <w:lang w:eastAsia="zh-CN"/>
                    </w:rPr>
                    <w:t>男</w:t>
                  </w:r>
                </w:p>
              </w:tc>
              <w:tc>
                <w:tcPr>
                  <w:tcW w:w="2375" w:type="dxa"/>
                  <w:tcBorders>
                    <w:tl2br w:val="nil"/>
                    <w:tr2bl w:val="nil"/>
                  </w:tcBorders>
                  <w:noWrap w:val="0"/>
                  <w:vAlign w:val="center"/>
                </w:tcPr>
                <w:p>
                  <w:pPr>
                    <w:jc w:val="center"/>
                    <w:rPr>
                      <w:rFonts w:hint="eastAsia"/>
                      <w:color w:val="0000FF"/>
                      <w:sz w:val="21"/>
                      <w:szCs w:val="21"/>
                      <w:lang w:eastAsia="zh-CN"/>
                    </w:rPr>
                  </w:pPr>
                  <w:r>
                    <w:rPr>
                      <w:rFonts w:hint="eastAsia"/>
                      <w:color w:val="0000FF"/>
                      <w:sz w:val="21"/>
                      <w:szCs w:val="21"/>
                      <w:lang w:eastAsia="zh-CN"/>
                    </w:rPr>
                    <w:t>高塍镇塍西村</w:t>
                  </w:r>
                </w:p>
              </w:tc>
              <w:tc>
                <w:tcPr>
                  <w:tcW w:w="1983"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13222819653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9" w:type="dxa"/>
                  <w:tcBorders>
                    <w:tl2br w:val="nil"/>
                    <w:tr2bl w:val="nil"/>
                  </w:tcBorders>
                  <w:noWrap w:val="0"/>
                  <w:vAlign w:val="center"/>
                </w:tcPr>
                <w:p>
                  <w:pPr>
                    <w:spacing w:line="0" w:lineRule="atLeast"/>
                    <w:jc w:val="center"/>
                    <w:rPr>
                      <w:rFonts w:hint="eastAsia" w:eastAsia="宋体"/>
                      <w:color w:val="0000FF"/>
                      <w:sz w:val="21"/>
                      <w:szCs w:val="21"/>
                      <w:lang w:val="en-US" w:eastAsia="zh-CN"/>
                    </w:rPr>
                  </w:pPr>
                  <w:r>
                    <w:rPr>
                      <w:rFonts w:hint="eastAsia"/>
                      <w:color w:val="0000FF"/>
                      <w:sz w:val="21"/>
                      <w:szCs w:val="21"/>
                      <w:lang w:val="en-US" w:eastAsia="zh-CN"/>
                    </w:rPr>
                    <w:t>6</w:t>
                  </w:r>
                </w:p>
              </w:tc>
              <w:tc>
                <w:tcPr>
                  <w:tcW w:w="1486" w:type="dxa"/>
                  <w:tcBorders>
                    <w:tl2br w:val="nil"/>
                    <w:tr2bl w:val="nil"/>
                  </w:tcBorders>
                  <w:noWrap w:val="0"/>
                  <w:vAlign w:val="center"/>
                </w:tcPr>
                <w:p>
                  <w:pPr>
                    <w:spacing w:line="0" w:lineRule="atLeast"/>
                    <w:jc w:val="center"/>
                    <w:rPr>
                      <w:rFonts w:hint="eastAsia" w:eastAsia="宋体"/>
                      <w:color w:val="0000FF"/>
                      <w:sz w:val="21"/>
                      <w:szCs w:val="21"/>
                      <w:lang w:eastAsia="zh-CN"/>
                    </w:rPr>
                  </w:pPr>
                  <w:r>
                    <w:rPr>
                      <w:rFonts w:hint="eastAsia" w:eastAsia="宋体"/>
                      <w:color w:val="0000FF"/>
                      <w:sz w:val="21"/>
                      <w:szCs w:val="21"/>
                      <w:lang w:eastAsia="zh-CN"/>
                    </w:rPr>
                    <w:t>周锡林</w:t>
                  </w:r>
                </w:p>
              </w:tc>
              <w:tc>
                <w:tcPr>
                  <w:tcW w:w="757"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56</w:t>
                  </w:r>
                </w:p>
              </w:tc>
              <w:tc>
                <w:tcPr>
                  <w:tcW w:w="755" w:type="dxa"/>
                  <w:tcBorders>
                    <w:tl2br w:val="nil"/>
                    <w:tr2bl w:val="nil"/>
                  </w:tcBorders>
                  <w:noWrap w:val="0"/>
                  <w:vAlign w:val="center"/>
                </w:tcPr>
                <w:p>
                  <w:pPr>
                    <w:spacing w:line="0" w:lineRule="atLeast"/>
                    <w:jc w:val="center"/>
                    <w:rPr>
                      <w:rFonts w:hint="eastAsia" w:eastAsia="宋体"/>
                      <w:color w:val="0000FF"/>
                      <w:sz w:val="21"/>
                      <w:szCs w:val="21"/>
                      <w:lang w:eastAsia="zh-CN"/>
                    </w:rPr>
                  </w:pPr>
                  <w:r>
                    <w:rPr>
                      <w:rFonts w:hint="eastAsia"/>
                      <w:color w:val="0000FF"/>
                      <w:sz w:val="21"/>
                      <w:szCs w:val="21"/>
                      <w:lang w:eastAsia="zh-CN"/>
                    </w:rPr>
                    <w:t>男</w:t>
                  </w:r>
                </w:p>
              </w:tc>
              <w:tc>
                <w:tcPr>
                  <w:tcW w:w="2375" w:type="dxa"/>
                  <w:tcBorders>
                    <w:tl2br w:val="nil"/>
                    <w:tr2bl w:val="nil"/>
                  </w:tcBorders>
                  <w:noWrap w:val="0"/>
                  <w:vAlign w:val="center"/>
                </w:tcPr>
                <w:p>
                  <w:pPr>
                    <w:jc w:val="center"/>
                    <w:rPr>
                      <w:rFonts w:hint="eastAsia"/>
                      <w:color w:val="0000FF"/>
                      <w:sz w:val="21"/>
                      <w:szCs w:val="21"/>
                      <w:lang w:eastAsia="zh-CN"/>
                    </w:rPr>
                  </w:pPr>
                  <w:r>
                    <w:rPr>
                      <w:rFonts w:hint="eastAsia"/>
                      <w:color w:val="0000FF"/>
                      <w:sz w:val="21"/>
                      <w:szCs w:val="21"/>
                      <w:lang w:eastAsia="zh-CN"/>
                    </w:rPr>
                    <w:t>高塍镇塍西村</w:t>
                  </w:r>
                </w:p>
              </w:tc>
              <w:tc>
                <w:tcPr>
                  <w:tcW w:w="1983" w:type="dxa"/>
                  <w:tcBorders>
                    <w:tl2br w:val="nil"/>
                    <w:tr2bl w:val="nil"/>
                  </w:tcBorders>
                  <w:noWrap w:val="0"/>
                  <w:vAlign w:val="center"/>
                </w:tcPr>
                <w:p>
                  <w:pPr>
                    <w:spacing w:line="0" w:lineRule="atLeast"/>
                    <w:jc w:val="center"/>
                    <w:rPr>
                      <w:rFonts w:hint="default" w:eastAsia="宋体"/>
                      <w:color w:val="0000FF"/>
                      <w:sz w:val="21"/>
                      <w:szCs w:val="21"/>
                      <w:lang w:val="en-US" w:eastAsia="zh-CN"/>
                    </w:rPr>
                  </w:pPr>
                  <w:r>
                    <w:rPr>
                      <w:rFonts w:hint="eastAsia"/>
                      <w:color w:val="0000FF"/>
                      <w:sz w:val="21"/>
                      <w:szCs w:val="21"/>
                      <w:lang w:val="en-US" w:eastAsia="zh-CN"/>
                    </w:rPr>
                    <w:t>18795699534</w:t>
                  </w:r>
                </w:p>
              </w:tc>
            </w:tr>
          </w:tbl>
          <w:p>
            <w:pPr>
              <w:numPr>
                <w:ilvl w:val="0"/>
                <w:numId w:val="0"/>
              </w:numPr>
              <w:adjustRightInd w:val="0"/>
              <w:snapToGrid w:val="0"/>
              <w:ind w:leftChars="0"/>
              <w:jc w:val="center"/>
              <w:rPr>
                <w:b/>
                <w:color w:val="000000"/>
                <w:sz w:val="24"/>
                <w:szCs w:val="24"/>
              </w:rPr>
            </w:pPr>
            <w:r>
              <w:rPr>
                <w:rFonts w:hint="eastAsia"/>
                <w:b/>
                <w:color w:val="000000"/>
                <w:sz w:val="24"/>
                <w:szCs w:val="24"/>
                <w:lang w:val="en-US" w:eastAsia="zh-CN"/>
              </w:rPr>
              <w:t xml:space="preserve">表7-13   </w:t>
            </w:r>
            <w:r>
              <w:rPr>
                <w:b/>
                <w:color w:val="000000"/>
                <w:sz w:val="24"/>
                <w:szCs w:val="24"/>
              </w:rPr>
              <w:t>问卷调查统计结果表</w:t>
            </w:r>
          </w:p>
          <w:tbl>
            <w:tblPr>
              <w:tblStyle w:val="75"/>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05"/>
              <w:gridCol w:w="2485"/>
              <w:gridCol w:w="1024"/>
              <w:gridCol w:w="254"/>
              <w:gridCol w:w="427"/>
              <w:gridCol w:w="341"/>
              <w:gridCol w:w="510"/>
              <w:gridCol w:w="514"/>
              <w:gridCol w:w="341"/>
              <w:gridCol w:w="424"/>
              <w:gridCol w:w="258"/>
              <w:gridCol w:w="10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4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序号</w:t>
                  </w:r>
                </w:p>
              </w:tc>
              <w:tc>
                <w:tcPr>
                  <w:tcW w:w="1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问  题</w:t>
                  </w:r>
                </w:p>
              </w:tc>
              <w:tc>
                <w:tcPr>
                  <w:tcW w:w="3080" w:type="pct"/>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回 答 人 数(人)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4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1</w:t>
                  </w:r>
                </w:p>
              </w:tc>
              <w:tc>
                <w:tcPr>
                  <w:tcW w:w="14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您对环境质量现状是否满意</w:t>
                  </w:r>
                </w:p>
              </w:tc>
              <w:tc>
                <w:tcPr>
                  <w:tcW w:w="76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很满意</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较满意</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不满意</w:t>
                  </w:r>
                </w:p>
              </w:tc>
              <w:tc>
                <w:tcPr>
                  <w:tcW w:w="77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很不满意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14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76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4</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6</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0</w:t>
                  </w:r>
                </w:p>
              </w:tc>
              <w:tc>
                <w:tcPr>
                  <w:tcW w:w="77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2</w:t>
                  </w:r>
                </w:p>
              </w:tc>
              <w:tc>
                <w:tcPr>
                  <w:tcW w:w="14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您是否知道/了解拟建项目</w:t>
                  </w:r>
                </w:p>
              </w:tc>
              <w:tc>
                <w:tcPr>
                  <w:tcW w:w="102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不了解</w:t>
                  </w:r>
                </w:p>
              </w:tc>
              <w:tc>
                <w:tcPr>
                  <w:tcW w:w="1026"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 xml:space="preserve"> 知道一点</w:t>
                  </w:r>
                </w:p>
              </w:tc>
              <w:tc>
                <w:tcPr>
                  <w:tcW w:w="102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很清楚</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14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102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0</w:t>
                  </w:r>
                </w:p>
              </w:tc>
              <w:tc>
                <w:tcPr>
                  <w:tcW w:w="1026"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3</w:t>
                  </w:r>
                </w:p>
              </w:tc>
              <w:tc>
                <w:tcPr>
                  <w:tcW w:w="102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3</w:t>
                  </w:r>
                </w:p>
              </w:tc>
              <w:tc>
                <w:tcPr>
                  <w:tcW w:w="14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您认为该项目对环境质量危害影响是</w:t>
                  </w:r>
                </w:p>
              </w:tc>
              <w:tc>
                <w:tcPr>
                  <w:tcW w:w="6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严重</w:t>
                  </w:r>
                </w:p>
              </w:tc>
              <w:tc>
                <w:tcPr>
                  <w:tcW w:w="61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较大</w:t>
                  </w:r>
                </w:p>
              </w:tc>
              <w:tc>
                <w:tcPr>
                  <w:tcW w:w="61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一般</w:t>
                  </w:r>
                </w:p>
              </w:tc>
              <w:tc>
                <w:tcPr>
                  <w:tcW w:w="61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较小</w:t>
                  </w:r>
                </w:p>
              </w:tc>
              <w:tc>
                <w:tcPr>
                  <w:tcW w:w="6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不清楚</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14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6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0</w:t>
                  </w:r>
                </w:p>
              </w:tc>
              <w:tc>
                <w:tcPr>
                  <w:tcW w:w="61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0</w:t>
                  </w:r>
                </w:p>
              </w:tc>
              <w:tc>
                <w:tcPr>
                  <w:tcW w:w="61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4</w:t>
                  </w:r>
                </w:p>
              </w:tc>
              <w:tc>
                <w:tcPr>
                  <w:tcW w:w="61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5</w:t>
                  </w:r>
                </w:p>
              </w:tc>
              <w:tc>
                <w:tcPr>
                  <w:tcW w:w="6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4</w:t>
                  </w:r>
                </w:p>
              </w:tc>
              <w:tc>
                <w:tcPr>
                  <w:tcW w:w="14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从环保角度出发，您对该项目持何种态度</w:t>
                  </w:r>
                </w:p>
              </w:tc>
              <w:tc>
                <w:tcPr>
                  <w:tcW w:w="76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坚决支持</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有条件赞成</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无所谓</w:t>
                  </w:r>
                </w:p>
              </w:tc>
              <w:tc>
                <w:tcPr>
                  <w:tcW w:w="77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反对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97" w:hRule="atLeast"/>
              </w:trPr>
              <w:tc>
                <w:tcPr>
                  <w:tcW w:w="4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14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p>
              </w:tc>
              <w:tc>
                <w:tcPr>
                  <w:tcW w:w="76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2</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6</w:t>
                  </w:r>
                </w:p>
              </w:tc>
              <w:tc>
                <w:tcPr>
                  <w:tcW w:w="76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FF"/>
                      <w:sz w:val="21"/>
                      <w:szCs w:val="21"/>
                      <w:lang w:eastAsia="zh-CN"/>
                    </w:rPr>
                  </w:pPr>
                  <w:r>
                    <w:rPr>
                      <w:rFonts w:hint="eastAsia"/>
                      <w:color w:val="0000FF"/>
                      <w:sz w:val="21"/>
                      <w:szCs w:val="21"/>
                      <w:lang w:val="en-US" w:eastAsia="zh-CN"/>
                    </w:rPr>
                    <w:t>2</w:t>
                  </w:r>
                </w:p>
              </w:tc>
              <w:tc>
                <w:tcPr>
                  <w:tcW w:w="77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FF"/>
                      <w:sz w:val="21"/>
                      <w:szCs w:val="21"/>
                    </w:rPr>
                  </w:pPr>
                  <w:r>
                    <w:rPr>
                      <w:color w:val="0000FF"/>
                      <w:sz w:val="21"/>
                      <w:szCs w:val="21"/>
                    </w:rPr>
                    <w:t>0</w:t>
                  </w:r>
                </w:p>
              </w:tc>
            </w:tr>
          </w:tbl>
          <w:p>
            <w:pPr>
              <w:spacing w:before="156" w:beforeLines="50" w:line="360" w:lineRule="auto"/>
              <w:ind w:firstLine="480" w:firstLineChars="200"/>
              <w:rPr>
                <w:color w:val="000000"/>
                <w:sz w:val="24"/>
                <w:szCs w:val="20"/>
              </w:rPr>
            </w:pPr>
            <w:r>
              <w:rPr>
                <w:color w:val="000000"/>
                <w:sz w:val="24"/>
                <w:szCs w:val="20"/>
              </w:rPr>
              <w:t>调查结果：</w:t>
            </w:r>
          </w:p>
          <w:p>
            <w:pPr>
              <w:numPr>
                <w:ilvl w:val="0"/>
                <w:numId w:val="15"/>
              </w:numPr>
              <w:spacing w:line="360" w:lineRule="auto"/>
              <w:ind w:firstLine="480" w:firstLineChars="200"/>
              <w:rPr>
                <w:color w:val="000000"/>
                <w:sz w:val="24"/>
                <w:szCs w:val="20"/>
              </w:rPr>
            </w:pPr>
            <w:r>
              <w:rPr>
                <w:color w:val="000000"/>
                <w:sz w:val="24"/>
                <w:szCs w:val="20"/>
              </w:rPr>
              <w:t>从调查结果可以看出，调查对象对环境质量现状</w:t>
            </w:r>
            <w:r>
              <w:rPr>
                <w:rFonts w:hint="eastAsia"/>
                <w:color w:val="000000"/>
                <w:sz w:val="24"/>
                <w:szCs w:val="20"/>
                <w:lang w:eastAsia="zh-CN"/>
              </w:rPr>
              <w:t>基本</w:t>
            </w:r>
            <w:r>
              <w:rPr>
                <w:color w:val="000000"/>
                <w:sz w:val="24"/>
                <w:szCs w:val="20"/>
              </w:rPr>
              <w:t>表示较满意，无不满意等意见。</w:t>
            </w:r>
          </w:p>
          <w:p>
            <w:pPr>
              <w:numPr>
                <w:ilvl w:val="0"/>
                <w:numId w:val="15"/>
              </w:numPr>
              <w:spacing w:line="360" w:lineRule="auto"/>
              <w:ind w:firstLine="480" w:firstLineChars="200"/>
              <w:rPr>
                <w:color w:val="000000"/>
                <w:sz w:val="24"/>
                <w:szCs w:val="20"/>
              </w:rPr>
            </w:pPr>
            <w:r>
              <w:rPr>
                <w:color w:val="000000"/>
                <w:sz w:val="24"/>
                <w:szCs w:val="20"/>
              </w:rPr>
              <w:t>由于本项目建在相邻，调查对象均表示知道一点。</w:t>
            </w:r>
          </w:p>
          <w:p>
            <w:pPr>
              <w:spacing w:line="360" w:lineRule="auto"/>
              <w:ind w:firstLine="480" w:firstLineChars="200"/>
              <w:rPr>
                <w:color w:val="000000"/>
                <w:sz w:val="24"/>
                <w:szCs w:val="20"/>
              </w:rPr>
            </w:pPr>
            <w:r>
              <w:rPr>
                <w:color w:val="000000"/>
                <w:sz w:val="24"/>
                <w:szCs w:val="20"/>
              </w:rPr>
              <w:t>（3）调查对象均认为该项目对环境质量影响</w:t>
            </w:r>
            <w:r>
              <w:rPr>
                <w:rFonts w:hint="eastAsia"/>
                <w:color w:val="000000"/>
                <w:sz w:val="24"/>
                <w:szCs w:val="20"/>
                <w:lang w:eastAsia="zh-CN"/>
              </w:rPr>
              <w:t>一般或</w:t>
            </w:r>
            <w:r>
              <w:rPr>
                <w:color w:val="000000"/>
                <w:sz w:val="24"/>
                <w:szCs w:val="20"/>
              </w:rPr>
              <w:t>较小，无人认为该项目对环境的影响较大或严重。</w:t>
            </w:r>
          </w:p>
          <w:p>
            <w:pPr>
              <w:spacing w:line="360" w:lineRule="auto"/>
              <w:ind w:firstLine="480" w:firstLineChars="200"/>
              <w:outlineLvl w:val="0"/>
              <w:rPr>
                <w:color w:val="000000"/>
                <w:sz w:val="24"/>
                <w:szCs w:val="20"/>
              </w:rPr>
            </w:pPr>
            <w:r>
              <w:rPr>
                <w:color w:val="000000"/>
                <w:sz w:val="24"/>
                <w:szCs w:val="20"/>
              </w:rPr>
              <w:t>（4）调查对象对本项目的建设</w:t>
            </w:r>
            <w:r>
              <w:rPr>
                <w:color w:val="000000"/>
                <w:sz w:val="24"/>
              </w:rPr>
              <w:t>持坚决支持</w:t>
            </w:r>
            <w:r>
              <w:rPr>
                <w:rFonts w:hint="eastAsia"/>
                <w:color w:val="000000"/>
                <w:sz w:val="24"/>
                <w:lang w:val="en-US" w:eastAsia="zh-CN"/>
              </w:rPr>
              <w:t>1</w:t>
            </w:r>
            <w:r>
              <w:rPr>
                <w:color w:val="000000"/>
                <w:sz w:val="24"/>
                <w:szCs w:val="20"/>
              </w:rPr>
              <w:t>户，</w:t>
            </w:r>
            <w:r>
              <w:rPr>
                <w:rFonts w:hint="eastAsia"/>
                <w:color w:val="000000"/>
                <w:sz w:val="24"/>
                <w:szCs w:val="20"/>
                <w:lang w:val="en-US" w:eastAsia="zh-CN"/>
              </w:rPr>
              <w:t>1</w:t>
            </w:r>
            <w:r>
              <w:rPr>
                <w:color w:val="000000"/>
                <w:sz w:val="24"/>
                <w:szCs w:val="20"/>
              </w:rPr>
              <w:t>户表示无所谓，无人反对。</w:t>
            </w:r>
          </w:p>
          <w:p>
            <w:pPr>
              <w:snapToGrid w:val="0"/>
              <w:spacing w:line="360" w:lineRule="auto"/>
              <w:ind w:firstLine="480" w:firstLineChars="200"/>
              <w:rPr>
                <w:rFonts w:hint="eastAsia"/>
                <w:color w:val="000000"/>
                <w:sz w:val="24"/>
              </w:rPr>
            </w:pPr>
            <w:r>
              <w:rPr>
                <w:color w:val="000000"/>
                <w:sz w:val="24"/>
                <w:szCs w:val="20"/>
              </w:rPr>
              <w:t>从上述调查结果情况看，本项目的建设得到了相邻范围内居民的支持，无人提出反对意见。因此，本项目建设是可行的。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
                <w:color w:val="000000" w:themeColor="text1"/>
                <w:sz w:val="24"/>
                <w:szCs w:val="24"/>
                <w:lang w:val="en-US"/>
              </w:rPr>
            </w:pPr>
            <w:r>
              <w:rPr>
                <w:rFonts w:hint="eastAsia" w:ascii="Times New Roman" w:hAnsi="Times New Roman" w:cs="Times New Roman" w:eastAsiaTheme="minorEastAsia"/>
                <w:b/>
                <w:color w:val="000000" w:themeColor="text1"/>
                <w:sz w:val="24"/>
                <w:szCs w:val="24"/>
                <w:lang w:val="en-US"/>
              </w:rPr>
              <w:t>表7-1</w:t>
            </w:r>
            <w:r>
              <w:rPr>
                <w:rFonts w:hint="eastAsia" w:cs="Times New Roman" w:eastAsiaTheme="minorEastAsia"/>
                <w:b/>
                <w:color w:val="000000" w:themeColor="text1"/>
                <w:sz w:val="24"/>
                <w:szCs w:val="24"/>
                <w:lang w:val="en-US" w:eastAsia="zh-CN"/>
              </w:rPr>
              <w:t>2</w:t>
            </w:r>
            <w:r>
              <w:rPr>
                <w:rFonts w:hint="eastAsia" w:ascii="Times New Roman" w:hAnsi="Times New Roman" w:cs="Times New Roman" w:eastAsiaTheme="minorEastAsia"/>
                <w:b/>
                <w:color w:val="000000" w:themeColor="text1"/>
                <w:sz w:val="24"/>
                <w:szCs w:val="24"/>
                <w:lang w:val="en-US"/>
              </w:rPr>
              <w:t xml:space="preserve">  建设项目大气环境影响评价自查表</w:t>
            </w:r>
          </w:p>
          <w:tbl>
            <w:tblPr>
              <w:tblStyle w:val="75"/>
              <w:tblW w:w="85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002"/>
              <w:gridCol w:w="1153"/>
              <w:gridCol w:w="100"/>
              <w:gridCol w:w="368"/>
              <w:gridCol w:w="75"/>
              <w:gridCol w:w="100"/>
              <w:gridCol w:w="236"/>
              <w:gridCol w:w="190"/>
              <w:gridCol w:w="66"/>
              <w:gridCol w:w="40"/>
              <w:gridCol w:w="951"/>
              <w:gridCol w:w="196"/>
              <w:gridCol w:w="184"/>
              <w:gridCol w:w="146"/>
              <w:gridCol w:w="147"/>
              <w:gridCol w:w="944"/>
              <w:gridCol w:w="239"/>
              <w:gridCol w:w="268"/>
              <w:gridCol w:w="82"/>
              <w:gridCol w:w="64"/>
              <w:gridCol w:w="74"/>
              <w:gridCol w:w="435"/>
              <w:gridCol w:w="392"/>
              <w:gridCol w:w="39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657" w:type="dxa"/>
                  <w:gridSpan w:val="2"/>
                  <w:vAlign w:val="center"/>
                </w:tcPr>
                <w:p>
                  <w:pPr>
                    <w:adjustRightInd w:val="0"/>
                    <w:snapToGrid w:val="0"/>
                    <w:spacing w:line="240" w:lineRule="exact"/>
                    <w:jc w:val="center"/>
                    <w:rPr>
                      <w:b/>
                    </w:rPr>
                  </w:pPr>
                  <w:r>
                    <w:rPr>
                      <w:b/>
                    </w:rPr>
                    <w:t>工作内容</w:t>
                  </w:r>
                </w:p>
              </w:tc>
              <w:tc>
                <w:tcPr>
                  <w:tcW w:w="6849" w:type="dxa"/>
                  <w:gridSpan w:val="23"/>
                  <w:vAlign w:val="center"/>
                </w:tcPr>
                <w:p>
                  <w:pPr>
                    <w:adjustRightInd w:val="0"/>
                    <w:snapToGrid w:val="0"/>
                    <w:spacing w:line="240" w:lineRule="exact"/>
                    <w:jc w:val="center"/>
                    <w:rPr>
                      <w:b/>
                    </w:rPr>
                  </w:pPr>
                  <w:r>
                    <w:rPr>
                      <w:b/>
                    </w:rPr>
                    <w:t>自查项目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1" w:type="dxa"/>
                  <w:vMerge w:val="restart"/>
                  <w:vAlign w:val="center"/>
                </w:tcPr>
                <w:p>
                  <w:pPr>
                    <w:adjustRightInd w:val="0"/>
                    <w:snapToGrid w:val="0"/>
                    <w:spacing w:line="240" w:lineRule="exact"/>
                    <w:ind w:left="-80" w:leftChars="-38" w:right="-63" w:rightChars="-30"/>
                    <w:jc w:val="center"/>
                    <w:rPr>
                      <w:b/>
                    </w:rPr>
                  </w:pPr>
                  <w:r>
                    <w:rPr>
                      <w:b/>
                      <w:sz w:val="18"/>
                      <w:szCs w:val="18"/>
                    </w:rPr>
                    <w:t>评价等级与范围</w:t>
                  </w:r>
                </w:p>
              </w:tc>
              <w:tc>
                <w:tcPr>
                  <w:tcW w:w="1176" w:type="dxa"/>
                  <w:vAlign w:val="center"/>
                </w:tcPr>
                <w:p>
                  <w:pPr>
                    <w:adjustRightInd w:val="0"/>
                    <w:snapToGrid w:val="0"/>
                    <w:spacing w:line="240" w:lineRule="exact"/>
                    <w:jc w:val="center"/>
                    <w:rPr>
                      <w:b/>
                    </w:rPr>
                  </w:pPr>
                  <w:r>
                    <w:rPr>
                      <w:b/>
                    </w:rPr>
                    <w:t>评价等级</w:t>
                  </w:r>
                </w:p>
              </w:tc>
              <w:tc>
                <w:tcPr>
                  <w:tcW w:w="2373" w:type="dxa"/>
                  <w:gridSpan w:val="9"/>
                  <w:vAlign w:val="center"/>
                </w:tcPr>
                <w:p>
                  <w:pPr>
                    <w:adjustRightInd w:val="0"/>
                    <w:snapToGrid w:val="0"/>
                    <w:spacing w:line="240" w:lineRule="exact"/>
                    <w:jc w:val="center"/>
                  </w:pPr>
                  <w:r>
                    <w:t>一级</w:t>
                  </w:r>
                  <w:r>
                    <w:rPr/>
                    <w:sym w:font="Wingdings 2" w:char="00A3"/>
                  </w:r>
                </w:p>
              </w:tc>
              <w:tc>
                <w:tcPr>
                  <w:tcW w:w="2982" w:type="dxa"/>
                  <w:gridSpan w:val="8"/>
                  <w:vAlign w:val="center"/>
                </w:tcPr>
                <w:p>
                  <w:pPr>
                    <w:adjustRightInd w:val="0"/>
                    <w:snapToGrid w:val="0"/>
                    <w:spacing w:line="240" w:lineRule="exact"/>
                    <w:jc w:val="center"/>
                  </w:pPr>
                  <w:r>
                    <w:t>二级</w:t>
                  </w:r>
                  <w:r>
                    <w:fldChar w:fldCharType="begin"/>
                  </w:r>
                  <w:r>
                    <w:instrText xml:space="preserve"> eq \o\ac(</w:instrText>
                  </w:r>
                  <w:r>
                    <w:rPr>
                      <w:position w:val="-4"/>
                      <w:sz w:val="31"/>
                    </w:rPr>
                    <w:instrText xml:space="preserve">□</w:instrText>
                  </w:r>
                  <w:r>
                    <w:instrText xml:space="preserve">)</w:instrText>
                  </w:r>
                  <w:r>
                    <w:fldChar w:fldCharType="end"/>
                  </w:r>
                </w:p>
              </w:tc>
              <w:tc>
                <w:tcPr>
                  <w:tcW w:w="1494" w:type="dxa"/>
                  <w:gridSpan w:val="6"/>
                  <w:vAlign w:val="center"/>
                </w:tcPr>
                <w:p>
                  <w:pPr>
                    <w:adjustRightInd w:val="0"/>
                    <w:snapToGrid w:val="0"/>
                    <w:spacing w:line="240" w:lineRule="exact"/>
                    <w:jc w:val="center"/>
                  </w:pPr>
                  <w:r>
                    <w:t>三级</w:t>
                  </w:r>
                  <w:r>
                    <w:rPr/>
                    <w:sym w:font="Wingdings 2" w:char="0052"/>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jc w:val="center"/>
                    <w:rPr>
                      <w:b/>
                    </w:rPr>
                  </w:pPr>
                  <w:r>
                    <w:rPr>
                      <w:b/>
                    </w:rPr>
                    <w:t>评价范围</w:t>
                  </w:r>
                </w:p>
              </w:tc>
              <w:tc>
                <w:tcPr>
                  <w:tcW w:w="2373" w:type="dxa"/>
                  <w:gridSpan w:val="9"/>
                  <w:vAlign w:val="center"/>
                </w:tcPr>
                <w:p>
                  <w:pPr>
                    <w:adjustRightInd w:val="0"/>
                    <w:snapToGrid w:val="0"/>
                    <w:spacing w:line="240" w:lineRule="exact"/>
                    <w:jc w:val="center"/>
                  </w:pPr>
                  <w:r>
                    <w:t>边长=50km□</w:t>
                  </w:r>
                </w:p>
              </w:tc>
              <w:tc>
                <w:tcPr>
                  <w:tcW w:w="2982" w:type="dxa"/>
                  <w:gridSpan w:val="8"/>
                  <w:vAlign w:val="center"/>
                </w:tcPr>
                <w:p>
                  <w:pPr>
                    <w:adjustRightInd w:val="0"/>
                    <w:snapToGrid w:val="0"/>
                    <w:spacing w:line="240" w:lineRule="exact"/>
                    <w:jc w:val="center"/>
                  </w:pPr>
                  <w:r>
                    <w:t>边长5~50km□</w:t>
                  </w:r>
                </w:p>
              </w:tc>
              <w:tc>
                <w:tcPr>
                  <w:tcW w:w="1494" w:type="dxa"/>
                  <w:gridSpan w:val="6"/>
                  <w:vAlign w:val="center"/>
                </w:tcPr>
                <w:p>
                  <w:pPr>
                    <w:adjustRightInd w:val="0"/>
                    <w:snapToGrid w:val="0"/>
                    <w:spacing w:line="240" w:lineRule="exact"/>
                    <w:jc w:val="center"/>
                  </w:pPr>
                  <w:r>
                    <w:t>边长=5km</w:t>
                  </w:r>
                  <w:r>
                    <w:fldChar w:fldCharType="begin"/>
                  </w:r>
                  <w:r>
                    <w:instrText xml:space="preserve"> eq \o\ac(</w:instrText>
                  </w:r>
                  <w:r>
                    <w:rPr>
                      <w:position w:val="-4"/>
                      <w:sz w:val="31"/>
                    </w:rPr>
                    <w:instrText xml:space="preserve">□</w:instrText>
                  </w:r>
                  <w:r>
                    <w:instrText xml:space="preserve">,√)</w:instrText>
                  </w:r>
                  <w: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restart"/>
                  <w:vAlign w:val="center"/>
                </w:tcPr>
                <w:p>
                  <w:pPr>
                    <w:adjustRightInd w:val="0"/>
                    <w:snapToGrid w:val="0"/>
                    <w:spacing w:line="240" w:lineRule="exact"/>
                    <w:ind w:left="-80" w:leftChars="-38" w:right="-63" w:rightChars="-30"/>
                    <w:jc w:val="center"/>
                    <w:rPr>
                      <w:b/>
                    </w:rPr>
                  </w:pPr>
                  <w:r>
                    <w:rPr>
                      <w:b/>
                    </w:rPr>
                    <w:t>评价</w:t>
                  </w:r>
                </w:p>
                <w:p>
                  <w:pPr>
                    <w:adjustRightInd w:val="0"/>
                    <w:snapToGrid w:val="0"/>
                    <w:spacing w:line="240" w:lineRule="exact"/>
                    <w:ind w:left="-80" w:leftChars="-38" w:right="-63" w:rightChars="-30"/>
                    <w:jc w:val="center"/>
                    <w:rPr>
                      <w:b/>
                    </w:rPr>
                  </w:pPr>
                  <w:r>
                    <w:rPr>
                      <w:b/>
                    </w:rPr>
                    <w:t>因子</w:t>
                  </w:r>
                </w:p>
              </w:tc>
              <w:tc>
                <w:tcPr>
                  <w:tcW w:w="1176" w:type="dxa"/>
                  <w:vAlign w:val="center"/>
                </w:tcPr>
                <w:p>
                  <w:pPr>
                    <w:adjustRightInd w:val="0"/>
                    <w:snapToGrid w:val="0"/>
                    <w:spacing w:line="240" w:lineRule="exact"/>
                    <w:jc w:val="center"/>
                    <w:rPr>
                      <w:b/>
                      <w:sz w:val="11"/>
                    </w:rPr>
                  </w:pPr>
                  <w:r>
                    <w:rPr>
                      <w:b/>
                    </w:rPr>
                    <w:t>SO</w:t>
                  </w:r>
                  <w:r>
                    <w:rPr>
                      <w:b/>
                      <w:sz w:val="15"/>
                    </w:rPr>
                    <w:t>2</w:t>
                  </w:r>
                  <w:r>
                    <w:rPr>
                      <w:b/>
                    </w:rPr>
                    <w:t>+NO</w:t>
                  </w:r>
                  <w:r>
                    <w:rPr>
                      <w:b/>
                      <w:sz w:val="11"/>
                    </w:rPr>
                    <w:t>X</w:t>
                  </w:r>
                </w:p>
                <w:p>
                  <w:pPr>
                    <w:adjustRightInd w:val="0"/>
                    <w:snapToGrid w:val="0"/>
                    <w:spacing w:line="240" w:lineRule="exact"/>
                    <w:jc w:val="center"/>
                    <w:rPr>
                      <w:b/>
                    </w:rPr>
                  </w:pPr>
                  <w:r>
                    <w:rPr>
                      <w:b/>
                    </w:rPr>
                    <w:t>排放量</w:t>
                  </w:r>
                </w:p>
              </w:tc>
              <w:tc>
                <w:tcPr>
                  <w:tcW w:w="2373" w:type="dxa"/>
                  <w:gridSpan w:val="9"/>
                  <w:vAlign w:val="center"/>
                </w:tcPr>
                <w:p>
                  <w:pPr>
                    <w:adjustRightInd w:val="0"/>
                    <w:snapToGrid w:val="0"/>
                    <w:spacing w:line="240" w:lineRule="exact"/>
                    <w:jc w:val="center"/>
                  </w:pPr>
                  <w:r>
                    <w:t>≥2000t/a□</w:t>
                  </w:r>
                </w:p>
              </w:tc>
              <w:tc>
                <w:tcPr>
                  <w:tcW w:w="2982" w:type="dxa"/>
                  <w:gridSpan w:val="8"/>
                  <w:vAlign w:val="center"/>
                </w:tcPr>
                <w:p>
                  <w:pPr>
                    <w:adjustRightInd w:val="0"/>
                    <w:snapToGrid w:val="0"/>
                    <w:spacing w:line="240" w:lineRule="exact"/>
                    <w:jc w:val="center"/>
                  </w:pPr>
                  <w:r>
                    <w:t>500~5000t/a□</w:t>
                  </w:r>
                </w:p>
              </w:tc>
              <w:tc>
                <w:tcPr>
                  <w:tcW w:w="1494" w:type="dxa"/>
                  <w:gridSpan w:val="6"/>
                  <w:vAlign w:val="center"/>
                </w:tcPr>
                <w:p>
                  <w:pPr>
                    <w:adjustRightInd w:val="0"/>
                    <w:snapToGrid w:val="0"/>
                    <w:spacing w:line="240" w:lineRule="exact"/>
                    <w:jc w:val="center"/>
                  </w:pPr>
                  <w:r>
                    <w:t>＜500 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81" w:type="dxa"/>
                  <w:vMerge w:val="continue"/>
                  <w:vAlign w:val="center"/>
                </w:tcPr>
                <w:p>
                  <w:pPr>
                    <w:adjustRightInd w:val="0"/>
                    <w:snapToGrid w:val="0"/>
                    <w:spacing w:line="240" w:lineRule="exact"/>
                    <w:ind w:left="-80" w:leftChars="-38" w:right="-63" w:rightChars="-30"/>
                    <w:jc w:val="center"/>
                    <w:rPr>
                      <w:b/>
                    </w:rPr>
                  </w:pPr>
                </w:p>
              </w:tc>
              <w:tc>
                <w:tcPr>
                  <w:tcW w:w="1176" w:type="dxa"/>
                  <w:vAlign w:val="center"/>
                </w:tcPr>
                <w:p>
                  <w:pPr>
                    <w:adjustRightInd w:val="0"/>
                    <w:snapToGrid w:val="0"/>
                    <w:spacing w:line="240" w:lineRule="exact"/>
                    <w:jc w:val="center"/>
                    <w:rPr>
                      <w:b/>
                    </w:rPr>
                  </w:pPr>
                  <w:r>
                    <w:rPr>
                      <w:b/>
                    </w:rPr>
                    <w:t>评价因子</w:t>
                  </w:r>
                </w:p>
              </w:tc>
              <w:tc>
                <w:tcPr>
                  <w:tcW w:w="3956" w:type="dxa"/>
                  <w:gridSpan w:val="14"/>
                  <w:vAlign w:val="center"/>
                </w:tcPr>
                <w:p>
                  <w:pPr>
                    <w:adjustRightInd w:val="0"/>
                    <w:snapToGrid w:val="0"/>
                    <w:spacing w:line="240" w:lineRule="exact"/>
                    <w:jc w:val="center"/>
                  </w:pPr>
                  <w:r>
                    <w:t>基本污染物</w:t>
                  </w:r>
                </w:p>
                <w:p>
                  <w:pPr>
                    <w:adjustRightInd w:val="0"/>
                    <w:snapToGrid w:val="0"/>
                    <w:spacing w:line="240" w:lineRule="exact"/>
                    <w:jc w:val="center"/>
                  </w:pPr>
                  <w:r>
                    <w:t>(SO</w:t>
                  </w:r>
                  <w:r>
                    <w:rPr>
                      <w:vertAlign w:val="subscript"/>
                    </w:rPr>
                    <w:t>2</w:t>
                  </w:r>
                  <w:r>
                    <w:t>、NOx、PM</w:t>
                  </w:r>
                  <w:r>
                    <w:rPr>
                      <w:vertAlign w:val="subscript"/>
                    </w:rPr>
                    <w:t>10</w:t>
                  </w:r>
                  <w:r>
                    <w:t>、PM</w:t>
                  </w:r>
                  <w:r>
                    <w:rPr>
                      <w:vertAlign w:val="subscript"/>
                    </w:rPr>
                    <w:t>2.5</w:t>
                  </w:r>
                  <w:r>
                    <w:t>、O</w:t>
                  </w:r>
                  <w:r>
                    <w:rPr>
                      <w:vertAlign w:val="subscript"/>
                    </w:rPr>
                    <w:t>3</w:t>
                  </w:r>
                  <w:r>
                    <w:t>、CO)</w:t>
                  </w:r>
                </w:p>
                <w:p>
                  <w:pPr>
                    <w:adjustRightInd w:val="0"/>
                    <w:snapToGrid w:val="0"/>
                    <w:spacing w:line="240" w:lineRule="exact"/>
                    <w:jc w:val="center"/>
                  </w:pPr>
                  <w:r>
                    <w:t>其他污染物(/)</w:t>
                  </w:r>
                </w:p>
              </w:tc>
              <w:tc>
                <w:tcPr>
                  <w:tcW w:w="2893" w:type="dxa"/>
                  <w:gridSpan w:val="9"/>
                  <w:vAlign w:val="center"/>
                </w:tcPr>
                <w:p>
                  <w:pPr>
                    <w:adjustRightInd w:val="0"/>
                    <w:snapToGrid w:val="0"/>
                    <w:spacing w:line="240" w:lineRule="exact"/>
                    <w:jc w:val="center"/>
                  </w:pPr>
                  <w:r>
                    <w:t>包括二次PM</w:t>
                  </w:r>
                  <w:r>
                    <w:rPr>
                      <w:sz w:val="15"/>
                    </w:rPr>
                    <w:t>2.5</w:t>
                  </w:r>
                  <w:r>
                    <w:t>□</w:t>
                  </w:r>
                </w:p>
                <w:p>
                  <w:pPr>
                    <w:adjustRightInd w:val="0"/>
                    <w:snapToGrid w:val="0"/>
                    <w:spacing w:line="240" w:lineRule="exact"/>
                    <w:jc w:val="center"/>
                  </w:pPr>
                  <w:r>
                    <w:t>不包括二次PM</w:t>
                  </w:r>
                  <w:r>
                    <w:rPr>
                      <w:sz w:val="15"/>
                    </w:rPr>
                    <w:t>2.5</w:t>
                  </w:r>
                  <w:r>
                    <w:fldChar w:fldCharType="begin"/>
                  </w:r>
                  <w:r>
                    <w:instrText xml:space="preserve"> eq \o\ac(</w:instrText>
                  </w:r>
                  <w:r>
                    <w:rPr>
                      <w:position w:val="-4"/>
                      <w:sz w:val="31"/>
                    </w:rPr>
                    <w:instrText xml:space="preserve">□</w:instrText>
                  </w:r>
                  <w:r>
                    <w:instrText xml:space="preserve">,√)</w:instrText>
                  </w:r>
                  <w: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Align w:val="center"/>
                </w:tcPr>
                <w:p>
                  <w:pPr>
                    <w:adjustRightInd w:val="0"/>
                    <w:snapToGrid w:val="0"/>
                    <w:spacing w:line="240" w:lineRule="exact"/>
                    <w:ind w:left="-80" w:leftChars="-38" w:right="-63" w:rightChars="-30"/>
                    <w:jc w:val="center"/>
                    <w:rPr>
                      <w:b/>
                    </w:rPr>
                  </w:pPr>
                  <w:r>
                    <w:rPr>
                      <w:b/>
                    </w:rPr>
                    <w:t>评价</w:t>
                  </w:r>
                </w:p>
                <w:p>
                  <w:pPr>
                    <w:adjustRightInd w:val="0"/>
                    <w:snapToGrid w:val="0"/>
                    <w:spacing w:line="240" w:lineRule="exact"/>
                    <w:ind w:left="-80" w:leftChars="-38" w:right="-63" w:rightChars="-30"/>
                    <w:jc w:val="center"/>
                    <w:rPr>
                      <w:b/>
                    </w:rPr>
                  </w:pPr>
                  <w:r>
                    <w:rPr>
                      <w:b/>
                    </w:rPr>
                    <w:t>标准</w:t>
                  </w:r>
                </w:p>
              </w:tc>
              <w:tc>
                <w:tcPr>
                  <w:tcW w:w="1176" w:type="dxa"/>
                  <w:vAlign w:val="center"/>
                </w:tcPr>
                <w:p>
                  <w:pPr>
                    <w:adjustRightInd w:val="0"/>
                    <w:snapToGrid w:val="0"/>
                    <w:spacing w:line="240" w:lineRule="exact"/>
                    <w:jc w:val="center"/>
                    <w:rPr>
                      <w:b/>
                    </w:rPr>
                  </w:pPr>
                  <w:r>
                    <w:rPr>
                      <w:b/>
                    </w:rPr>
                    <w:t>评价标准</w:t>
                  </w:r>
                </w:p>
              </w:tc>
              <w:tc>
                <w:tcPr>
                  <w:tcW w:w="1712" w:type="dxa"/>
                  <w:gridSpan w:val="5"/>
                  <w:vAlign w:val="center"/>
                </w:tcPr>
                <w:p>
                  <w:pPr>
                    <w:adjustRightInd w:val="0"/>
                    <w:snapToGrid w:val="0"/>
                    <w:spacing w:line="240" w:lineRule="exact"/>
                    <w:jc w:val="center"/>
                  </w:pPr>
                  <w:r>
                    <w:t>国家标准</w:t>
                  </w:r>
                  <w:r>
                    <w:fldChar w:fldCharType="begin"/>
                  </w:r>
                  <w:r>
                    <w:instrText xml:space="preserve"> eq \o\ac(</w:instrText>
                  </w:r>
                  <w:r>
                    <w:rPr>
                      <w:position w:val="-4"/>
                      <w:sz w:val="31"/>
                    </w:rPr>
                    <w:instrText xml:space="preserve">□</w:instrText>
                  </w:r>
                  <w:r>
                    <w:instrText xml:space="preserve">,√)</w:instrText>
                  </w:r>
                  <w:r>
                    <w:fldChar w:fldCharType="end"/>
                  </w:r>
                </w:p>
              </w:tc>
              <w:tc>
                <w:tcPr>
                  <w:tcW w:w="2244" w:type="dxa"/>
                  <w:gridSpan w:val="9"/>
                  <w:vAlign w:val="center"/>
                </w:tcPr>
                <w:p>
                  <w:pPr>
                    <w:adjustRightInd w:val="0"/>
                    <w:snapToGrid w:val="0"/>
                    <w:spacing w:line="240" w:lineRule="exact"/>
                    <w:jc w:val="center"/>
                  </w:pPr>
                  <w:r>
                    <w:t>地方标准□</w:t>
                  </w:r>
                </w:p>
              </w:tc>
              <w:tc>
                <w:tcPr>
                  <w:tcW w:w="1179" w:type="dxa"/>
                  <w:gridSpan w:val="2"/>
                  <w:vAlign w:val="center"/>
                </w:tcPr>
                <w:p>
                  <w:pPr>
                    <w:adjustRightInd w:val="0"/>
                    <w:snapToGrid w:val="0"/>
                    <w:spacing w:line="240" w:lineRule="exact"/>
                    <w:jc w:val="center"/>
                  </w:pPr>
                  <w:r>
                    <w:t>附录D□</w:t>
                  </w:r>
                </w:p>
              </w:tc>
              <w:tc>
                <w:tcPr>
                  <w:tcW w:w="1714" w:type="dxa"/>
                  <w:gridSpan w:val="7"/>
                  <w:vAlign w:val="center"/>
                </w:tcPr>
                <w:p>
                  <w:pPr>
                    <w:adjustRightInd w:val="0"/>
                    <w:snapToGrid w:val="0"/>
                    <w:spacing w:line="240" w:lineRule="exact"/>
                    <w:jc w:val="center"/>
                  </w:pPr>
                  <w:r>
                    <w:t>其他标准</w:t>
                  </w:r>
                  <w:r>
                    <w:rPr/>
                    <w:sym w:font="Wingdings 2" w:char="0052"/>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restart"/>
                  <w:vAlign w:val="center"/>
                </w:tcPr>
                <w:p>
                  <w:pPr>
                    <w:adjustRightInd w:val="0"/>
                    <w:snapToGrid w:val="0"/>
                    <w:spacing w:line="240" w:lineRule="exact"/>
                    <w:ind w:left="-80" w:leftChars="-38" w:right="-63" w:rightChars="-30"/>
                    <w:jc w:val="center"/>
                    <w:rPr>
                      <w:b/>
                    </w:rPr>
                  </w:pPr>
                  <w:r>
                    <w:rPr>
                      <w:b/>
                    </w:rPr>
                    <w:t>现状</w:t>
                  </w:r>
                </w:p>
                <w:p>
                  <w:pPr>
                    <w:adjustRightInd w:val="0"/>
                    <w:snapToGrid w:val="0"/>
                    <w:spacing w:line="240" w:lineRule="exact"/>
                    <w:ind w:left="-80" w:leftChars="-38" w:right="-63" w:rightChars="-30"/>
                    <w:jc w:val="center"/>
                    <w:rPr>
                      <w:b/>
                    </w:rPr>
                  </w:pPr>
                  <w:r>
                    <w:rPr>
                      <w:b/>
                    </w:rPr>
                    <w:t>评价</w:t>
                  </w:r>
                </w:p>
              </w:tc>
              <w:tc>
                <w:tcPr>
                  <w:tcW w:w="1176" w:type="dxa"/>
                  <w:vAlign w:val="center"/>
                </w:tcPr>
                <w:p>
                  <w:pPr>
                    <w:adjustRightInd w:val="0"/>
                    <w:snapToGrid w:val="0"/>
                    <w:spacing w:line="240" w:lineRule="exact"/>
                    <w:jc w:val="center"/>
                    <w:rPr>
                      <w:b/>
                    </w:rPr>
                  </w:pPr>
                  <w:r>
                    <w:rPr>
                      <w:b/>
                    </w:rPr>
                    <w:t>环境功能区</w:t>
                  </w:r>
                </w:p>
              </w:tc>
              <w:tc>
                <w:tcPr>
                  <w:tcW w:w="2373" w:type="dxa"/>
                  <w:gridSpan w:val="9"/>
                  <w:vAlign w:val="center"/>
                </w:tcPr>
                <w:p>
                  <w:pPr>
                    <w:adjustRightInd w:val="0"/>
                    <w:snapToGrid w:val="0"/>
                    <w:spacing w:line="240" w:lineRule="exact"/>
                    <w:jc w:val="center"/>
                  </w:pPr>
                  <w:r>
                    <w:t>一类区□</w:t>
                  </w:r>
                </w:p>
              </w:tc>
              <w:tc>
                <w:tcPr>
                  <w:tcW w:w="2762" w:type="dxa"/>
                  <w:gridSpan w:val="7"/>
                  <w:vAlign w:val="center"/>
                </w:tcPr>
                <w:p>
                  <w:pPr>
                    <w:adjustRightInd w:val="0"/>
                    <w:snapToGrid w:val="0"/>
                    <w:spacing w:line="240" w:lineRule="exact"/>
                    <w:jc w:val="center"/>
                  </w:pPr>
                  <w:r>
                    <w:t>二类区</w:t>
                  </w:r>
                  <w:r>
                    <w:fldChar w:fldCharType="begin"/>
                  </w:r>
                  <w:r>
                    <w:instrText xml:space="preserve"> eq \o\ac(</w:instrText>
                  </w:r>
                  <w:r>
                    <w:rPr>
                      <w:position w:val="-4"/>
                      <w:sz w:val="31"/>
                    </w:rPr>
                    <w:instrText xml:space="preserve">□</w:instrText>
                  </w:r>
                  <w:r>
                    <w:instrText xml:space="preserve">,√)</w:instrText>
                  </w:r>
                  <w:r>
                    <w:fldChar w:fldCharType="end"/>
                  </w:r>
                </w:p>
              </w:tc>
              <w:tc>
                <w:tcPr>
                  <w:tcW w:w="1714" w:type="dxa"/>
                  <w:gridSpan w:val="7"/>
                  <w:vAlign w:val="center"/>
                </w:tcPr>
                <w:p>
                  <w:pPr>
                    <w:adjustRightInd w:val="0"/>
                    <w:snapToGrid w:val="0"/>
                    <w:spacing w:line="240" w:lineRule="exact"/>
                    <w:jc w:val="left"/>
                  </w:pPr>
                  <w:r>
                    <w:t>一类区和二类区□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81" w:type="dxa"/>
                  <w:vMerge w:val="continue"/>
                  <w:vAlign w:val="center"/>
                </w:tcPr>
                <w:p>
                  <w:pPr>
                    <w:adjustRightInd w:val="0"/>
                    <w:snapToGrid w:val="0"/>
                    <w:spacing w:line="240" w:lineRule="exact"/>
                    <w:ind w:left="-80" w:leftChars="-38" w:right="-63" w:rightChars="-30"/>
                    <w:jc w:val="center"/>
                    <w:rPr>
                      <w:b/>
                    </w:rPr>
                  </w:pPr>
                </w:p>
              </w:tc>
              <w:tc>
                <w:tcPr>
                  <w:tcW w:w="1176" w:type="dxa"/>
                  <w:vAlign w:val="center"/>
                </w:tcPr>
                <w:p>
                  <w:pPr>
                    <w:adjustRightInd w:val="0"/>
                    <w:snapToGrid w:val="0"/>
                    <w:spacing w:line="240" w:lineRule="exact"/>
                    <w:jc w:val="center"/>
                    <w:rPr>
                      <w:b/>
                    </w:rPr>
                  </w:pPr>
                  <w:r>
                    <w:rPr>
                      <w:b/>
                    </w:rPr>
                    <w:t>评价基准年</w:t>
                  </w:r>
                </w:p>
              </w:tc>
              <w:tc>
                <w:tcPr>
                  <w:tcW w:w="6849" w:type="dxa"/>
                  <w:gridSpan w:val="23"/>
                  <w:vAlign w:val="center"/>
                </w:tcPr>
                <w:p>
                  <w:pPr>
                    <w:adjustRightInd w:val="0"/>
                    <w:snapToGrid w:val="0"/>
                    <w:spacing w:line="240" w:lineRule="exact"/>
                    <w:jc w:val="center"/>
                  </w:pPr>
                  <w:r>
                    <w:t>(201</w:t>
                  </w:r>
                  <w:r>
                    <w:rPr>
                      <w:rFonts w:hint="eastAsia"/>
                    </w:rPr>
                    <w:t>9</w:t>
                  </w:r>
                  <w:r>
                    <w:t>)年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1" w:type="dxa"/>
                  <w:vMerge w:val="continue"/>
                  <w:vAlign w:val="center"/>
                </w:tcPr>
                <w:p>
                  <w:pPr>
                    <w:adjustRightInd w:val="0"/>
                    <w:snapToGrid w:val="0"/>
                    <w:spacing w:line="240" w:lineRule="exact"/>
                    <w:ind w:left="-80" w:leftChars="-38" w:right="-63" w:rightChars="-30"/>
                    <w:jc w:val="center"/>
                    <w:rPr>
                      <w:b/>
                    </w:rPr>
                  </w:pPr>
                </w:p>
              </w:tc>
              <w:tc>
                <w:tcPr>
                  <w:tcW w:w="1176" w:type="dxa"/>
                  <w:vAlign w:val="center"/>
                </w:tcPr>
                <w:p>
                  <w:pPr>
                    <w:adjustRightInd w:val="0"/>
                    <w:snapToGrid w:val="0"/>
                    <w:spacing w:line="240" w:lineRule="exact"/>
                    <w:jc w:val="center"/>
                    <w:rPr>
                      <w:b/>
                    </w:rPr>
                  </w:pPr>
                  <w:r>
                    <w:rPr>
                      <w:b/>
                    </w:rPr>
                    <w:t>环境空气质量现状调查数据来源</w:t>
                  </w:r>
                </w:p>
              </w:tc>
              <w:tc>
                <w:tcPr>
                  <w:tcW w:w="2224" w:type="dxa"/>
                  <w:gridSpan w:val="7"/>
                  <w:vAlign w:val="center"/>
                </w:tcPr>
                <w:p>
                  <w:pPr>
                    <w:adjustRightInd w:val="0"/>
                    <w:snapToGrid w:val="0"/>
                    <w:spacing w:line="240" w:lineRule="exact"/>
                    <w:jc w:val="center"/>
                  </w:pPr>
                  <w:r>
                    <w:t>长期例行监测数据□</w:t>
                  </w:r>
                </w:p>
              </w:tc>
              <w:tc>
                <w:tcPr>
                  <w:tcW w:w="3131" w:type="dxa"/>
                  <w:gridSpan w:val="10"/>
                  <w:vAlign w:val="center"/>
                </w:tcPr>
                <w:p>
                  <w:pPr>
                    <w:adjustRightInd w:val="0"/>
                    <w:snapToGrid w:val="0"/>
                    <w:spacing w:line="240" w:lineRule="exact"/>
                    <w:jc w:val="center"/>
                  </w:pPr>
                  <w:r>
                    <w:t>主管部门发布的数据</w:t>
                  </w:r>
                  <w:r>
                    <w:fldChar w:fldCharType="begin"/>
                  </w:r>
                  <w:r>
                    <w:instrText xml:space="preserve"> eq \o\ac(</w:instrText>
                  </w:r>
                  <w:r>
                    <w:rPr>
                      <w:position w:val="-4"/>
                      <w:sz w:val="31"/>
                    </w:rPr>
                    <w:instrText xml:space="preserve">□</w:instrText>
                  </w:r>
                  <w:r>
                    <w:instrText xml:space="preserve">,√)</w:instrText>
                  </w:r>
                  <w:r>
                    <w:fldChar w:fldCharType="end"/>
                  </w:r>
                </w:p>
              </w:tc>
              <w:tc>
                <w:tcPr>
                  <w:tcW w:w="1494" w:type="dxa"/>
                  <w:gridSpan w:val="6"/>
                  <w:vAlign w:val="center"/>
                </w:tcPr>
                <w:p>
                  <w:pPr>
                    <w:adjustRightInd w:val="0"/>
                    <w:snapToGrid w:val="0"/>
                    <w:spacing w:line="240" w:lineRule="exact"/>
                    <w:jc w:val="center"/>
                  </w:pPr>
                  <w:r>
                    <w:t>现状补充监测□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81" w:type="dxa"/>
                  <w:vMerge w:val="continue"/>
                  <w:vAlign w:val="center"/>
                </w:tcPr>
                <w:p>
                  <w:pPr>
                    <w:adjustRightInd w:val="0"/>
                    <w:snapToGrid w:val="0"/>
                    <w:spacing w:line="240" w:lineRule="exact"/>
                    <w:ind w:left="-80" w:leftChars="-38" w:right="-63" w:rightChars="-30"/>
                    <w:jc w:val="center"/>
                    <w:rPr>
                      <w:b/>
                    </w:rPr>
                  </w:pPr>
                </w:p>
              </w:tc>
              <w:tc>
                <w:tcPr>
                  <w:tcW w:w="1176" w:type="dxa"/>
                  <w:vAlign w:val="center"/>
                </w:tcPr>
                <w:p>
                  <w:pPr>
                    <w:adjustRightInd w:val="0"/>
                    <w:snapToGrid w:val="0"/>
                    <w:spacing w:line="240" w:lineRule="exact"/>
                    <w:jc w:val="center"/>
                    <w:rPr>
                      <w:b/>
                    </w:rPr>
                  </w:pPr>
                  <w:r>
                    <w:rPr>
                      <w:b/>
                    </w:rPr>
                    <w:t>现状评价</w:t>
                  </w:r>
                </w:p>
              </w:tc>
              <w:tc>
                <w:tcPr>
                  <w:tcW w:w="3653" w:type="dxa"/>
                  <w:gridSpan w:val="12"/>
                  <w:vAlign w:val="center"/>
                </w:tcPr>
                <w:p>
                  <w:pPr>
                    <w:adjustRightInd w:val="0"/>
                    <w:snapToGrid w:val="0"/>
                    <w:spacing w:line="240" w:lineRule="exact"/>
                    <w:jc w:val="center"/>
                  </w:pPr>
                  <w:r>
                    <w:t>达标区□</w:t>
                  </w:r>
                </w:p>
              </w:tc>
              <w:tc>
                <w:tcPr>
                  <w:tcW w:w="3196" w:type="dxa"/>
                  <w:gridSpan w:val="11"/>
                  <w:vAlign w:val="center"/>
                </w:tcPr>
                <w:p>
                  <w:pPr>
                    <w:adjustRightInd w:val="0"/>
                    <w:snapToGrid w:val="0"/>
                    <w:spacing w:line="240" w:lineRule="exact"/>
                    <w:jc w:val="center"/>
                  </w:pPr>
                  <w:r>
                    <w:t>不达标区</w:t>
                  </w:r>
                  <w:r>
                    <w:fldChar w:fldCharType="begin"/>
                  </w:r>
                  <w:r>
                    <w:instrText xml:space="preserve"> eq \o\ac(</w:instrText>
                  </w:r>
                  <w:r>
                    <w:rPr>
                      <w:position w:val="-4"/>
                      <w:sz w:val="31"/>
                    </w:rPr>
                    <w:instrText xml:space="preserve">□</w:instrText>
                  </w:r>
                  <w:r>
                    <w:instrText xml:space="preserve">,√)</w:instrText>
                  </w:r>
                  <w: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1" w:type="dxa"/>
                  <w:vAlign w:val="center"/>
                </w:tcPr>
                <w:p>
                  <w:pPr>
                    <w:adjustRightInd w:val="0"/>
                    <w:snapToGrid w:val="0"/>
                    <w:spacing w:line="240" w:lineRule="exact"/>
                    <w:ind w:left="-80" w:leftChars="-38" w:right="-63" w:rightChars="-30"/>
                    <w:jc w:val="center"/>
                    <w:rPr>
                      <w:b/>
                    </w:rPr>
                  </w:pPr>
                  <w:r>
                    <w:rPr>
                      <w:b/>
                    </w:rPr>
                    <w:t>污染源</w:t>
                  </w:r>
                </w:p>
                <w:p>
                  <w:pPr>
                    <w:adjustRightInd w:val="0"/>
                    <w:snapToGrid w:val="0"/>
                    <w:spacing w:line="240" w:lineRule="exact"/>
                    <w:ind w:left="-80" w:leftChars="-38" w:right="-63" w:rightChars="-30"/>
                    <w:jc w:val="center"/>
                    <w:rPr>
                      <w:b/>
                    </w:rPr>
                  </w:pPr>
                  <w:r>
                    <w:rPr>
                      <w:b/>
                    </w:rPr>
                    <w:t>调查</w:t>
                  </w:r>
                </w:p>
              </w:tc>
              <w:tc>
                <w:tcPr>
                  <w:tcW w:w="1176" w:type="dxa"/>
                  <w:vAlign w:val="center"/>
                </w:tcPr>
                <w:p>
                  <w:pPr>
                    <w:adjustRightInd w:val="0"/>
                    <w:snapToGrid w:val="0"/>
                    <w:spacing w:line="240" w:lineRule="exact"/>
                    <w:jc w:val="center"/>
                    <w:rPr>
                      <w:b/>
                    </w:rPr>
                  </w:pPr>
                  <w:r>
                    <w:rPr>
                      <w:b/>
                    </w:rPr>
                    <w:t>调查内容</w:t>
                  </w:r>
                </w:p>
              </w:tc>
              <w:tc>
                <w:tcPr>
                  <w:tcW w:w="2318" w:type="dxa"/>
                  <w:gridSpan w:val="8"/>
                  <w:vAlign w:val="center"/>
                </w:tcPr>
                <w:p>
                  <w:pPr>
                    <w:adjustRightInd w:val="0"/>
                    <w:snapToGrid w:val="0"/>
                    <w:spacing w:line="240" w:lineRule="exact"/>
                    <w:jc w:val="center"/>
                  </w:pPr>
                  <w:r>
                    <w:t>本项目正常排放源</w:t>
                  </w:r>
                  <w:r>
                    <w:fldChar w:fldCharType="begin"/>
                  </w:r>
                  <w:r>
                    <w:instrText xml:space="preserve"> eq \o\ac(</w:instrText>
                  </w:r>
                  <w:r>
                    <w:rPr>
                      <w:position w:val="-4"/>
                      <w:sz w:val="31"/>
                    </w:rPr>
                    <w:instrText xml:space="preserve">□</w:instrText>
                  </w:r>
                  <w:r>
                    <w:instrText xml:space="preserve">,√)</w:instrText>
                  </w:r>
                  <w:r>
                    <w:fldChar w:fldCharType="end"/>
                  </w:r>
                </w:p>
                <w:p>
                  <w:pPr>
                    <w:adjustRightInd w:val="0"/>
                    <w:snapToGrid w:val="0"/>
                    <w:spacing w:line="240" w:lineRule="exact"/>
                    <w:jc w:val="center"/>
                  </w:pPr>
                  <w:r>
                    <w:t>本项目非正常排放源□</w:t>
                  </w:r>
                </w:p>
                <w:p>
                  <w:pPr>
                    <w:adjustRightInd w:val="0"/>
                    <w:snapToGrid w:val="0"/>
                    <w:spacing w:line="240" w:lineRule="exact"/>
                    <w:jc w:val="center"/>
                  </w:pPr>
                  <w:r>
                    <w:t>现有污染源□</w:t>
                  </w:r>
                </w:p>
              </w:tc>
              <w:tc>
                <w:tcPr>
                  <w:tcW w:w="1335" w:type="dxa"/>
                  <w:gridSpan w:val="4"/>
                  <w:vAlign w:val="center"/>
                </w:tcPr>
                <w:p>
                  <w:pPr>
                    <w:adjustRightInd w:val="0"/>
                    <w:snapToGrid w:val="0"/>
                    <w:spacing w:line="240" w:lineRule="exact"/>
                    <w:jc w:val="center"/>
                  </w:pPr>
                  <w:r>
                    <w:t>拟替代的污染源□</w:t>
                  </w:r>
                </w:p>
              </w:tc>
              <w:tc>
                <w:tcPr>
                  <w:tcW w:w="2499" w:type="dxa"/>
                  <w:gridSpan w:val="9"/>
                  <w:vAlign w:val="center"/>
                </w:tcPr>
                <w:p>
                  <w:pPr>
                    <w:adjustRightInd w:val="0"/>
                    <w:snapToGrid w:val="0"/>
                    <w:spacing w:line="240" w:lineRule="exact"/>
                    <w:jc w:val="center"/>
                  </w:pPr>
                  <w:r>
                    <w:t>其他在建、拟建项目污染源□</w:t>
                  </w:r>
                </w:p>
              </w:tc>
              <w:tc>
                <w:tcPr>
                  <w:tcW w:w="697" w:type="dxa"/>
                  <w:gridSpan w:val="2"/>
                  <w:vAlign w:val="center"/>
                </w:tcPr>
                <w:p>
                  <w:pPr>
                    <w:adjustRightInd w:val="0"/>
                    <w:snapToGrid w:val="0"/>
                    <w:spacing w:line="240" w:lineRule="exact"/>
                    <w:jc w:val="center"/>
                  </w:pPr>
                  <w:r>
                    <w:t>区域污染源□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1" w:type="dxa"/>
                  <w:vMerge w:val="restart"/>
                  <w:vAlign w:val="center"/>
                </w:tcPr>
                <w:p>
                  <w:pPr>
                    <w:adjustRightInd w:val="0"/>
                    <w:snapToGrid w:val="0"/>
                    <w:spacing w:line="240" w:lineRule="exact"/>
                    <w:jc w:val="center"/>
                    <w:rPr>
                      <w:b/>
                    </w:rPr>
                  </w:pPr>
                  <w:r>
                    <w:rPr>
                      <w:b/>
                    </w:rPr>
                    <w:t>大气环境影响预测与评价</w:t>
                  </w:r>
                </w:p>
                <w:p>
                  <w:pPr>
                    <w:adjustRightInd w:val="0"/>
                    <w:snapToGrid w:val="0"/>
                    <w:spacing w:line="240" w:lineRule="exact"/>
                    <w:jc w:val="center"/>
                    <w:rPr>
                      <w:b/>
                    </w:rPr>
                  </w:pPr>
                  <w:r>
                    <w:rPr>
                      <w:b/>
                    </w:rPr>
                    <w:t>(不涉及)</w:t>
                  </w:r>
                </w:p>
              </w:tc>
              <w:tc>
                <w:tcPr>
                  <w:tcW w:w="1176" w:type="dxa"/>
                  <w:vAlign w:val="center"/>
                </w:tcPr>
                <w:p>
                  <w:pPr>
                    <w:adjustRightInd w:val="0"/>
                    <w:snapToGrid w:val="0"/>
                    <w:spacing w:line="240" w:lineRule="exact"/>
                    <w:jc w:val="center"/>
                    <w:rPr>
                      <w:b/>
                    </w:rPr>
                  </w:pPr>
                  <w:r>
                    <w:rPr>
                      <w:b/>
                    </w:rPr>
                    <w:t>预测模型</w:t>
                  </w:r>
                </w:p>
              </w:tc>
              <w:tc>
                <w:tcPr>
                  <w:tcW w:w="1046" w:type="dxa"/>
                  <w:vAlign w:val="center"/>
                </w:tcPr>
                <w:p>
                  <w:pPr>
                    <w:adjustRightInd w:val="0"/>
                    <w:snapToGrid w:val="0"/>
                    <w:spacing w:line="240" w:lineRule="exact"/>
                    <w:jc w:val="center"/>
                  </w:pPr>
                  <w:r>
                    <w:t>AERMOD□</w:t>
                  </w:r>
                </w:p>
              </w:tc>
              <w:tc>
                <w:tcPr>
                  <w:tcW w:w="909" w:type="dxa"/>
                  <w:gridSpan w:val="5"/>
                  <w:vAlign w:val="center"/>
                </w:tcPr>
                <w:p>
                  <w:pPr>
                    <w:adjustRightInd w:val="0"/>
                    <w:snapToGrid w:val="0"/>
                    <w:spacing w:line="240" w:lineRule="exact"/>
                    <w:jc w:val="center"/>
                  </w:pPr>
                  <w:r>
                    <w:t>ADMS□</w:t>
                  </w:r>
                </w:p>
              </w:tc>
              <w:tc>
                <w:tcPr>
                  <w:tcW w:w="1508" w:type="dxa"/>
                  <w:gridSpan w:val="5"/>
                  <w:vAlign w:val="center"/>
                </w:tcPr>
                <w:p>
                  <w:pPr>
                    <w:adjustRightInd w:val="0"/>
                    <w:snapToGrid w:val="0"/>
                    <w:spacing w:line="240" w:lineRule="exact"/>
                    <w:jc w:val="center"/>
                  </w:pPr>
                  <w:r>
                    <w:t>AUSTAL2000□</w:t>
                  </w:r>
                </w:p>
              </w:tc>
              <w:tc>
                <w:tcPr>
                  <w:tcW w:w="1478" w:type="dxa"/>
                  <w:gridSpan w:val="4"/>
                  <w:vAlign w:val="center"/>
                </w:tcPr>
                <w:p>
                  <w:pPr>
                    <w:adjustRightInd w:val="0"/>
                    <w:snapToGrid w:val="0"/>
                    <w:spacing w:line="240" w:lineRule="exact"/>
                    <w:jc w:val="center"/>
                  </w:pPr>
                  <w:r>
                    <w:t>EDMS/AEDT□</w:t>
                  </w:r>
                </w:p>
              </w:tc>
              <w:tc>
                <w:tcPr>
                  <w:tcW w:w="1211" w:type="dxa"/>
                  <w:gridSpan w:val="6"/>
                  <w:vAlign w:val="center"/>
                </w:tcPr>
                <w:p>
                  <w:pPr>
                    <w:adjustRightInd w:val="0"/>
                    <w:snapToGrid w:val="0"/>
                    <w:spacing w:line="240" w:lineRule="exact"/>
                    <w:jc w:val="center"/>
                  </w:pPr>
                  <w:r>
                    <w:t>CALPUFF□</w:t>
                  </w:r>
                </w:p>
              </w:tc>
              <w:tc>
                <w:tcPr>
                  <w:tcW w:w="370" w:type="dxa"/>
                  <w:vAlign w:val="center"/>
                </w:tcPr>
                <w:p>
                  <w:pPr>
                    <w:adjustRightInd w:val="0"/>
                    <w:snapToGrid w:val="0"/>
                    <w:spacing w:line="240" w:lineRule="exact"/>
                    <w:ind w:left="-71" w:leftChars="-34" w:right="-71" w:rightChars="-34"/>
                    <w:jc w:val="center"/>
                  </w:pPr>
                  <w:r>
                    <w:t>网络模型□</w:t>
                  </w:r>
                </w:p>
              </w:tc>
              <w:tc>
                <w:tcPr>
                  <w:tcW w:w="327" w:type="dxa"/>
                  <w:vAlign w:val="center"/>
                </w:tcPr>
                <w:p>
                  <w:pPr>
                    <w:adjustRightInd w:val="0"/>
                    <w:snapToGrid w:val="0"/>
                    <w:spacing w:line="240" w:lineRule="exact"/>
                    <w:ind w:left="-80" w:leftChars="-38" w:right="-63" w:rightChars="-30"/>
                    <w:jc w:val="center"/>
                  </w:pPr>
                  <w: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jc w:val="center"/>
                    <w:rPr>
                      <w:b/>
                    </w:rPr>
                  </w:pPr>
                  <w:r>
                    <w:rPr>
                      <w:b/>
                    </w:rPr>
                    <w:t>预测范围</w:t>
                  </w:r>
                </w:p>
              </w:tc>
              <w:tc>
                <w:tcPr>
                  <w:tcW w:w="2373" w:type="dxa"/>
                  <w:gridSpan w:val="9"/>
                  <w:vAlign w:val="center"/>
                </w:tcPr>
                <w:p>
                  <w:pPr>
                    <w:adjustRightInd w:val="0"/>
                    <w:snapToGrid w:val="0"/>
                    <w:spacing w:line="240" w:lineRule="exact"/>
                    <w:jc w:val="center"/>
                  </w:pPr>
                  <w:r>
                    <w:t>边长≥50km□</w:t>
                  </w:r>
                </w:p>
              </w:tc>
              <w:tc>
                <w:tcPr>
                  <w:tcW w:w="3249" w:type="dxa"/>
                  <w:gridSpan w:val="11"/>
                  <w:vAlign w:val="center"/>
                </w:tcPr>
                <w:p>
                  <w:pPr>
                    <w:adjustRightInd w:val="0"/>
                    <w:snapToGrid w:val="0"/>
                    <w:spacing w:line="240" w:lineRule="exact"/>
                    <w:jc w:val="center"/>
                  </w:pPr>
                  <w:r>
                    <w:t>边长5~50km□</w:t>
                  </w:r>
                </w:p>
              </w:tc>
              <w:tc>
                <w:tcPr>
                  <w:tcW w:w="1227" w:type="dxa"/>
                  <w:gridSpan w:val="3"/>
                  <w:vAlign w:val="center"/>
                </w:tcPr>
                <w:p>
                  <w:pPr>
                    <w:adjustRightInd w:val="0"/>
                    <w:snapToGrid w:val="0"/>
                    <w:spacing w:line="240" w:lineRule="exact"/>
                    <w:jc w:val="center"/>
                  </w:pPr>
                  <w:r>
                    <w:t>边长＜5km□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jc w:val="center"/>
                    <w:rPr>
                      <w:b/>
                    </w:rPr>
                  </w:pPr>
                  <w:r>
                    <w:rPr>
                      <w:b/>
                    </w:rPr>
                    <w:t>预测因子</w:t>
                  </w:r>
                </w:p>
              </w:tc>
              <w:tc>
                <w:tcPr>
                  <w:tcW w:w="3653" w:type="dxa"/>
                  <w:gridSpan w:val="12"/>
                  <w:vAlign w:val="center"/>
                </w:tcPr>
                <w:p>
                  <w:pPr>
                    <w:adjustRightInd w:val="0"/>
                    <w:snapToGrid w:val="0"/>
                    <w:spacing w:line="240" w:lineRule="exact"/>
                    <w:jc w:val="center"/>
                  </w:pPr>
                  <w:r>
                    <w:t>预测因子(           )</w:t>
                  </w:r>
                </w:p>
              </w:tc>
              <w:tc>
                <w:tcPr>
                  <w:tcW w:w="3196" w:type="dxa"/>
                  <w:gridSpan w:val="11"/>
                  <w:vAlign w:val="center"/>
                </w:tcPr>
                <w:p>
                  <w:pPr>
                    <w:adjustRightInd w:val="0"/>
                    <w:snapToGrid w:val="0"/>
                    <w:spacing w:line="240" w:lineRule="exact"/>
                    <w:jc w:val="center"/>
                  </w:pPr>
                  <w:r>
                    <w:t>包括二次PM</w:t>
                  </w:r>
                  <w:r>
                    <w:rPr>
                      <w:sz w:val="15"/>
                    </w:rPr>
                    <w:t>2.5</w:t>
                  </w:r>
                  <w:r>
                    <w:t>□</w:t>
                  </w:r>
                </w:p>
                <w:p>
                  <w:pPr>
                    <w:adjustRightInd w:val="0"/>
                    <w:snapToGrid w:val="0"/>
                    <w:spacing w:line="240" w:lineRule="exact"/>
                    <w:jc w:val="center"/>
                  </w:pPr>
                  <w:r>
                    <w:t>不包括二次PM</w:t>
                  </w:r>
                  <w:r>
                    <w:rPr>
                      <w:sz w:val="15"/>
                    </w:rPr>
                    <w:t>2.5</w:t>
                  </w:r>
                  <w: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ind w:left="-80" w:leftChars="-38" w:right="-63" w:rightChars="-30"/>
                    <w:jc w:val="center"/>
                    <w:rPr>
                      <w:b/>
                    </w:rPr>
                  </w:pPr>
                  <w:r>
                    <w:rPr>
                      <w:b/>
                    </w:rPr>
                    <w:t>正常排放短期浓度贡献值</w:t>
                  </w:r>
                </w:p>
              </w:tc>
              <w:tc>
                <w:tcPr>
                  <w:tcW w:w="3653" w:type="dxa"/>
                  <w:gridSpan w:val="12"/>
                  <w:vAlign w:val="center"/>
                </w:tcPr>
                <w:p>
                  <w:pPr>
                    <w:adjustRightInd w:val="0"/>
                    <w:snapToGrid w:val="0"/>
                    <w:spacing w:line="240" w:lineRule="exact"/>
                    <w:jc w:val="center"/>
                  </w:pPr>
                  <w:r>
                    <w:rPr>
                      <w:i/>
                    </w:rPr>
                    <w:t>C</w:t>
                  </w:r>
                  <w:r>
                    <w:rPr>
                      <w:vertAlign w:val="subscript"/>
                    </w:rPr>
                    <w:t>本项目</w:t>
                  </w:r>
                  <w:r>
                    <w:t>最大占标率≤100%□</w:t>
                  </w:r>
                </w:p>
              </w:tc>
              <w:tc>
                <w:tcPr>
                  <w:tcW w:w="3196" w:type="dxa"/>
                  <w:gridSpan w:val="11"/>
                  <w:vAlign w:val="center"/>
                </w:tcPr>
                <w:p>
                  <w:pPr>
                    <w:adjustRightInd w:val="0"/>
                    <w:snapToGrid w:val="0"/>
                    <w:spacing w:line="240" w:lineRule="exact"/>
                    <w:jc w:val="center"/>
                  </w:pPr>
                  <w:r>
                    <w:rPr>
                      <w:i/>
                    </w:rPr>
                    <w:t>C</w:t>
                  </w:r>
                  <w:r>
                    <w:rPr>
                      <w:vertAlign w:val="subscript"/>
                    </w:rPr>
                    <w:t>本项目</w:t>
                  </w:r>
                  <w: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Merge w:val="restart"/>
                  <w:vAlign w:val="center"/>
                </w:tcPr>
                <w:p>
                  <w:pPr>
                    <w:adjustRightInd w:val="0"/>
                    <w:snapToGrid w:val="0"/>
                    <w:spacing w:line="240" w:lineRule="exact"/>
                    <w:ind w:left="-80" w:leftChars="-38" w:right="-63" w:rightChars="-30"/>
                    <w:jc w:val="center"/>
                    <w:rPr>
                      <w:b/>
                    </w:rPr>
                  </w:pPr>
                  <w:r>
                    <w:rPr>
                      <w:b/>
                    </w:rPr>
                    <w:t>正常排放年均浓度贡献值</w:t>
                  </w:r>
                </w:p>
              </w:tc>
              <w:tc>
                <w:tcPr>
                  <w:tcW w:w="1150" w:type="dxa"/>
                  <w:gridSpan w:val="2"/>
                  <w:vAlign w:val="center"/>
                </w:tcPr>
                <w:p>
                  <w:pPr>
                    <w:adjustRightInd w:val="0"/>
                    <w:snapToGrid w:val="0"/>
                    <w:spacing w:line="240" w:lineRule="exact"/>
                    <w:jc w:val="center"/>
                  </w:pPr>
                  <w:r>
                    <w:t>一类区</w:t>
                  </w:r>
                </w:p>
              </w:tc>
              <w:tc>
                <w:tcPr>
                  <w:tcW w:w="2503" w:type="dxa"/>
                  <w:gridSpan w:val="10"/>
                  <w:vAlign w:val="center"/>
                </w:tcPr>
                <w:p>
                  <w:pPr>
                    <w:adjustRightInd w:val="0"/>
                    <w:snapToGrid w:val="0"/>
                    <w:spacing w:line="240" w:lineRule="exact"/>
                    <w:jc w:val="center"/>
                  </w:pPr>
                  <w:r>
                    <w:rPr>
                      <w:i/>
                    </w:rPr>
                    <w:t>C</w:t>
                  </w:r>
                  <w:r>
                    <w:rPr>
                      <w:vertAlign w:val="subscript"/>
                    </w:rPr>
                    <w:t>本项目</w:t>
                  </w:r>
                  <w:r>
                    <w:t>最大占标率≤10%□</w:t>
                  </w:r>
                </w:p>
              </w:tc>
              <w:tc>
                <w:tcPr>
                  <w:tcW w:w="3196" w:type="dxa"/>
                  <w:gridSpan w:val="11"/>
                  <w:vAlign w:val="center"/>
                </w:tcPr>
                <w:p>
                  <w:pPr>
                    <w:adjustRightInd w:val="0"/>
                    <w:snapToGrid w:val="0"/>
                    <w:spacing w:line="240" w:lineRule="exact"/>
                    <w:jc w:val="center"/>
                  </w:pPr>
                  <w:r>
                    <w:rPr>
                      <w:i/>
                    </w:rPr>
                    <w:t>C</w:t>
                  </w:r>
                  <w:r>
                    <w:rPr>
                      <w:vertAlign w:val="subscript"/>
                    </w:rPr>
                    <w:t>本项目</w:t>
                  </w:r>
                  <w:r>
                    <w:t>最大占标率＞10%□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Merge w:val="continue"/>
                  <w:vAlign w:val="center"/>
                </w:tcPr>
                <w:p>
                  <w:pPr>
                    <w:adjustRightInd w:val="0"/>
                    <w:snapToGrid w:val="0"/>
                    <w:spacing w:line="240" w:lineRule="exact"/>
                    <w:ind w:left="-80" w:leftChars="-38" w:right="-63" w:rightChars="-30"/>
                    <w:jc w:val="center"/>
                    <w:rPr>
                      <w:b/>
                    </w:rPr>
                  </w:pPr>
                </w:p>
              </w:tc>
              <w:tc>
                <w:tcPr>
                  <w:tcW w:w="1150" w:type="dxa"/>
                  <w:gridSpan w:val="2"/>
                  <w:vAlign w:val="center"/>
                </w:tcPr>
                <w:p>
                  <w:pPr>
                    <w:adjustRightInd w:val="0"/>
                    <w:snapToGrid w:val="0"/>
                    <w:spacing w:line="240" w:lineRule="exact"/>
                    <w:jc w:val="center"/>
                  </w:pPr>
                  <w:r>
                    <w:t>二类区</w:t>
                  </w:r>
                </w:p>
              </w:tc>
              <w:tc>
                <w:tcPr>
                  <w:tcW w:w="2503" w:type="dxa"/>
                  <w:gridSpan w:val="10"/>
                  <w:vAlign w:val="center"/>
                </w:tcPr>
                <w:p>
                  <w:pPr>
                    <w:adjustRightInd w:val="0"/>
                    <w:snapToGrid w:val="0"/>
                    <w:spacing w:line="240" w:lineRule="exact"/>
                    <w:jc w:val="center"/>
                  </w:pPr>
                  <w:r>
                    <w:rPr>
                      <w:i/>
                    </w:rPr>
                    <w:t>C</w:t>
                  </w:r>
                  <w:r>
                    <w:rPr>
                      <w:vertAlign w:val="subscript"/>
                    </w:rPr>
                    <w:t>本项目</w:t>
                  </w:r>
                  <w:r>
                    <w:t>最大占标率≤30%□</w:t>
                  </w:r>
                </w:p>
              </w:tc>
              <w:tc>
                <w:tcPr>
                  <w:tcW w:w="3196" w:type="dxa"/>
                  <w:gridSpan w:val="11"/>
                  <w:vAlign w:val="center"/>
                </w:tcPr>
                <w:p>
                  <w:pPr>
                    <w:adjustRightInd w:val="0"/>
                    <w:snapToGrid w:val="0"/>
                    <w:spacing w:line="240" w:lineRule="exact"/>
                    <w:jc w:val="center"/>
                  </w:pPr>
                  <w:r>
                    <w:rPr>
                      <w:i/>
                    </w:rPr>
                    <w:t>C</w:t>
                  </w:r>
                  <w:r>
                    <w:rPr>
                      <w:vertAlign w:val="subscript"/>
                    </w:rPr>
                    <w:t>本项目</w:t>
                  </w:r>
                  <w:r>
                    <w:t>最大占标率＞30%□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ind w:left="-80" w:leftChars="-38" w:right="-63" w:rightChars="-30"/>
                    <w:jc w:val="center"/>
                    <w:rPr>
                      <w:b/>
                    </w:rPr>
                  </w:pPr>
                  <w:r>
                    <w:rPr>
                      <w:b/>
                    </w:rPr>
                    <w:t>非正常排放1h浓度贡献值</w:t>
                  </w:r>
                </w:p>
              </w:tc>
              <w:tc>
                <w:tcPr>
                  <w:tcW w:w="1609" w:type="dxa"/>
                  <w:gridSpan w:val="4"/>
                  <w:vAlign w:val="center"/>
                </w:tcPr>
                <w:p>
                  <w:pPr>
                    <w:adjustRightInd w:val="0"/>
                    <w:snapToGrid w:val="0"/>
                    <w:spacing w:line="240" w:lineRule="exact"/>
                    <w:jc w:val="center"/>
                  </w:pPr>
                  <w:r>
                    <w:t>非正常持续时长(    )h</w:t>
                  </w:r>
                </w:p>
              </w:tc>
              <w:tc>
                <w:tcPr>
                  <w:tcW w:w="3846" w:type="dxa"/>
                  <w:gridSpan w:val="14"/>
                  <w:vAlign w:val="center"/>
                </w:tcPr>
                <w:p>
                  <w:pPr>
                    <w:adjustRightInd w:val="0"/>
                    <w:snapToGrid w:val="0"/>
                    <w:spacing w:line="240" w:lineRule="exact"/>
                    <w:jc w:val="center"/>
                  </w:pPr>
                  <w:r>
                    <w:rPr>
                      <w:i/>
                    </w:rPr>
                    <w:t>C</w:t>
                  </w:r>
                  <w:r>
                    <w:rPr>
                      <w:vertAlign w:val="subscript"/>
                    </w:rPr>
                    <w:t>非正常</w:t>
                  </w:r>
                  <w:r>
                    <w:t>最大占标率≤100%□</w:t>
                  </w:r>
                </w:p>
              </w:tc>
              <w:tc>
                <w:tcPr>
                  <w:tcW w:w="1394" w:type="dxa"/>
                  <w:gridSpan w:val="5"/>
                  <w:vAlign w:val="center"/>
                </w:tcPr>
                <w:p>
                  <w:pPr>
                    <w:adjustRightInd w:val="0"/>
                    <w:snapToGrid w:val="0"/>
                    <w:spacing w:line="240" w:lineRule="exact"/>
                    <w:jc w:val="center"/>
                  </w:pPr>
                  <w:r>
                    <w:rPr>
                      <w:i/>
                    </w:rPr>
                    <w:t>C</w:t>
                  </w:r>
                  <w:r>
                    <w:rPr>
                      <w:vertAlign w:val="subscript"/>
                    </w:rPr>
                    <w:t>非正常</w:t>
                  </w:r>
                  <w: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ind w:left="-80" w:leftChars="-38" w:right="-63" w:rightChars="-30"/>
                    <w:jc w:val="center"/>
                    <w:rPr>
                      <w:b/>
                    </w:rPr>
                  </w:pPr>
                  <w:r>
                    <w:rPr>
                      <w:b/>
                    </w:rPr>
                    <w:t>保证率日平均浓度和年平均浓度叠加值</w:t>
                  </w:r>
                </w:p>
              </w:tc>
              <w:tc>
                <w:tcPr>
                  <w:tcW w:w="3804" w:type="dxa"/>
                  <w:gridSpan w:val="13"/>
                  <w:vAlign w:val="center"/>
                </w:tcPr>
                <w:p>
                  <w:pPr>
                    <w:adjustRightInd w:val="0"/>
                    <w:snapToGrid w:val="0"/>
                    <w:spacing w:line="240" w:lineRule="exact"/>
                    <w:jc w:val="center"/>
                  </w:pPr>
                  <w:r>
                    <w:rPr>
                      <w:i/>
                    </w:rPr>
                    <w:t>C</w:t>
                  </w:r>
                  <w:r>
                    <w:rPr>
                      <w:vertAlign w:val="subscript"/>
                    </w:rPr>
                    <w:t>叠加</w:t>
                  </w:r>
                  <w:r>
                    <w:t>达标 □</w:t>
                  </w:r>
                </w:p>
              </w:tc>
              <w:tc>
                <w:tcPr>
                  <w:tcW w:w="3045" w:type="dxa"/>
                  <w:gridSpan w:val="10"/>
                  <w:vAlign w:val="center"/>
                </w:tcPr>
                <w:p>
                  <w:pPr>
                    <w:adjustRightInd w:val="0"/>
                    <w:snapToGrid w:val="0"/>
                    <w:spacing w:line="240" w:lineRule="exact"/>
                    <w:jc w:val="center"/>
                  </w:pPr>
                  <w:r>
                    <w:rPr>
                      <w:i/>
                    </w:rPr>
                    <w:t>C</w:t>
                  </w:r>
                  <w:r>
                    <w:rPr>
                      <w:vertAlign w:val="subscript"/>
                    </w:rPr>
                    <w:t>叠加</w:t>
                  </w:r>
                  <w:r>
                    <w:t>不达标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ind w:left="-80" w:leftChars="-38" w:right="-63" w:rightChars="-30"/>
                    <w:jc w:val="center"/>
                    <w:rPr>
                      <w:b/>
                    </w:rPr>
                  </w:pPr>
                  <w:r>
                    <w:rPr>
                      <w:b/>
                    </w:rPr>
                    <w:t>区域环境质量的整体变化情况</w:t>
                  </w:r>
                </w:p>
              </w:tc>
              <w:tc>
                <w:tcPr>
                  <w:tcW w:w="3804" w:type="dxa"/>
                  <w:gridSpan w:val="13"/>
                  <w:vAlign w:val="center"/>
                </w:tcPr>
                <w:p>
                  <w:pPr>
                    <w:adjustRightInd w:val="0"/>
                    <w:snapToGrid w:val="0"/>
                    <w:spacing w:line="240" w:lineRule="exact"/>
                    <w:jc w:val="center"/>
                  </w:pPr>
                  <w:r>
                    <w:rPr>
                      <w:i/>
                    </w:rPr>
                    <w:t xml:space="preserve">k </w:t>
                  </w:r>
                  <w:r>
                    <w:t>≤-20% □</w:t>
                  </w:r>
                </w:p>
              </w:tc>
              <w:tc>
                <w:tcPr>
                  <w:tcW w:w="3045" w:type="dxa"/>
                  <w:gridSpan w:val="10"/>
                  <w:vAlign w:val="center"/>
                </w:tcPr>
                <w:p>
                  <w:pPr>
                    <w:adjustRightInd w:val="0"/>
                    <w:snapToGrid w:val="0"/>
                    <w:spacing w:line="240" w:lineRule="exact"/>
                    <w:jc w:val="center"/>
                  </w:pPr>
                  <w:r>
                    <w:rPr>
                      <w:i/>
                    </w:rPr>
                    <w:t xml:space="preserve">k </w:t>
                  </w:r>
                  <w:r>
                    <w:t>＞-20%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81" w:type="dxa"/>
                  <w:vMerge w:val="restart"/>
                  <w:vAlign w:val="center"/>
                </w:tcPr>
                <w:p>
                  <w:pPr>
                    <w:adjustRightInd w:val="0"/>
                    <w:snapToGrid w:val="0"/>
                    <w:spacing w:line="240" w:lineRule="exact"/>
                    <w:jc w:val="center"/>
                    <w:rPr>
                      <w:b/>
                    </w:rPr>
                  </w:pPr>
                  <w:r>
                    <w:rPr>
                      <w:b/>
                    </w:rPr>
                    <w:t>环境监测计划</w:t>
                  </w:r>
                </w:p>
              </w:tc>
              <w:tc>
                <w:tcPr>
                  <w:tcW w:w="1176" w:type="dxa"/>
                  <w:vMerge w:val="restart"/>
                  <w:vAlign w:val="center"/>
                </w:tcPr>
                <w:p>
                  <w:pPr>
                    <w:adjustRightInd w:val="0"/>
                    <w:snapToGrid w:val="0"/>
                    <w:spacing w:line="240" w:lineRule="exact"/>
                    <w:ind w:left="-80" w:leftChars="-38" w:right="-63" w:rightChars="-30"/>
                    <w:jc w:val="center"/>
                    <w:rPr>
                      <w:b/>
                    </w:rPr>
                  </w:pPr>
                  <w:r>
                    <w:rPr>
                      <w:b/>
                    </w:rPr>
                    <w:t>污染源监测</w:t>
                  </w:r>
                </w:p>
              </w:tc>
              <w:tc>
                <w:tcPr>
                  <w:tcW w:w="2373" w:type="dxa"/>
                  <w:gridSpan w:val="9"/>
                  <w:vAlign w:val="center"/>
                </w:tcPr>
                <w:p>
                  <w:pPr>
                    <w:adjustRightInd w:val="0"/>
                    <w:snapToGrid w:val="0"/>
                    <w:spacing w:line="240" w:lineRule="exact"/>
                    <w:jc w:val="center"/>
                  </w:pPr>
                  <w:r>
                    <w:t>监测因子：</w:t>
                  </w:r>
                  <w:r>
                    <w:rPr>
                      <w:rFonts w:hint="eastAsia"/>
                    </w:rPr>
                    <w:t>颗粒物</w:t>
                  </w:r>
                </w:p>
              </w:tc>
              <w:tc>
                <w:tcPr>
                  <w:tcW w:w="3082" w:type="dxa"/>
                  <w:gridSpan w:val="9"/>
                  <w:vAlign w:val="center"/>
                </w:tcPr>
                <w:p>
                  <w:pPr>
                    <w:adjustRightInd w:val="0"/>
                    <w:snapToGrid w:val="0"/>
                    <w:spacing w:line="240" w:lineRule="exact"/>
                    <w:jc w:val="center"/>
                  </w:pPr>
                  <w:r>
                    <w:t xml:space="preserve">有组织废气监测 </w:t>
                  </w:r>
                  <w:r>
                    <w:fldChar w:fldCharType="begin"/>
                  </w:r>
                  <w:r>
                    <w:instrText xml:space="preserve"> eq \o\ac(</w:instrText>
                  </w:r>
                  <w:r>
                    <w:rPr>
                      <w:position w:val="-4"/>
                      <w:sz w:val="31"/>
                    </w:rPr>
                    <w:instrText xml:space="preserve">□</w:instrText>
                  </w:r>
                  <w:r>
                    <w:rPr>
                      <w:rFonts w:hint="eastAsia"/>
                      <w:position w:val="-4"/>
                      <w:sz w:val="31"/>
                    </w:rPr>
                    <w:instrText xml:space="preserve">,</w:instrText>
                  </w:r>
                  <w:r>
                    <w:rPr>
                      <w:rFonts w:hint="eastAsia"/>
                    </w:rPr>
                    <w:instrText xml:space="preserve">√</w:instrText>
                  </w:r>
                  <w:r>
                    <w:instrText xml:space="preserve">)</w:instrText>
                  </w:r>
                  <w:r>
                    <w:fldChar w:fldCharType="end"/>
                  </w:r>
                </w:p>
                <w:p>
                  <w:pPr>
                    <w:adjustRightInd w:val="0"/>
                    <w:snapToGrid w:val="0"/>
                    <w:spacing w:line="240" w:lineRule="exact"/>
                    <w:jc w:val="center"/>
                  </w:pPr>
                  <w:r>
                    <w:t xml:space="preserve">无组织废气监测 </w:t>
                  </w:r>
                  <w:r>
                    <w:fldChar w:fldCharType="begin"/>
                  </w:r>
                  <w:r>
                    <w:instrText xml:space="preserve"> eq \o\ac(</w:instrText>
                  </w:r>
                  <w:r>
                    <w:rPr>
                      <w:position w:val="-4"/>
                      <w:sz w:val="31"/>
                    </w:rPr>
                    <w:instrText xml:space="preserve">□</w:instrText>
                  </w:r>
                  <w:r>
                    <w:instrText xml:space="preserve">,√)</w:instrText>
                  </w:r>
                  <w:r>
                    <w:fldChar w:fldCharType="end"/>
                  </w:r>
                </w:p>
              </w:tc>
              <w:tc>
                <w:tcPr>
                  <w:tcW w:w="1394" w:type="dxa"/>
                  <w:gridSpan w:val="5"/>
                  <w:vAlign w:val="center"/>
                </w:tcPr>
                <w:p>
                  <w:pPr>
                    <w:adjustRightInd w:val="0"/>
                    <w:snapToGrid w:val="0"/>
                    <w:spacing w:line="240" w:lineRule="exact"/>
                    <w:jc w:val="center"/>
                  </w:pPr>
                  <w: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81" w:type="dxa"/>
                  <w:vMerge w:val="continue"/>
                  <w:vAlign w:val="center"/>
                </w:tcPr>
                <w:p>
                  <w:pPr>
                    <w:adjustRightInd w:val="0"/>
                    <w:snapToGrid w:val="0"/>
                    <w:spacing w:line="240" w:lineRule="exact"/>
                    <w:jc w:val="center"/>
                    <w:rPr>
                      <w:b/>
                    </w:rPr>
                  </w:pPr>
                </w:p>
              </w:tc>
              <w:tc>
                <w:tcPr>
                  <w:tcW w:w="1176" w:type="dxa"/>
                  <w:vMerge w:val="continue"/>
                  <w:vAlign w:val="center"/>
                </w:tcPr>
                <w:p>
                  <w:pPr>
                    <w:adjustRightInd w:val="0"/>
                    <w:snapToGrid w:val="0"/>
                    <w:spacing w:line="240" w:lineRule="exact"/>
                    <w:ind w:left="-80" w:leftChars="-38" w:right="-63" w:rightChars="-30"/>
                    <w:jc w:val="center"/>
                    <w:rPr>
                      <w:b/>
                    </w:rPr>
                  </w:pPr>
                </w:p>
              </w:tc>
              <w:tc>
                <w:tcPr>
                  <w:tcW w:w="2373" w:type="dxa"/>
                  <w:gridSpan w:val="9"/>
                  <w:vAlign w:val="center"/>
                </w:tcPr>
                <w:p>
                  <w:pPr>
                    <w:adjustRightInd w:val="0"/>
                    <w:snapToGrid w:val="0"/>
                    <w:spacing w:line="240" w:lineRule="exact"/>
                    <w:jc w:val="center"/>
                  </w:pPr>
                  <w:r>
                    <w:t>监测因子：</w:t>
                  </w:r>
                  <w:r>
                    <w:rPr>
                      <w:rFonts w:hint="eastAsia"/>
                    </w:rPr>
                    <w:t>氮氧化物</w:t>
                  </w:r>
                </w:p>
              </w:tc>
              <w:tc>
                <w:tcPr>
                  <w:tcW w:w="3082" w:type="dxa"/>
                  <w:gridSpan w:val="9"/>
                  <w:vAlign w:val="center"/>
                </w:tcPr>
                <w:p>
                  <w:pPr>
                    <w:adjustRightInd w:val="0"/>
                    <w:snapToGrid w:val="0"/>
                    <w:spacing w:line="240" w:lineRule="exact"/>
                    <w:jc w:val="center"/>
                  </w:pPr>
                  <w:r>
                    <w:t xml:space="preserve">有组织废气监测 </w:t>
                  </w:r>
                  <w:r>
                    <w:fldChar w:fldCharType="begin"/>
                  </w:r>
                  <w:r>
                    <w:instrText xml:space="preserve"> eq \o\ac(</w:instrText>
                  </w:r>
                  <w:r>
                    <w:rPr>
                      <w:position w:val="-4"/>
                      <w:sz w:val="31"/>
                    </w:rPr>
                    <w:instrText xml:space="preserve">□</w:instrText>
                  </w:r>
                  <w:r>
                    <w:rPr>
                      <w:rFonts w:hint="eastAsia"/>
                      <w:position w:val="-4"/>
                      <w:sz w:val="31"/>
                    </w:rPr>
                    <w:instrText xml:space="preserve">,</w:instrText>
                  </w:r>
                  <w:r>
                    <w:rPr>
                      <w:rFonts w:hint="eastAsia"/>
                    </w:rPr>
                    <w:instrText xml:space="preserve">√</w:instrText>
                  </w:r>
                  <w:r>
                    <w:instrText xml:space="preserve">)</w:instrText>
                  </w:r>
                  <w:r>
                    <w:fldChar w:fldCharType="end"/>
                  </w:r>
                </w:p>
                <w:p>
                  <w:pPr>
                    <w:adjustRightInd w:val="0"/>
                    <w:snapToGrid w:val="0"/>
                    <w:spacing w:line="240" w:lineRule="exact"/>
                    <w:jc w:val="center"/>
                  </w:pPr>
                  <w:r>
                    <w:t xml:space="preserve">无组织废气监测 </w:t>
                  </w:r>
                  <w:r>
                    <w:fldChar w:fldCharType="begin"/>
                  </w:r>
                  <w:r>
                    <w:instrText xml:space="preserve"> eq \o\ac(</w:instrText>
                  </w:r>
                  <w:r>
                    <w:rPr>
                      <w:position w:val="-4"/>
                      <w:sz w:val="31"/>
                    </w:rPr>
                    <w:instrText xml:space="preserve">□</w:instrText>
                  </w:r>
                  <w:r>
                    <w:instrText xml:space="preserve">)</w:instrText>
                  </w:r>
                  <w:r>
                    <w:fldChar w:fldCharType="end"/>
                  </w:r>
                </w:p>
              </w:tc>
              <w:tc>
                <w:tcPr>
                  <w:tcW w:w="1394" w:type="dxa"/>
                  <w:gridSpan w:val="5"/>
                  <w:vAlign w:val="center"/>
                </w:tcPr>
                <w:p>
                  <w:pPr>
                    <w:adjustRightInd w:val="0"/>
                    <w:snapToGrid w:val="0"/>
                    <w:spacing w:line="240" w:lineRule="exact"/>
                    <w:jc w:val="center"/>
                  </w:pPr>
                  <w: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81" w:type="dxa"/>
                  <w:vMerge w:val="continue"/>
                  <w:vAlign w:val="center"/>
                </w:tcPr>
                <w:p>
                  <w:pPr>
                    <w:adjustRightInd w:val="0"/>
                    <w:snapToGrid w:val="0"/>
                    <w:spacing w:line="240" w:lineRule="exact"/>
                    <w:jc w:val="center"/>
                    <w:rPr>
                      <w:b/>
                    </w:rPr>
                  </w:pPr>
                </w:p>
              </w:tc>
              <w:tc>
                <w:tcPr>
                  <w:tcW w:w="1176" w:type="dxa"/>
                  <w:vMerge w:val="continue"/>
                  <w:vAlign w:val="center"/>
                </w:tcPr>
                <w:p>
                  <w:pPr>
                    <w:adjustRightInd w:val="0"/>
                    <w:snapToGrid w:val="0"/>
                    <w:spacing w:line="240" w:lineRule="exact"/>
                    <w:ind w:left="-80" w:leftChars="-38" w:right="-63" w:rightChars="-30"/>
                    <w:jc w:val="center"/>
                    <w:rPr>
                      <w:b/>
                    </w:rPr>
                  </w:pPr>
                </w:p>
              </w:tc>
              <w:tc>
                <w:tcPr>
                  <w:tcW w:w="2373" w:type="dxa"/>
                  <w:gridSpan w:val="9"/>
                  <w:vAlign w:val="center"/>
                </w:tcPr>
                <w:p>
                  <w:pPr>
                    <w:adjustRightInd w:val="0"/>
                    <w:snapToGrid w:val="0"/>
                    <w:spacing w:line="240" w:lineRule="exact"/>
                    <w:jc w:val="center"/>
                  </w:pPr>
                  <w:r>
                    <w:t>监测因子：</w:t>
                  </w:r>
                  <w:r>
                    <w:rPr>
                      <w:rFonts w:hint="eastAsia"/>
                    </w:rPr>
                    <w:t>二氧化硫</w:t>
                  </w:r>
                </w:p>
              </w:tc>
              <w:tc>
                <w:tcPr>
                  <w:tcW w:w="3082" w:type="dxa"/>
                  <w:gridSpan w:val="9"/>
                  <w:vAlign w:val="center"/>
                </w:tcPr>
                <w:p>
                  <w:pPr>
                    <w:adjustRightInd w:val="0"/>
                    <w:snapToGrid w:val="0"/>
                    <w:spacing w:line="240" w:lineRule="exact"/>
                    <w:jc w:val="center"/>
                  </w:pPr>
                  <w:r>
                    <w:t xml:space="preserve">有组织废气监测 </w:t>
                  </w:r>
                  <w:r>
                    <w:fldChar w:fldCharType="begin"/>
                  </w:r>
                  <w:r>
                    <w:instrText xml:space="preserve"> eq \o\ac(</w:instrText>
                  </w:r>
                  <w:r>
                    <w:rPr>
                      <w:position w:val="-4"/>
                      <w:sz w:val="31"/>
                    </w:rPr>
                    <w:instrText xml:space="preserve">□</w:instrText>
                  </w:r>
                  <w:r>
                    <w:rPr>
                      <w:rFonts w:hint="eastAsia"/>
                      <w:position w:val="-4"/>
                      <w:sz w:val="31"/>
                    </w:rPr>
                    <w:instrText xml:space="preserve">,</w:instrText>
                  </w:r>
                  <w:r>
                    <w:rPr>
                      <w:rFonts w:hint="eastAsia"/>
                    </w:rPr>
                    <w:instrText xml:space="preserve">√</w:instrText>
                  </w:r>
                  <w:r>
                    <w:instrText xml:space="preserve">)</w:instrText>
                  </w:r>
                  <w:r>
                    <w:fldChar w:fldCharType="end"/>
                  </w:r>
                </w:p>
                <w:p>
                  <w:pPr>
                    <w:adjustRightInd w:val="0"/>
                    <w:snapToGrid w:val="0"/>
                    <w:spacing w:line="240" w:lineRule="exact"/>
                    <w:jc w:val="center"/>
                  </w:pPr>
                  <w:r>
                    <w:t xml:space="preserve">无组织废气监测 </w:t>
                  </w:r>
                  <w:r>
                    <w:fldChar w:fldCharType="begin"/>
                  </w:r>
                  <w:r>
                    <w:instrText xml:space="preserve"> eq \o\ac(</w:instrText>
                  </w:r>
                  <w:r>
                    <w:rPr>
                      <w:position w:val="-4"/>
                      <w:sz w:val="31"/>
                    </w:rPr>
                    <w:instrText xml:space="preserve">□</w:instrText>
                  </w:r>
                  <w:r>
                    <w:instrText xml:space="preserve">)</w:instrText>
                  </w:r>
                  <w:r>
                    <w:fldChar w:fldCharType="end"/>
                  </w:r>
                </w:p>
              </w:tc>
              <w:tc>
                <w:tcPr>
                  <w:tcW w:w="1394" w:type="dxa"/>
                  <w:gridSpan w:val="5"/>
                  <w:vAlign w:val="center"/>
                </w:tcPr>
                <w:p>
                  <w:pPr>
                    <w:adjustRightInd w:val="0"/>
                    <w:snapToGrid w:val="0"/>
                    <w:spacing w:line="240" w:lineRule="exact"/>
                    <w:jc w:val="center"/>
                  </w:pPr>
                  <w: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ind w:left="-80" w:leftChars="-38" w:right="-63" w:rightChars="-30"/>
                    <w:jc w:val="center"/>
                    <w:rPr>
                      <w:b/>
                    </w:rPr>
                  </w:pPr>
                  <w:r>
                    <w:rPr>
                      <w:b/>
                    </w:rPr>
                    <w:t>环境质量监测</w:t>
                  </w:r>
                </w:p>
              </w:tc>
              <w:tc>
                <w:tcPr>
                  <w:tcW w:w="2373" w:type="dxa"/>
                  <w:gridSpan w:val="9"/>
                  <w:vAlign w:val="center"/>
                </w:tcPr>
                <w:p>
                  <w:pPr>
                    <w:adjustRightInd w:val="0"/>
                    <w:snapToGrid w:val="0"/>
                    <w:spacing w:line="240" w:lineRule="exact"/>
                    <w:jc w:val="center"/>
                  </w:pPr>
                  <w:r>
                    <w:t>监测因子：</w:t>
                  </w:r>
                  <w:r>
                    <w:rPr>
                      <w:rFonts w:hint="eastAsia"/>
                    </w:rPr>
                    <w:t>颗粒物、氮氧化物、二氧化硫</w:t>
                  </w:r>
                </w:p>
              </w:tc>
              <w:tc>
                <w:tcPr>
                  <w:tcW w:w="3082" w:type="dxa"/>
                  <w:gridSpan w:val="9"/>
                  <w:vAlign w:val="center"/>
                </w:tcPr>
                <w:p>
                  <w:pPr>
                    <w:adjustRightInd w:val="0"/>
                    <w:snapToGrid w:val="0"/>
                    <w:spacing w:line="240" w:lineRule="exact"/>
                    <w:jc w:val="center"/>
                  </w:pPr>
                  <w:r>
                    <w:t>监测点位数(</w:t>
                  </w:r>
                  <w:r>
                    <w:rPr>
                      <w:rFonts w:hint="eastAsia"/>
                    </w:rPr>
                    <w:t>4</w:t>
                  </w:r>
                  <w:r>
                    <w:t>)</w:t>
                  </w:r>
                </w:p>
              </w:tc>
              <w:tc>
                <w:tcPr>
                  <w:tcW w:w="1394" w:type="dxa"/>
                  <w:gridSpan w:val="5"/>
                  <w:vAlign w:val="center"/>
                </w:tcPr>
                <w:p>
                  <w:pPr>
                    <w:adjustRightInd w:val="0"/>
                    <w:snapToGrid w:val="0"/>
                    <w:spacing w:line="240" w:lineRule="exact"/>
                    <w:jc w:val="center"/>
                  </w:pPr>
                  <w: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81" w:type="dxa"/>
                  <w:vMerge w:val="restart"/>
                  <w:vAlign w:val="center"/>
                </w:tcPr>
                <w:p>
                  <w:pPr>
                    <w:adjustRightInd w:val="0"/>
                    <w:snapToGrid w:val="0"/>
                    <w:spacing w:line="240" w:lineRule="exact"/>
                    <w:ind w:left="-80" w:leftChars="-38" w:right="-63" w:rightChars="-30"/>
                    <w:jc w:val="center"/>
                    <w:rPr>
                      <w:b/>
                    </w:rPr>
                  </w:pPr>
                  <w:r>
                    <w:rPr>
                      <w:b/>
                    </w:rPr>
                    <w:t>评价</w:t>
                  </w:r>
                </w:p>
                <w:p>
                  <w:pPr>
                    <w:adjustRightInd w:val="0"/>
                    <w:snapToGrid w:val="0"/>
                    <w:spacing w:line="240" w:lineRule="exact"/>
                    <w:ind w:left="-80" w:leftChars="-38" w:right="-63" w:rightChars="-30"/>
                    <w:jc w:val="center"/>
                    <w:rPr>
                      <w:b/>
                    </w:rPr>
                  </w:pPr>
                  <w:r>
                    <w:rPr>
                      <w:b/>
                    </w:rPr>
                    <w:t>结论</w:t>
                  </w:r>
                </w:p>
              </w:tc>
              <w:tc>
                <w:tcPr>
                  <w:tcW w:w="1176" w:type="dxa"/>
                  <w:vAlign w:val="center"/>
                </w:tcPr>
                <w:p>
                  <w:pPr>
                    <w:adjustRightInd w:val="0"/>
                    <w:snapToGrid w:val="0"/>
                    <w:spacing w:line="240" w:lineRule="exact"/>
                    <w:jc w:val="center"/>
                    <w:rPr>
                      <w:b/>
                    </w:rPr>
                  </w:pPr>
                  <w:r>
                    <w:rPr>
                      <w:b/>
                    </w:rPr>
                    <w:t>环境影响</w:t>
                  </w:r>
                </w:p>
              </w:tc>
              <w:tc>
                <w:tcPr>
                  <w:tcW w:w="6849" w:type="dxa"/>
                  <w:gridSpan w:val="23"/>
                  <w:vAlign w:val="center"/>
                </w:tcPr>
                <w:p>
                  <w:pPr>
                    <w:adjustRightInd w:val="0"/>
                    <w:snapToGrid w:val="0"/>
                    <w:spacing w:line="240" w:lineRule="exact"/>
                    <w:jc w:val="center"/>
                  </w:pPr>
                  <w:r>
                    <w:t xml:space="preserve">可以接受 </w:t>
                  </w:r>
                  <w:r>
                    <w:fldChar w:fldCharType="begin"/>
                  </w:r>
                  <w:r>
                    <w:instrText xml:space="preserve"> eq \o\ac(</w:instrText>
                  </w:r>
                  <w:r>
                    <w:rPr>
                      <w:position w:val="-4"/>
                      <w:sz w:val="31"/>
                    </w:rPr>
                    <w:instrText xml:space="preserve">□</w:instrText>
                  </w:r>
                  <w:r>
                    <w:instrText xml:space="preserve">,√)</w:instrText>
                  </w:r>
                  <w:r>
                    <w:fldChar w:fldCharType="end"/>
                  </w:r>
                  <w:r>
                    <w:t xml:space="preserve">              不可以接受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jc w:val="center"/>
                    <w:rPr>
                      <w:b/>
                    </w:rPr>
                  </w:pPr>
                  <w:r>
                    <w:rPr>
                      <w:b/>
                    </w:rPr>
                    <w:t>大气环境</w:t>
                  </w:r>
                </w:p>
                <w:p>
                  <w:pPr>
                    <w:adjustRightInd w:val="0"/>
                    <w:snapToGrid w:val="0"/>
                    <w:spacing w:line="240" w:lineRule="exact"/>
                    <w:jc w:val="center"/>
                    <w:rPr>
                      <w:b/>
                    </w:rPr>
                  </w:pPr>
                  <w:r>
                    <w:rPr>
                      <w:b/>
                    </w:rPr>
                    <w:t>防护距离</w:t>
                  </w:r>
                </w:p>
              </w:tc>
              <w:tc>
                <w:tcPr>
                  <w:tcW w:w="6849" w:type="dxa"/>
                  <w:gridSpan w:val="23"/>
                  <w:vAlign w:val="center"/>
                </w:tcPr>
                <w:p>
                  <w:pPr>
                    <w:adjustRightInd w:val="0"/>
                    <w:snapToGrid w:val="0"/>
                    <w:spacing w:line="240" w:lineRule="exact"/>
                    <w:jc w:val="center"/>
                  </w:pPr>
                  <w:r>
                    <w:t>距(/)厂界最远( /)m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1" w:type="dxa"/>
                  <w:vMerge w:val="continue"/>
                  <w:vAlign w:val="center"/>
                </w:tcPr>
                <w:p>
                  <w:pPr>
                    <w:adjustRightInd w:val="0"/>
                    <w:snapToGrid w:val="0"/>
                    <w:spacing w:line="240" w:lineRule="exact"/>
                    <w:jc w:val="center"/>
                    <w:rPr>
                      <w:b/>
                    </w:rPr>
                  </w:pPr>
                </w:p>
              </w:tc>
              <w:tc>
                <w:tcPr>
                  <w:tcW w:w="1176" w:type="dxa"/>
                  <w:vAlign w:val="center"/>
                </w:tcPr>
                <w:p>
                  <w:pPr>
                    <w:adjustRightInd w:val="0"/>
                    <w:snapToGrid w:val="0"/>
                    <w:spacing w:line="240" w:lineRule="exact"/>
                    <w:jc w:val="center"/>
                    <w:rPr>
                      <w:b/>
                    </w:rPr>
                  </w:pPr>
                  <w:r>
                    <w:rPr>
                      <w:b/>
                    </w:rPr>
                    <w:t>污染源</w:t>
                  </w:r>
                </w:p>
                <w:p>
                  <w:pPr>
                    <w:adjustRightInd w:val="0"/>
                    <w:snapToGrid w:val="0"/>
                    <w:spacing w:line="240" w:lineRule="exact"/>
                    <w:jc w:val="center"/>
                    <w:rPr>
                      <w:b/>
                    </w:rPr>
                  </w:pPr>
                  <w:r>
                    <w:rPr>
                      <w:b/>
                    </w:rPr>
                    <w:t>年排放量</w:t>
                  </w:r>
                </w:p>
              </w:tc>
              <w:tc>
                <w:tcPr>
                  <w:tcW w:w="1531" w:type="dxa"/>
                  <w:gridSpan w:val="3"/>
                  <w:vAlign w:val="center"/>
                </w:tcPr>
                <w:p>
                  <w:pPr>
                    <w:adjustRightInd w:val="0"/>
                    <w:snapToGrid w:val="0"/>
                    <w:spacing w:line="240" w:lineRule="exact"/>
                    <w:jc w:val="center"/>
                    <w:rPr>
                      <w:lang w:val="en-US"/>
                    </w:rPr>
                  </w:pPr>
                  <w:r>
                    <w:t>SO</w:t>
                  </w:r>
                  <w:r>
                    <w:rPr>
                      <w:sz w:val="15"/>
                    </w:rPr>
                    <w:t>2</w:t>
                  </w:r>
                  <w:r>
                    <w:t>：</w:t>
                  </w:r>
                  <w:r>
                    <w:rPr>
                      <w:rFonts w:hint="eastAsia"/>
                    </w:rPr>
                    <w:t>0.1</w:t>
                  </w:r>
                  <w:r>
                    <w:rPr>
                      <w:rFonts w:hint="eastAsia"/>
                      <w:lang w:val="en-US" w:eastAsia="zh-CN"/>
                    </w:rPr>
                    <w:t>6</w:t>
                  </w:r>
                  <w:r>
                    <w:t xml:space="preserve"> t/a</w:t>
                  </w:r>
                </w:p>
              </w:tc>
              <w:tc>
                <w:tcPr>
                  <w:tcW w:w="1747" w:type="dxa"/>
                  <w:gridSpan w:val="7"/>
                  <w:vAlign w:val="center"/>
                </w:tcPr>
                <w:p>
                  <w:pPr>
                    <w:adjustRightInd w:val="0"/>
                    <w:snapToGrid w:val="0"/>
                    <w:spacing w:line="240" w:lineRule="exact"/>
                    <w:jc w:val="center"/>
                    <w:rPr>
                      <w:lang w:val="en-US"/>
                    </w:rPr>
                  </w:pPr>
                  <w:r>
                    <w:t>NO</w:t>
                  </w:r>
                  <w:r>
                    <w:rPr>
                      <w:sz w:val="11"/>
                    </w:rPr>
                    <w:t>X</w:t>
                  </w:r>
                  <w:r>
                    <w:t>：</w:t>
                  </w:r>
                  <w:r>
                    <w:rPr>
                      <w:rFonts w:hint="eastAsia"/>
                    </w:rPr>
                    <w:t>0</w:t>
                  </w:r>
                  <w:r>
                    <w:rPr>
                      <w:rFonts w:hint="eastAsia"/>
                      <w:lang w:val="en-US" w:eastAsia="zh-CN"/>
                    </w:rPr>
                    <w:t>.75</w:t>
                  </w:r>
                  <w:r>
                    <w:t>t/a</w:t>
                  </w:r>
                </w:p>
              </w:tc>
              <w:tc>
                <w:tcPr>
                  <w:tcW w:w="2255" w:type="dxa"/>
                  <w:gridSpan w:val="9"/>
                  <w:vAlign w:val="center"/>
                </w:tcPr>
                <w:p>
                  <w:pPr>
                    <w:adjustRightInd w:val="0"/>
                    <w:snapToGrid w:val="0"/>
                    <w:spacing w:line="240" w:lineRule="exact"/>
                    <w:jc w:val="center"/>
                  </w:pPr>
                  <w:r>
                    <w:rPr>
                      <w:rFonts w:hint="eastAsia"/>
                    </w:rPr>
                    <w:t>颗粒物</w:t>
                  </w:r>
                  <w:r>
                    <w:t>：0.</w:t>
                  </w:r>
                  <w:r>
                    <w:rPr>
                      <w:rFonts w:hint="eastAsia"/>
                      <w:lang w:val="en-US" w:eastAsia="zh-CN"/>
                    </w:rPr>
                    <w:t>223</w:t>
                  </w:r>
                  <w:r>
                    <w:t>t/a</w:t>
                  </w:r>
                </w:p>
              </w:tc>
              <w:tc>
                <w:tcPr>
                  <w:tcW w:w="1316" w:type="dxa"/>
                  <w:gridSpan w:val="4"/>
                  <w:vAlign w:val="center"/>
                </w:tcPr>
                <w:p>
                  <w:pPr>
                    <w:adjustRightInd w:val="0"/>
                    <w:snapToGrid w:val="0"/>
                    <w:spacing w:line="240" w:lineRule="exact"/>
                    <w:jc w:val="center"/>
                  </w:pPr>
                  <w:r>
                    <w:t>VOC</w:t>
                  </w:r>
                  <w:r>
                    <w:rPr>
                      <w:sz w:val="15"/>
                    </w:rPr>
                    <w:t>S</w:t>
                  </w:r>
                  <w: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06" w:type="dxa"/>
                  <w:gridSpan w:val="25"/>
                  <w:vAlign w:val="center"/>
                </w:tcPr>
                <w:p>
                  <w:pPr>
                    <w:adjustRightInd w:val="0"/>
                    <w:snapToGrid w:val="0"/>
                    <w:spacing w:line="240" w:lineRule="exact"/>
                    <w:jc w:val="left"/>
                    <w:rPr>
                      <w:b/>
                    </w:rPr>
                  </w:pPr>
                  <w:r>
                    <w:rPr>
                      <w:b/>
                    </w:rPr>
                    <w:t>注：“□” 为勾选项，填“√” ； “(    )”为内容填写项</w:t>
                  </w:r>
                </w:p>
              </w:tc>
            </w:tr>
          </w:tbl>
          <w:p>
            <w:pPr>
              <w:spacing w:beforeLines="50" w:line="360" w:lineRule="auto"/>
              <w:ind w:firstLine="482" w:firstLineChars="200"/>
              <w:rPr>
                <w:b/>
                <w:szCs w:val="21"/>
              </w:rPr>
            </w:pPr>
            <w:r>
              <w:rPr>
                <w:b/>
                <w:kern w:val="0"/>
                <w:sz w:val="24"/>
                <w:szCs w:val="24"/>
              </w:rPr>
              <w:t>2</w:t>
            </w:r>
            <w:r>
              <w:rPr>
                <w:rFonts w:hint="eastAsia"/>
                <w:b/>
                <w:kern w:val="0"/>
                <w:sz w:val="24"/>
                <w:szCs w:val="24"/>
              </w:rPr>
              <w:t>、</w:t>
            </w:r>
            <w:r>
              <w:rPr>
                <w:rFonts w:hint="eastAsia" w:hAnsi="宋体"/>
                <w:b/>
                <w:kern w:val="0"/>
                <w:sz w:val="24"/>
                <w:szCs w:val="24"/>
              </w:rPr>
              <w:t>水环境影响分析</w:t>
            </w:r>
          </w:p>
          <w:p>
            <w:pPr>
              <w:spacing w:line="360" w:lineRule="auto"/>
              <w:ind w:firstLine="480" w:firstLineChars="200"/>
              <w:rPr>
                <w:sz w:val="24"/>
                <w:szCs w:val="24"/>
              </w:rPr>
            </w:pPr>
            <w:r>
              <w:rPr>
                <w:rFonts w:hint="eastAsia"/>
                <w:sz w:val="24"/>
                <w:szCs w:val="24"/>
              </w:rPr>
              <w:t>本项目无生产废水</w:t>
            </w:r>
            <w:r>
              <w:rPr>
                <w:rFonts w:hint="eastAsia"/>
                <w:sz w:val="24"/>
                <w:szCs w:val="24"/>
                <w:lang w:eastAsia="zh-CN"/>
              </w:rPr>
              <w:t>产生及</w:t>
            </w:r>
            <w:r>
              <w:rPr>
                <w:rFonts w:hint="eastAsia"/>
                <w:sz w:val="24"/>
                <w:szCs w:val="24"/>
              </w:rPr>
              <w:t>排放</w:t>
            </w:r>
            <w:r>
              <w:rPr>
                <w:rFonts w:hint="eastAsia"/>
                <w:sz w:val="24"/>
                <w:szCs w:val="24"/>
                <w:lang w:eastAsia="zh-CN"/>
              </w:rPr>
              <w:t>，</w:t>
            </w:r>
            <w:r>
              <w:rPr>
                <w:rFonts w:hint="eastAsia"/>
                <w:sz w:val="24"/>
                <w:szCs w:val="24"/>
              </w:rPr>
              <w:t>仅有生活污水产生量为</w:t>
            </w:r>
            <w:r>
              <w:rPr>
                <w:rFonts w:hint="eastAsia"/>
                <w:sz w:val="24"/>
                <w:szCs w:val="24"/>
                <w:lang w:val="en-US" w:eastAsia="zh-CN"/>
              </w:rPr>
              <w:t>99.84</w:t>
            </w:r>
            <w:r>
              <w:rPr>
                <w:rFonts w:hint="eastAsia"/>
                <w:sz w:val="24"/>
                <w:szCs w:val="24"/>
              </w:rPr>
              <w:t>t/a，则各污染物产生量约为COD：</w:t>
            </w:r>
            <w:r>
              <w:rPr>
                <w:sz w:val="24"/>
                <w:szCs w:val="24"/>
              </w:rPr>
              <w:t>0.</w:t>
            </w:r>
            <w:r>
              <w:rPr>
                <w:rFonts w:hint="eastAsia"/>
                <w:sz w:val="24"/>
                <w:szCs w:val="24"/>
              </w:rPr>
              <w:t>0</w:t>
            </w:r>
            <w:r>
              <w:rPr>
                <w:rFonts w:hint="eastAsia"/>
                <w:sz w:val="24"/>
                <w:szCs w:val="24"/>
                <w:lang w:val="en-US" w:eastAsia="zh-CN"/>
              </w:rPr>
              <w:t>35</w:t>
            </w:r>
            <w:r>
              <w:rPr>
                <w:rFonts w:hint="eastAsia"/>
                <w:sz w:val="24"/>
                <w:szCs w:val="24"/>
              </w:rPr>
              <w:t>t/a</w:t>
            </w:r>
            <w:r>
              <w:rPr>
                <w:rFonts w:hint="eastAsia"/>
                <w:sz w:val="24"/>
                <w:szCs w:val="24"/>
                <w:lang w:val="en-US"/>
              </w:rPr>
              <w:t>、</w:t>
            </w:r>
            <w:r>
              <w:rPr>
                <w:rFonts w:hint="eastAsia"/>
                <w:sz w:val="24"/>
                <w:szCs w:val="24"/>
              </w:rPr>
              <w:t>SS 0.0</w:t>
            </w:r>
            <w:r>
              <w:rPr>
                <w:rFonts w:hint="eastAsia"/>
                <w:sz w:val="24"/>
                <w:szCs w:val="24"/>
                <w:lang w:val="en-US" w:eastAsia="zh-CN"/>
              </w:rPr>
              <w:t>2</w:t>
            </w:r>
            <w:r>
              <w:rPr>
                <w:rFonts w:hint="eastAsia"/>
                <w:sz w:val="24"/>
                <w:szCs w:val="24"/>
              </w:rPr>
              <w:t>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w:t>
            </w:r>
            <w:r>
              <w:rPr>
                <w:rFonts w:hint="eastAsia"/>
                <w:color w:val="000000"/>
                <w:sz w:val="24"/>
                <w:szCs w:val="24"/>
              </w:rPr>
              <w:t>0.00</w:t>
            </w:r>
            <w:r>
              <w:rPr>
                <w:rFonts w:hint="eastAsia"/>
                <w:color w:val="000000"/>
                <w:sz w:val="24"/>
                <w:szCs w:val="24"/>
                <w:lang w:val="en-US" w:eastAsia="zh-CN"/>
              </w:rPr>
              <w:t>35</w:t>
            </w:r>
            <w:r>
              <w:rPr>
                <w:rFonts w:hint="eastAsia"/>
                <w:sz w:val="24"/>
                <w:szCs w:val="24"/>
              </w:rPr>
              <w:t>t/a</w:t>
            </w:r>
            <w:r>
              <w:rPr>
                <w:rFonts w:hint="eastAsia"/>
                <w:sz w:val="24"/>
                <w:szCs w:val="24"/>
                <w:lang w:val="en-US"/>
              </w:rPr>
              <w:t>、</w:t>
            </w:r>
            <w:r>
              <w:rPr>
                <w:rFonts w:hint="eastAsia"/>
                <w:sz w:val="24"/>
                <w:szCs w:val="24"/>
              </w:rPr>
              <w:t>TP 0.00</w:t>
            </w:r>
            <w:r>
              <w:rPr>
                <w:rFonts w:hint="eastAsia"/>
                <w:sz w:val="24"/>
                <w:szCs w:val="24"/>
                <w:lang w:val="en-US" w:eastAsia="zh-CN"/>
              </w:rPr>
              <w:t>05</w:t>
            </w:r>
            <w:r>
              <w:rPr>
                <w:rFonts w:hint="eastAsia"/>
                <w:sz w:val="24"/>
                <w:szCs w:val="24"/>
              </w:rPr>
              <w:t>t/a，TN0.00</w:t>
            </w:r>
            <w:r>
              <w:rPr>
                <w:rFonts w:hint="eastAsia"/>
                <w:sz w:val="24"/>
                <w:szCs w:val="24"/>
                <w:lang w:val="en-US" w:eastAsia="zh-CN"/>
              </w:rPr>
              <w:t>45</w:t>
            </w:r>
            <w:r>
              <w:rPr>
                <w:rFonts w:hint="eastAsia"/>
                <w:sz w:val="24"/>
                <w:szCs w:val="24"/>
              </w:rPr>
              <w:t>t/a。生活污水达到《污水综合排放标准》（GB8978-1996）三级标准（NH</w:t>
            </w:r>
            <w:r>
              <w:rPr>
                <w:sz w:val="24"/>
                <w:szCs w:val="24"/>
                <w:vertAlign w:val="subscript"/>
              </w:rPr>
              <w:t>3</w:t>
            </w:r>
            <w:r>
              <w:rPr>
                <w:rFonts w:hint="eastAsia"/>
                <w:sz w:val="24"/>
                <w:szCs w:val="24"/>
              </w:rPr>
              <w:t>-N、TP指标执行</w:t>
            </w:r>
            <w:r>
              <w:rPr>
                <w:sz w:val="24"/>
                <w:szCs w:val="24"/>
              </w:rPr>
              <w:t>《污水排入城镇下水道水质标准》</w:t>
            </w:r>
            <w:r>
              <w:rPr>
                <w:rFonts w:hint="eastAsia"/>
                <w:sz w:val="24"/>
                <w:szCs w:val="24"/>
              </w:rPr>
              <w:t>（GB/T31962-2015）</w:t>
            </w:r>
            <w:r>
              <w:rPr>
                <w:sz w:val="24"/>
                <w:szCs w:val="24"/>
              </w:rPr>
              <w:t>表1中B等级标准要求</w:t>
            </w:r>
            <w:r>
              <w:rPr>
                <w:rFonts w:hint="eastAsia"/>
                <w:sz w:val="24"/>
                <w:szCs w:val="24"/>
              </w:rPr>
              <w:t>）后接入</w:t>
            </w:r>
            <w:r>
              <w:rPr>
                <w:rFonts w:hint="eastAsia"/>
                <w:sz w:val="24"/>
                <w:szCs w:val="24"/>
                <w:lang w:val="zh-CN"/>
              </w:rPr>
              <w:t>宜兴市华骐污水处理有限公司</w:t>
            </w:r>
            <w:r>
              <w:rPr>
                <w:rFonts w:hint="eastAsia"/>
                <w:sz w:val="24"/>
                <w:szCs w:val="24"/>
              </w:rPr>
              <w:t>处理达到《城镇污水处理厂污染物排放标准》（GB18918-2002）一级A标准后排放</w:t>
            </w:r>
            <w:r>
              <w:rPr>
                <w:sz w:val="24"/>
                <w:szCs w:val="24"/>
              </w:rPr>
              <w:t>及</w:t>
            </w:r>
            <w:r>
              <w:rPr>
                <w:rFonts w:hint="eastAsia"/>
                <w:sz w:val="24"/>
                <w:szCs w:val="24"/>
              </w:rPr>
              <w:t>2021年1月1号前执行</w:t>
            </w:r>
            <w:r>
              <w:rPr>
                <w:sz w:val="24"/>
                <w:szCs w:val="24"/>
              </w:rPr>
              <w:t>《太湖地区城镇污水处理厂及重点工业行业主要水污染物排放限值》</w:t>
            </w:r>
            <w:r>
              <w:rPr>
                <w:sz w:val="24"/>
                <w:szCs w:val="24"/>
                <w:lang w:val="en-US"/>
              </w:rPr>
              <w:t>(DB32/1072-2007)</w:t>
            </w:r>
            <w:r>
              <w:rPr>
                <w:rFonts w:hint="eastAsia"/>
                <w:sz w:val="24"/>
                <w:szCs w:val="24"/>
                <w:lang w:val="en-US"/>
              </w:rPr>
              <w:t>标准、2021年1月1号后</w:t>
            </w:r>
            <w:r>
              <w:rPr>
                <w:rFonts w:hint="eastAsia"/>
                <w:sz w:val="24"/>
                <w:szCs w:val="24"/>
              </w:rPr>
              <w:t>执行</w:t>
            </w:r>
            <w:r>
              <w:rPr>
                <w:sz w:val="24"/>
                <w:szCs w:val="24"/>
              </w:rPr>
              <w:t>《太湖地区城镇污水处理厂及重点工业行业主要水污染物排放限值》(DB32/1072</w:t>
            </w:r>
            <w:r>
              <w:rPr>
                <w:rFonts w:hint="eastAsia"/>
                <w:sz w:val="24"/>
                <w:szCs w:val="24"/>
              </w:rPr>
              <w:t>－</w:t>
            </w:r>
            <w:r>
              <w:rPr>
                <w:sz w:val="24"/>
                <w:szCs w:val="24"/>
              </w:rPr>
              <w:t>20</w:t>
            </w:r>
            <w:r>
              <w:rPr>
                <w:rFonts w:hint="eastAsia"/>
                <w:sz w:val="24"/>
                <w:szCs w:val="24"/>
              </w:rPr>
              <w:t>18</w:t>
            </w:r>
            <w:r>
              <w:rPr>
                <w:sz w:val="24"/>
                <w:szCs w:val="24"/>
              </w:rPr>
              <w:t>)标准要求</w:t>
            </w:r>
            <w:r>
              <w:rPr>
                <w:rFonts w:hint="eastAsia"/>
                <w:sz w:val="24"/>
                <w:szCs w:val="24"/>
              </w:rPr>
              <w:t>后排放，主要污染物排放浓度为COD</w:t>
            </w:r>
            <w:r>
              <w:rPr>
                <w:sz w:val="24"/>
                <w:szCs w:val="24"/>
                <w:vertAlign w:val="subscript"/>
              </w:rPr>
              <w:t>Cr</w:t>
            </w:r>
            <w:r>
              <w:rPr>
                <w:rFonts w:hint="eastAsia"/>
                <w:sz w:val="24"/>
                <w:szCs w:val="24"/>
              </w:rPr>
              <w:t>：50mg/L、SS：10mg/L、NH</w:t>
            </w:r>
            <w:r>
              <w:rPr>
                <w:rFonts w:hint="eastAsia"/>
                <w:sz w:val="24"/>
                <w:szCs w:val="24"/>
                <w:vertAlign w:val="subscript"/>
              </w:rPr>
              <w:t>3</w:t>
            </w:r>
            <w:r>
              <w:rPr>
                <w:rFonts w:hint="eastAsia"/>
                <w:sz w:val="24"/>
                <w:szCs w:val="24"/>
              </w:rPr>
              <w:t>-N：5mg/L、TP：0.5mg/L，故本项目废水中污染物经宜兴市华骐污水处理有限公司处理后的排放量约为COD 0.00</w:t>
            </w:r>
            <w:r>
              <w:rPr>
                <w:rFonts w:hint="eastAsia"/>
                <w:sz w:val="24"/>
                <w:szCs w:val="24"/>
                <w:lang w:val="en-US" w:eastAsia="zh-CN"/>
              </w:rPr>
              <w:t>5</w:t>
            </w:r>
            <w:r>
              <w:rPr>
                <w:rFonts w:hint="eastAsia"/>
                <w:sz w:val="24"/>
                <w:szCs w:val="24"/>
              </w:rPr>
              <w:t>t/a</w:t>
            </w:r>
            <w:r>
              <w:rPr>
                <w:rFonts w:hint="eastAsia"/>
                <w:sz w:val="24"/>
                <w:szCs w:val="24"/>
                <w:lang w:val="en-US"/>
              </w:rPr>
              <w:t>、</w:t>
            </w:r>
            <w:r>
              <w:rPr>
                <w:rFonts w:hint="eastAsia"/>
                <w:sz w:val="24"/>
                <w:szCs w:val="24"/>
              </w:rPr>
              <w:t>SS 0.00</w:t>
            </w:r>
            <w:r>
              <w:rPr>
                <w:rFonts w:hint="eastAsia"/>
                <w:sz w:val="24"/>
                <w:szCs w:val="24"/>
                <w:lang w:val="en-US" w:eastAsia="zh-CN"/>
              </w:rPr>
              <w:t>1</w:t>
            </w:r>
            <w:r>
              <w:rPr>
                <w:rFonts w:hint="eastAsia"/>
                <w:sz w:val="24"/>
                <w:szCs w:val="24"/>
              </w:rPr>
              <w:t>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 0.00</w:t>
            </w:r>
            <w:r>
              <w:rPr>
                <w:rFonts w:hint="eastAsia"/>
                <w:sz w:val="24"/>
                <w:szCs w:val="24"/>
                <w:lang w:val="en-US" w:eastAsia="zh-CN"/>
              </w:rPr>
              <w:t>05</w:t>
            </w:r>
            <w:r>
              <w:rPr>
                <w:rFonts w:hint="eastAsia"/>
                <w:sz w:val="24"/>
                <w:szCs w:val="24"/>
              </w:rPr>
              <w:t>t/a</w:t>
            </w:r>
            <w:r>
              <w:rPr>
                <w:rFonts w:hint="eastAsia"/>
                <w:sz w:val="24"/>
                <w:szCs w:val="24"/>
                <w:lang w:val="en-US"/>
              </w:rPr>
              <w:t>、</w:t>
            </w:r>
            <w:r>
              <w:rPr>
                <w:rFonts w:hint="eastAsia"/>
                <w:sz w:val="24"/>
                <w:szCs w:val="24"/>
              </w:rPr>
              <w:t>TP 0.000</w:t>
            </w:r>
            <w:r>
              <w:rPr>
                <w:rFonts w:hint="eastAsia"/>
                <w:sz w:val="24"/>
                <w:szCs w:val="24"/>
                <w:lang w:val="en-US" w:eastAsia="zh-CN"/>
              </w:rPr>
              <w:t>0</w:t>
            </w:r>
            <w:r>
              <w:rPr>
                <w:rFonts w:hint="eastAsia"/>
                <w:sz w:val="24"/>
                <w:szCs w:val="24"/>
              </w:rPr>
              <w:t>t/a</w:t>
            </w:r>
            <w:r>
              <w:rPr>
                <w:rFonts w:hint="eastAsia"/>
                <w:sz w:val="24"/>
                <w:szCs w:val="24"/>
                <w:lang w:val="en-US" w:eastAsia="zh-CN"/>
              </w:rPr>
              <w:t>5</w:t>
            </w:r>
            <w:r>
              <w:rPr>
                <w:rFonts w:hint="eastAsia"/>
                <w:sz w:val="24"/>
                <w:szCs w:val="24"/>
              </w:rPr>
              <w:t>、TN0.00</w:t>
            </w:r>
            <w:r>
              <w:rPr>
                <w:rFonts w:hint="eastAsia"/>
                <w:sz w:val="24"/>
                <w:szCs w:val="24"/>
                <w:lang w:val="en-US" w:eastAsia="zh-CN"/>
              </w:rPr>
              <w:t>15</w:t>
            </w:r>
            <w:r>
              <w:rPr>
                <w:rFonts w:hint="eastAsia"/>
                <w:sz w:val="24"/>
                <w:szCs w:val="24"/>
              </w:rPr>
              <w:t xml:space="preserve"> t/a。</w:t>
            </w:r>
          </w:p>
          <w:p>
            <w:pPr>
              <w:spacing w:line="360" w:lineRule="auto"/>
              <w:ind w:firstLine="480" w:firstLineChars="200"/>
              <w:rPr>
                <w:sz w:val="24"/>
                <w:szCs w:val="24"/>
              </w:rPr>
            </w:pPr>
            <w:r>
              <w:rPr>
                <w:rFonts w:hint="eastAsia"/>
                <w:sz w:val="24"/>
                <w:szCs w:val="24"/>
              </w:rPr>
              <w:t>本项目废水排放水质较为简单，因此只要企业做好废水的收集工作，切实做到污水达标排放，对地表水环境影响较小。</w:t>
            </w:r>
          </w:p>
          <w:p>
            <w:pPr>
              <w:spacing w:line="360" w:lineRule="auto"/>
              <w:ind w:firstLine="482" w:firstLineChars="200"/>
              <w:rPr>
                <w:b/>
                <w:sz w:val="24"/>
              </w:rPr>
            </w:pPr>
            <w:r>
              <w:rPr>
                <w:b/>
                <w:sz w:val="24"/>
              </w:rPr>
              <w:t>(1)评价等级和评价范围确定</w:t>
            </w:r>
          </w:p>
          <w:p>
            <w:pPr>
              <w:spacing w:line="360" w:lineRule="auto"/>
              <w:ind w:firstLine="480" w:firstLineChars="200"/>
              <w:rPr>
                <w:sz w:val="24"/>
              </w:rPr>
            </w:pPr>
            <w:r>
              <w:rPr>
                <w:sz w:val="24"/>
              </w:rPr>
              <w:t>根据《环境影响评价技术导则-</w:t>
            </w:r>
            <w:r>
              <w:rPr>
                <w:rFonts w:hint="eastAsia"/>
                <w:sz w:val="24"/>
              </w:rPr>
              <w:t>地表水环境</w:t>
            </w:r>
            <w:r>
              <w:rPr>
                <w:sz w:val="24"/>
              </w:rPr>
              <w:t>》(HJ2.3-2018)中要求：地表水环境影响评价工作等级按照影响类型、排放方式、排放量或影响情况、受纳水体环境质量现状、水环境保护目标等综合确定。</w:t>
            </w:r>
          </w:p>
          <w:p>
            <w:pPr>
              <w:spacing w:line="360" w:lineRule="auto"/>
              <w:ind w:firstLine="480" w:firstLineChars="200"/>
              <w:rPr>
                <w:sz w:val="24"/>
              </w:rPr>
            </w:pPr>
            <w:r>
              <w:rPr>
                <w:sz w:val="24"/>
              </w:rPr>
              <w:t>水污染型建设项目根据排放方式和废水排放量划分评价等级，具体内容见下表。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szCs w:val="24"/>
              </w:rPr>
            </w:pPr>
            <w:r>
              <w:rPr>
                <w:rFonts w:hint="eastAsia"/>
                <w:b/>
                <w:sz w:val="24"/>
                <w:szCs w:val="24"/>
              </w:rPr>
              <w:t>表</w:t>
            </w:r>
            <w:r>
              <w:rPr>
                <w:b/>
                <w:sz w:val="24"/>
                <w:szCs w:val="24"/>
              </w:rPr>
              <w:t>7-1</w:t>
            </w:r>
            <w:r>
              <w:rPr>
                <w:rFonts w:hint="eastAsia"/>
                <w:b/>
                <w:sz w:val="24"/>
                <w:szCs w:val="24"/>
                <w:lang w:val="en-US" w:eastAsia="zh-CN"/>
              </w:rPr>
              <w:t>3</w:t>
            </w:r>
            <w:r>
              <w:rPr>
                <w:rFonts w:hint="eastAsia"/>
                <w:b/>
                <w:sz w:val="24"/>
                <w:szCs w:val="24"/>
              </w:rPr>
              <w:t xml:space="preserve">  水污染影响型建设项目评价等级判定</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540"/>
              <w:gridCol w:w="40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restart"/>
                  <w:vAlign w:val="center"/>
                </w:tcPr>
                <w:p>
                  <w:pPr>
                    <w:pStyle w:val="246"/>
                    <w:rPr>
                      <w:b/>
                      <w:szCs w:val="21"/>
                    </w:rPr>
                  </w:pPr>
                  <w:r>
                    <w:rPr>
                      <w:b/>
                      <w:szCs w:val="21"/>
                    </w:rPr>
                    <w:t>评价等级</w:t>
                  </w:r>
                </w:p>
              </w:tc>
              <w:tc>
                <w:tcPr>
                  <w:tcW w:w="6592" w:type="dxa"/>
                  <w:gridSpan w:val="2"/>
                  <w:vAlign w:val="center"/>
                </w:tcPr>
                <w:p>
                  <w:pPr>
                    <w:pStyle w:val="246"/>
                    <w:rPr>
                      <w:b/>
                      <w:szCs w:val="21"/>
                    </w:rPr>
                  </w:pPr>
                  <w:r>
                    <w:rPr>
                      <w:b/>
                      <w:szCs w:val="21"/>
                    </w:rPr>
                    <w:t>判定依据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vAlign w:val="center"/>
                </w:tcPr>
                <w:p>
                  <w:pPr>
                    <w:pStyle w:val="246"/>
                    <w:ind w:firstLine="422"/>
                    <w:rPr>
                      <w:b/>
                      <w:szCs w:val="21"/>
                    </w:rPr>
                  </w:pPr>
                </w:p>
              </w:tc>
              <w:tc>
                <w:tcPr>
                  <w:tcW w:w="2540" w:type="dxa"/>
                  <w:vAlign w:val="center"/>
                </w:tcPr>
                <w:p>
                  <w:pPr>
                    <w:pStyle w:val="246"/>
                    <w:rPr>
                      <w:b/>
                      <w:szCs w:val="21"/>
                    </w:rPr>
                  </w:pPr>
                  <w:r>
                    <w:rPr>
                      <w:b/>
                      <w:szCs w:val="21"/>
                    </w:rPr>
                    <w:t>排放方式</w:t>
                  </w:r>
                </w:p>
              </w:tc>
              <w:tc>
                <w:tcPr>
                  <w:tcW w:w="4052" w:type="dxa"/>
                  <w:vAlign w:val="center"/>
                </w:tcPr>
                <w:p>
                  <w:pPr>
                    <w:pStyle w:val="246"/>
                    <w:rPr>
                      <w:b/>
                      <w:szCs w:val="21"/>
                    </w:rPr>
                  </w:pPr>
                  <w:r>
                    <w:rPr>
                      <w:b/>
                      <w:szCs w:val="21"/>
                    </w:rPr>
                    <w:t>废水排放量Q/(m</w:t>
                  </w:r>
                  <w:r>
                    <w:rPr>
                      <w:b/>
                      <w:szCs w:val="21"/>
                      <w:vertAlign w:val="superscript"/>
                    </w:rPr>
                    <w:t>3</w:t>
                  </w:r>
                  <w:r>
                    <w:rPr>
                      <w:b/>
                      <w:szCs w:val="21"/>
                    </w:rPr>
                    <w:t>/d);</w:t>
                  </w:r>
                </w:p>
                <w:p>
                  <w:pPr>
                    <w:pStyle w:val="246"/>
                    <w:rPr>
                      <w:b/>
                      <w:szCs w:val="21"/>
                    </w:rPr>
                  </w:pPr>
                  <w:r>
                    <w:rPr>
                      <w:b/>
                      <w:szCs w:val="21"/>
                    </w:rPr>
                    <w:t>水污染物当量数W/(无量纲)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一级</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Q≥20000或W≥600000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二级</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三级A</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Q＜200且W＜6000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三级B</w:t>
                  </w:r>
                </w:p>
              </w:tc>
              <w:tc>
                <w:tcPr>
                  <w:tcW w:w="2540" w:type="dxa"/>
                  <w:vAlign w:val="center"/>
                </w:tcPr>
                <w:p>
                  <w:pPr>
                    <w:pStyle w:val="246"/>
                    <w:rPr>
                      <w:b/>
                      <w:bCs/>
                      <w:szCs w:val="21"/>
                    </w:rPr>
                  </w:pPr>
                  <w:r>
                    <w:rPr>
                      <w:szCs w:val="21"/>
                    </w:rPr>
                    <w:t>间接排放</w:t>
                  </w:r>
                </w:p>
              </w:tc>
              <w:tc>
                <w:tcPr>
                  <w:tcW w:w="4052" w:type="dxa"/>
                  <w:vAlign w:val="center"/>
                </w:tcPr>
                <w:p>
                  <w:pPr>
                    <w:pStyle w:val="246"/>
                    <w:rPr>
                      <w:b/>
                      <w:bCs/>
                      <w:szCs w:val="21"/>
                    </w:rPr>
                  </w:pPr>
                  <w:r>
                    <w:rPr>
                      <w:szCs w:val="21"/>
                    </w:rPr>
                    <w:t>--</w:t>
                  </w:r>
                </w:p>
              </w:tc>
            </w:tr>
          </w:tbl>
          <w:p>
            <w:pPr>
              <w:spacing w:line="360" w:lineRule="auto"/>
              <w:ind w:firstLine="480" w:firstLineChars="200"/>
              <w:rPr>
                <w:sz w:val="24"/>
              </w:rPr>
            </w:pPr>
            <w:r>
              <w:rPr>
                <w:sz w:val="24"/>
              </w:rPr>
              <w:t>项目建成后产生生活污</w:t>
            </w:r>
            <w:r>
              <w:rPr>
                <w:rFonts w:hint="eastAsia"/>
                <w:sz w:val="24"/>
              </w:rPr>
              <w:t>水</w:t>
            </w:r>
            <w:r>
              <w:rPr>
                <w:rFonts w:hint="eastAsia"/>
                <w:sz w:val="24"/>
                <w:lang w:val="en-US" w:eastAsia="zh-CN"/>
              </w:rPr>
              <w:t>99.84</w:t>
            </w:r>
            <w:r>
              <w:rPr>
                <w:sz w:val="24"/>
              </w:rPr>
              <w:t>t/a，主要污染物为COD、SS、氨氮、总氮、总磷，接管至</w:t>
            </w:r>
            <w:r>
              <w:rPr>
                <w:rFonts w:hint="eastAsia"/>
                <w:sz w:val="24"/>
              </w:rPr>
              <w:t>宜兴市华骐污水处理有限公司</w:t>
            </w:r>
            <w:r>
              <w:rPr>
                <w:sz w:val="24"/>
              </w:rPr>
              <w:t>集中处理，达标尾水最终排入</w:t>
            </w:r>
            <w:r>
              <w:rPr>
                <w:rFonts w:hint="eastAsia"/>
                <w:sz w:val="24"/>
              </w:rPr>
              <w:t>蠡河</w:t>
            </w:r>
            <w:r>
              <w:rPr>
                <w:sz w:val="24"/>
              </w:rPr>
              <w:t>，不直接排入水体，属于间接排放。因此，本项目地表水影响评价等级为三级B，不需要进行影响预测。</w:t>
            </w:r>
          </w:p>
          <w:p>
            <w:pPr>
              <w:spacing w:line="360" w:lineRule="auto"/>
              <w:ind w:firstLine="480" w:firstLineChars="200"/>
              <w:rPr>
                <w:sz w:val="24"/>
              </w:rPr>
            </w:pPr>
            <w:r>
              <w:rPr>
                <w:sz w:val="24"/>
              </w:rPr>
              <w:t>根据《环境影响评价技术导则-</w:t>
            </w:r>
            <w:r>
              <w:rPr>
                <w:rFonts w:hint="eastAsia"/>
                <w:sz w:val="24"/>
              </w:rPr>
              <w:t>地表水环境</w:t>
            </w:r>
            <w:r>
              <w:rPr>
                <w:sz w:val="24"/>
              </w:rPr>
              <w:t>》(HJ2.3-2018)中要求需要开展以下分析：</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涉及地表水环境风险的，应覆盖环境风险影响范围所及的水环境保护目标水域。</w:t>
            </w:r>
          </w:p>
          <w:p>
            <w:pPr>
              <w:spacing w:line="360" w:lineRule="auto"/>
              <w:ind w:firstLine="480" w:firstLineChars="200"/>
              <w:rPr>
                <w:sz w:val="24"/>
              </w:rPr>
            </w:pPr>
            <w:r>
              <w:rPr>
                <w:rFonts w:hint="eastAsia" w:ascii="宋体" w:hAnsi="宋体" w:cs="宋体"/>
                <w:sz w:val="24"/>
              </w:rPr>
              <w:t>②</w:t>
            </w:r>
            <w:r>
              <w:rPr>
                <w:sz w:val="24"/>
              </w:rPr>
              <w:t>水污染控制和水环境影响减缓措施的有效性评价；依托污水处理设施的环境可行性评价。</w:t>
            </w:r>
          </w:p>
          <w:p>
            <w:pPr>
              <w:spacing w:line="360" w:lineRule="auto"/>
              <w:ind w:firstLine="480" w:firstLineChars="200"/>
              <w:rPr>
                <w:sz w:val="24"/>
              </w:rPr>
            </w:pPr>
            <w:r>
              <w:rPr>
                <w:sz w:val="24"/>
              </w:rPr>
              <w:t>本项目主要废水为生活污水，不涉及到地表水环境风险，本次主要对依托污染处理设施环境可行性分析进行分析。</w:t>
            </w:r>
          </w:p>
          <w:p>
            <w:pPr>
              <w:spacing w:line="360" w:lineRule="auto"/>
              <w:ind w:firstLine="482" w:firstLineChars="200"/>
              <w:rPr>
                <w:b/>
                <w:sz w:val="24"/>
              </w:rPr>
            </w:pPr>
            <w:r>
              <w:rPr>
                <w:b/>
                <w:sz w:val="24"/>
              </w:rPr>
              <w:t>(2)建设项目废水污染物排放信息表</w:t>
            </w:r>
          </w:p>
          <w:p>
            <w:pPr>
              <w:spacing w:line="360" w:lineRule="auto"/>
              <w:ind w:firstLine="480" w:firstLineChars="200"/>
              <w:rPr>
                <w:sz w:val="24"/>
              </w:rPr>
            </w:pPr>
            <w:r>
              <w:rPr>
                <w:sz w:val="24"/>
              </w:rPr>
              <w:t>本项目废水类别、污染物及治理设施信息表见表7-1</w:t>
            </w:r>
            <w:r>
              <w:rPr>
                <w:rFonts w:hint="eastAsia"/>
                <w:sz w:val="24"/>
                <w:lang w:val="en-US" w:eastAsia="zh-CN"/>
              </w:rPr>
              <w:t>4</w:t>
            </w:r>
            <w:r>
              <w:rPr>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szCs w:val="24"/>
              </w:rPr>
            </w:pPr>
            <w:r>
              <w:rPr>
                <w:rFonts w:hint="eastAsia"/>
                <w:b/>
                <w:sz w:val="24"/>
                <w:szCs w:val="24"/>
              </w:rPr>
              <w:t>表</w:t>
            </w:r>
            <w:r>
              <w:rPr>
                <w:b/>
                <w:sz w:val="24"/>
                <w:szCs w:val="24"/>
              </w:rPr>
              <w:t>7-1</w:t>
            </w:r>
            <w:r>
              <w:rPr>
                <w:rFonts w:hint="eastAsia"/>
                <w:b/>
                <w:sz w:val="24"/>
                <w:szCs w:val="24"/>
                <w:lang w:val="en-US" w:eastAsia="zh-CN"/>
              </w:rPr>
              <w:t>4</w:t>
            </w:r>
            <w:r>
              <w:rPr>
                <w:rFonts w:hint="eastAsia"/>
                <w:b/>
                <w:sz w:val="24"/>
                <w:szCs w:val="24"/>
              </w:rPr>
              <w:t xml:space="preserve">  废水类别、污染物及污染治理设施信息表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33"/>
              <w:gridCol w:w="870"/>
              <w:gridCol w:w="774"/>
              <w:gridCol w:w="761"/>
              <w:gridCol w:w="632"/>
              <w:gridCol w:w="632"/>
              <w:gridCol w:w="632"/>
              <w:gridCol w:w="881"/>
              <w:gridCol w:w="818"/>
              <w:gridCol w:w="14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6" w:type="dxa"/>
                  <w:vMerge w:val="restart"/>
                  <w:vAlign w:val="center"/>
                </w:tcPr>
                <w:p>
                  <w:pPr>
                    <w:snapToGrid w:val="0"/>
                    <w:jc w:val="center"/>
                    <w:rPr>
                      <w:b/>
                      <w:bCs/>
                      <w:szCs w:val="21"/>
                    </w:rPr>
                  </w:pPr>
                  <w:r>
                    <w:rPr>
                      <w:b/>
                      <w:bCs/>
                      <w:szCs w:val="21"/>
                    </w:rPr>
                    <w:t>序号</w:t>
                  </w:r>
                </w:p>
              </w:tc>
              <w:tc>
                <w:tcPr>
                  <w:tcW w:w="434" w:type="dxa"/>
                  <w:vMerge w:val="restart"/>
                  <w:vAlign w:val="center"/>
                </w:tcPr>
                <w:p>
                  <w:pPr>
                    <w:jc w:val="center"/>
                    <w:rPr>
                      <w:b/>
                      <w:bCs/>
                      <w:szCs w:val="21"/>
                    </w:rPr>
                  </w:pPr>
                  <w:r>
                    <w:rPr>
                      <w:b/>
                      <w:bCs/>
                      <w:szCs w:val="21"/>
                    </w:rPr>
                    <w:t>废水类别</w:t>
                  </w:r>
                </w:p>
              </w:tc>
              <w:tc>
                <w:tcPr>
                  <w:tcW w:w="796" w:type="dxa"/>
                  <w:vMerge w:val="restart"/>
                  <w:vAlign w:val="center"/>
                </w:tcPr>
                <w:p>
                  <w:pPr>
                    <w:jc w:val="center"/>
                    <w:rPr>
                      <w:b/>
                      <w:bCs/>
                      <w:szCs w:val="21"/>
                    </w:rPr>
                  </w:pPr>
                  <w:r>
                    <w:rPr>
                      <w:b/>
                      <w:bCs/>
                      <w:szCs w:val="21"/>
                    </w:rPr>
                    <w:t>污染物种类</w:t>
                  </w:r>
                </w:p>
              </w:tc>
              <w:tc>
                <w:tcPr>
                  <w:tcW w:w="802" w:type="dxa"/>
                  <w:vMerge w:val="restart"/>
                  <w:vAlign w:val="center"/>
                </w:tcPr>
                <w:p>
                  <w:pPr>
                    <w:jc w:val="center"/>
                    <w:rPr>
                      <w:b/>
                      <w:bCs/>
                      <w:szCs w:val="21"/>
                    </w:rPr>
                  </w:pPr>
                  <w:r>
                    <w:rPr>
                      <w:b/>
                      <w:bCs/>
                      <w:szCs w:val="21"/>
                    </w:rPr>
                    <w:t>排放去向</w:t>
                  </w:r>
                </w:p>
              </w:tc>
              <w:tc>
                <w:tcPr>
                  <w:tcW w:w="771" w:type="dxa"/>
                  <w:vMerge w:val="restart"/>
                  <w:vAlign w:val="center"/>
                </w:tcPr>
                <w:p>
                  <w:pPr>
                    <w:jc w:val="center"/>
                    <w:rPr>
                      <w:b/>
                      <w:bCs/>
                      <w:szCs w:val="21"/>
                    </w:rPr>
                  </w:pPr>
                  <w:r>
                    <w:rPr>
                      <w:b/>
                      <w:bCs/>
                      <w:szCs w:val="21"/>
                    </w:rPr>
                    <w:t>排放</w:t>
                  </w:r>
                </w:p>
                <w:p>
                  <w:pPr>
                    <w:jc w:val="center"/>
                    <w:rPr>
                      <w:b/>
                      <w:bCs/>
                      <w:szCs w:val="21"/>
                    </w:rPr>
                  </w:pPr>
                  <w:r>
                    <w:rPr>
                      <w:b/>
                      <w:bCs/>
                      <w:szCs w:val="21"/>
                    </w:rPr>
                    <w:t>规律</w:t>
                  </w:r>
                </w:p>
              </w:tc>
              <w:tc>
                <w:tcPr>
                  <w:tcW w:w="1944" w:type="dxa"/>
                  <w:gridSpan w:val="3"/>
                  <w:vAlign w:val="center"/>
                </w:tcPr>
                <w:p>
                  <w:pPr>
                    <w:jc w:val="center"/>
                    <w:rPr>
                      <w:b/>
                      <w:bCs/>
                      <w:szCs w:val="21"/>
                    </w:rPr>
                  </w:pPr>
                  <w:r>
                    <w:rPr>
                      <w:b/>
                      <w:bCs/>
                      <w:szCs w:val="21"/>
                    </w:rPr>
                    <w:t>污染治理设施</w:t>
                  </w:r>
                </w:p>
              </w:tc>
              <w:tc>
                <w:tcPr>
                  <w:tcW w:w="807" w:type="dxa"/>
                  <w:vMerge w:val="restart"/>
                  <w:vAlign w:val="center"/>
                </w:tcPr>
                <w:p>
                  <w:pPr>
                    <w:jc w:val="center"/>
                    <w:rPr>
                      <w:b/>
                      <w:bCs/>
                      <w:szCs w:val="21"/>
                    </w:rPr>
                  </w:pPr>
                  <w:r>
                    <w:rPr>
                      <w:b/>
                      <w:bCs/>
                      <w:szCs w:val="21"/>
                    </w:rPr>
                    <w:t>排放口编号</w:t>
                  </w:r>
                </w:p>
              </w:tc>
              <w:tc>
                <w:tcPr>
                  <w:tcW w:w="834" w:type="dxa"/>
                  <w:vMerge w:val="restart"/>
                  <w:vAlign w:val="center"/>
                </w:tcPr>
                <w:p>
                  <w:pPr>
                    <w:jc w:val="center"/>
                    <w:rPr>
                      <w:b/>
                      <w:bCs/>
                      <w:szCs w:val="21"/>
                    </w:rPr>
                  </w:pPr>
                  <w:r>
                    <w:rPr>
                      <w:b/>
                      <w:bCs/>
                      <w:szCs w:val="21"/>
                    </w:rPr>
                    <w:t>排放就设置是否符合要求</w:t>
                  </w:r>
                </w:p>
              </w:tc>
              <w:tc>
                <w:tcPr>
                  <w:tcW w:w="1512" w:type="dxa"/>
                  <w:vMerge w:val="restart"/>
                  <w:vAlign w:val="center"/>
                </w:tcPr>
                <w:p>
                  <w:pPr>
                    <w:jc w:val="center"/>
                    <w:rPr>
                      <w:b/>
                      <w:bCs/>
                      <w:szCs w:val="21"/>
                    </w:rPr>
                  </w:pPr>
                  <w:r>
                    <w:rPr>
                      <w:b/>
                      <w:bCs/>
                      <w:szCs w:val="21"/>
                    </w:rPr>
                    <w:t>排放口类型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6" w:type="dxa"/>
                  <w:vMerge w:val="continue"/>
                  <w:vAlign w:val="center"/>
                </w:tcPr>
                <w:p>
                  <w:pPr>
                    <w:jc w:val="center"/>
                    <w:rPr>
                      <w:szCs w:val="21"/>
                    </w:rPr>
                  </w:pPr>
                </w:p>
              </w:tc>
              <w:tc>
                <w:tcPr>
                  <w:tcW w:w="434" w:type="dxa"/>
                  <w:vMerge w:val="continue"/>
                  <w:vAlign w:val="center"/>
                </w:tcPr>
                <w:p>
                  <w:pPr>
                    <w:jc w:val="center"/>
                    <w:rPr>
                      <w:szCs w:val="21"/>
                    </w:rPr>
                  </w:pPr>
                </w:p>
              </w:tc>
              <w:tc>
                <w:tcPr>
                  <w:tcW w:w="796" w:type="dxa"/>
                  <w:vMerge w:val="continue"/>
                  <w:vAlign w:val="center"/>
                </w:tcPr>
                <w:p>
                  <w:pPr>
                    <w:jc w:val="center"/>
                    <w:rPr>
                      <w:szCs w:val="21"/>
                    </w:rPr>
                  </w:pPr>
                </w:p>
              </w:tc>
              <w:tc>
                <w:tcPr>
                  <w:tcW w:w="802" w:type="dxa"/>
                  <w:vMerge w:val="continue"/>
                  <w:vAlign w:val="center"/>
                </w:tcPr>
                <w:p>
                  <w:pPr>
                    <w:jc w:val="center"/>
                    <w:rPr>
                      <w:szCs w:val="21"/>
                    </w:rPr>
                  </w:pPr>
                </w:p>
              </w:tc>
              <w:tc>
                <w:tcPr>
                  <w:tcW w:w="771" w:type="dxa"/>
                  <w:vMerge w:val="continue"/>
                  <w:vAlign w:val="center"/>
                </w:tcPr>
                <w:p>
                  <w:pPr>
                    <w:jc w:val="center"/>
                    <w:rPr>
                      <w:szCs w:val="21"/>
                    </w:rPr>
                  </w:pPr>
                </w:p>
              </w:tc>
              <w:tc>
                <w:tcPr>
                  <w:tcW w:w="648" w:type="dxa"/>
                  <w:vAlign w:val="center"/>
                </w:tcPr>
                <w:p>
                  <w:pPr>
                    <w:jc w:val="center"/>
                    <w:rPr>
                      <w:b/>
                      <w:bCs/>
                      <w:szCs w:val="21"/>
                    </w:rPr>
                  </w:pPr>
                  <w:r>
                    <w:rPr>
                      <w:b/>
                      <w:bCs/>
                      <w:szCs w:val="21"/>
                    </w:rPr>
                    <w:t>设施编号</w:t>
                  </w:r>
                </w:p>
              </w:tc>
              <w:tc>
                <w:tcPr>
                  <w:tcW w:w="648" w:type="dxa"/>
                  <w:vAlign w:val="center"/>
                </w:tcPr>
                <w:p>
                  <w:pPr>
                    <w:jc w:val="center"/>
                    <w:rPr>
                      <w:b/>
                      <w:bCs/>
                      <w:szCs w:val="21"/>
                    </w:rPr>
                  </w:pPr>
                  <w:r>
                    <w:rPr>
                      <w:b/>
                      <w:bCs/>
                      <w:szCs w:val="21"/>
                    </w:rPr>
                    <w:t>设施名称</w:t>
                  </w:r>
                </w:p>
              </w:tc>
              <w:tc>
                <w:tcPr>
                  <w:tcW w:w="648" w:type="dxa"/>
                  <w:vAlign w:val="center"/>
                </w:tcPr>
                <w:p>
                  <w:pPr>
                    <w:jc w:val="center"/>
                    <w:rPr>
                      <w:b/>
                      <w:bCs/>
                      <w:szCs w:val="21"/>
                    </w:rPr>
                  </w:pPr>
                  <w:r>
                    <w:rPr>
                      <w:b/>
                      <w:bCs/>
                      <w:szCs w:val="21"/>
                    </w:rPr>
                    <w:t>设施工艺</w:t>
                  </w:r>
                </w:p>
              </w:tc>
              <w:tc>
                <w:tcPr>
                  <w:tcW w:w="807" w:type="dxa"/>
                  <w:vMerge w:val="continue"/>
                  <w:vAlign w:val="center"/>
                </w:tcPr>
                <w:p>
                  <w:pPr>
                    <w:jc w:val="center"/>
                    <w:rPr>
                      <w:szCs w:val="21"/>
                    </w:rPr>
                  </w:pPr>
                </w:p>
              </w:tc>
              <w:tc>
                <w:tcPr>
                  <w:tcW w:w="834" w:type="dxa"/>
                  <w:vMerge w:val="continue"/>
                  <w:vAlign w:val="center"/>
                </w:tcPr>
                <w:p>
                  <w:pPr>
                    <w:jc w:val="center"/>
                    <w:rPr>
                      <w:szCs w:val="21"/>
                    </w:rPr>
                  </w:pPr>
                </w:p>
              </w:tc>
              <w:tc>
                <w:tcPr>
                  <w:tcW w:w="1512"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6" w:type="dxa"/>
                  <w:vAlign w:val="center"/>
                </w:tcPr>
                <w:p>
                  <w:pPr>
                    <w:snapToGrid w:val="0"/>
                    <w:jc w:val="center"/>
                    <w:rPr>
                      <w:szCs w:val="21"/>
                    </w:rPr>
                  </w:pPr>
                  <w:r>
                    <w:rPr>
                      <w:szCs w:val="21"/>
                    </w:rPr>
                    <w:t>1</w:t>
                  </w:r>
                </w:p>
              </w:tc>
              <w:tc>
                <w:tcPr>
                  <w:tcW w:w="434" w:type="dxa"/>
                  <w:vAlign w:val="center"/>
                </w:tcPr>
                <w:p>
                  <w:pPr>
                    <w:jc w:val="center"/>
                    <w:rPr>
                      <w:szCs w:val="21"/>
                    </w:rPr>
                  </w:pPr>
                  <w:r>
                    <w:rPr>
                      <w:szCs w:val="21"/>
                    </w:rPr>
                    <w:t>生活污水</w:t>
                  </w:r>
                </w:p>
              </w:tc>
              <w:tc>
                <w:tcPr>
                  <w:tcW w:w="796" w:type="dxa"/>
                  <w:vAlign w:val="center"/>
                </w:tcPr>
                <w:p>
                  <w:pPr>
                    <w:snapToGrid w:val="0"/>
                    <w:jc w:val="center"/>
                    <w:rPr>
                      <w:szCs w:val="21"/>
                    </w:rPr>
                  </w:pPr>
                  <w:r>
                    <w:rPr>
                      <w:szCs w:val="21"/>
                    </w:rPr>
                    <w:t>COD、SS、氨氮、总磷、总氮</w:t>
                  </w:r>
                </w:p>
              </w:tc>
              <w:tc>
                <w:tcPr>
                  <w:tcW w:w="802" w:type="dxa"/>
                  <w:vAlign w:val="center"/>
                </w:tcPr>
                <w:p>
                  <w:pPr>
                    <w:jc w:val="center"/>
                    <w:rPr>
                      <w:szCs w:val="21"/>
                    </w:rPr>
                  </w:pPr>
                  <w:r>
                    <w:rPr>
                      <w:rFonts w:hint="eastAsia"/>
                      <w:szCs w:val="21"/>
                    </w:rPr>
                    <w:t>宜兴市华骐污水处理有限公司</w:t>
                  </w:r>
                </w:p>
              </w:tc>
              <w:tc>
                <w:tcPr>
                  <w:tcW w:w="771" w:type="dxa"/>
                  <w:vAlign w:val="center"/>
                </w:tcPr>
                <w:p>
                  <w:pPr>
                    <w:adjustRightInd w:val="0"/>
                    <w:snapToGrid w:val="0"/>
                    <w:jc w:val="center"/>
                    <w:rPr>
                      <w:szCs w:val="21"/>
                    </w:rPr>
                  </w:pPr>
                  <w:r>
                    <w:rPr>
                      <w:szCs w:val="21"/>
                    </w:rPr>
                    <w:t>间断排放，排放期间流量稳定</w:t>
                  </w:r>
                </w:p>
              </w:tc>
              <w:tc>
                <w:tcPr>
                  <w:tcW w:w="648" w:type="dxa"/>
                  <w:vAlign w:val="center"/>
                </w:tcPr>
                <w:p>
                  <w:pPr>
                    <w:jc w:val="center"/>
                    <w:rPr>
                      <w:szCs w:val="21"/>
                    </w:rPr>
                  </w:pPr>
                  <w:r>
                    <w:rPr>
                      <w:szCs w:val="21"/>
                    </w:rPr>
                    <w:t>/</w:t>
                  </w:r>
                </w:p>
              </w:tc>
              <w:tc>
                <w:tcPr>
                  <w:tcW w:w="648" w:type="dxa"/>
                  <w:vAlign w:val="center"/>
                </w:tcPr>
                <w:p>
                  <w:pPr>
                    <w:jc w:val="center"/>
                    <w:rPr>
                      <w:szCs w:val="21"/>
                    </w:rPr>
                  </w:pPr>
                  <w:r>
                    <w:rPr>
                      <w:rFonts w:hint="eastAsia"/>
                      <w:szCs w:val="21"/>
                    </w:rPr>
                    <w:t>化粪池</w:t>
                  </w:r>
                </w:p>
              </w:tc>
              <w:tc>
                <w:tcPr>
                  <w:tcW w:w="648" w:type="dxa"/>
                  <w:vAlign w:val="center"/>
                </w:tcPr>
                <w:p>
                  <w:pPr>
                    <w:jc w:val="center"/>
                    <w:rPr>
                      <w:szCs w:val="21"/>
                    </w:rPr>
                  </w:pPr>
                  <w:r>
                    <w:rPr>
                      <w:szCs w:val="21"/>
                    </w:rPr>
                    <w:t>/</w:t>
                  </w:r>
                </w:p>
              </w:tc>
              <w:tc>
                <w:tcPr>
                  <w:tcW w:w="807" w:type="dxa"/>
                  <w:vAlign w:val="center"/>
                </w:tcPr>
                <w:p>
                  <w:pPr>
                    <w:jc w:val="center"/>
                    <w:rPr>
                      <w:szCs w:val="21"/>
                    </w:rPr>
                  </w:pPr>
                  <w:r>
                    <w:rPr>
                      <w:rFonts w:hint="eastAsia"/>
                    </w:rPr>
                    <w:t>DW001</w:t>
                  </w:r>
                </w:p>
              </w:tc>
              <w:tc>
                <w:tcPr>
                  <w:tcW w:w="834" w:type="dxa"/>
                  <w:vAlign w:val="center"/>
                </w:tcPr>
                <w:p>
                  <w:pPr>
                    <w:spacing w:before="120"/>
                    <w:jc w:val="center"/>
                    <w:rPr>
                      <w:szCs w:val="21"/>
                    </w:rPr>
                  </w:pPr>
                  <w:r>
                    <w:rPr/>
                    <w:sym w:font="Wingdings 2" w:char="0052"/>
                  </w:r>
                  <w:r>
                    <w:rPr>
                      <w:szCs w:val="21"/>
                    </w:rPr>
                    <w:t>是</w:t>
                  </w:r>
                </w:p>
                <w:p>
                  <w:pPr>
                    <w:jc w:val="center"/>
                    <w:rPr>
                      <w:szCs w:val="21"/>
                    </w:rPr>
                  </w:pPr>
                  <w:r>
                    <w:rPr/>
                    <w:sym w:font="Wingdings 2" w:char="00A3"/>
                  </w:r>
                  <w:r>
                    <w:rPr>
                      <w:szCs w:val="21"/>
                    </w:rPr>
                    <w:t>否</w:t>
                  </w:r>
                </w:p>
              </w:tc>
              <w:tc>
                <w:tcPr>
                  <w:tcW w:w="1512" w:type="dxa"/>
                  <w:vAlign w:val="center"/>
                </w:tcPr>
                <w:p>
                  <w:pPr>
                    <w:rPr>
                      <w:szCs w:val="21"/>
                    </w:rPr>
                  </w:pPr>
                  <w:r>
                    <w:rPr/>
                    <w:sym w:font="Wingdings 2" w:char="0052"/>
                  </w:r>
                  <w:r>
                    <w:rPr>
                      <w:szCs w:val="21"/>
                    </w:rPr>
                    <w:t>企业总排</w:t>
                  </w:r>
                </w:p>
                <w:p>
                  <w:pPr>
                    <w:rPr>
                      <w:szCs w:val="21"/>
                    </w:rPr>
                  </w:pPr>
                  <w:r>
                    <w:rPr/>
                    <w:sym w:font="Wingdings 2" w:char="00A3"/>
                  </w:r>
                  <w:r>
                    <w:rPr>
                      <w:szCs w:val="21"/>
                    </w:rPr>
                    <w:t>雨水排放</w:t>
                  </w:r>
                </w:p>
                <w:p>
                  <w:pPr>
                    <w:rPr>
                      <w:szCs w:val="21"/>
                    </w:rPr>
                  </w:pPr>
                  <w:r>
                    <w:rPr/>
                    <w:sym w:font="Wingdings 2" w:char="00A3"/>
                  </w:r>
                  <w:r>
                    <w:rPr>
                      <w:szCs w:val="21"/>
                    </w:rPr>
                    <w:t>清净下水排放</w:t>
                  </w:r>
                </w:p>
                <w:p>
                  <w:pPr>
                    <w:rPr>
                      <w:szCs w:val="21"/>
                    </w:rPr>
                  </w:pPr>
                  <w:r>
                    <w:rPr/>
                    <w:sym w:font="Wingdings 2" w:char="00A3"/>
                  </w:r>
                  <w:r>
                    <w:rPr>
                      <w:szCs w:val="21"/>
                    </w:rPr>
                    <w:t>温排水排放</w:t>
                  </w:r>
                </w:p>
                <w:p>
                  <w:pPr>
                    <w:snapToGrid w:val="0"/>
                    <w:rPr>
                      <w:szCs w:val="21"/>
                    </w:rPr>
                  </w:pPr>
                  <w:r>
                    <w:rPr/>
                    <w:sym w:font="Wingdings 2" w:char="00A3"/>
                  </w:r>
                  <w:r>
                    <w:rPr>
                      <w:szCs w:val="21"/>
                    </w:rPr>
                    <w:t>车间或车间处理设施排放口</w:t>
                  </w:r>
                </w:p>
              </w:tc>
            </w:tr>
          </w:tbl>
          <w:p>
            <w:pPr>
              <w:spacing w:beforeLines="50" w:line="360" w:lineRule="auto"/>
              <w:ind w:firstLine="480" w:firstLineChars="200"/>
              <w:rPr>
                <w:sz w:val="24"/>
              </w:rPr>
            </w:pPr>
            <w:r>
              <w:rPr>
                <w:sz w:val="24"/>
              </w:rPr>
              <w:t>本项目所依托的废水间接排放口基本情况表见表7-1</w:t>
            </w:r>
            <w:r>
              <w:rPr>
                <w:rFonts w:hint="eastAsia"/>
                <w:sz w:val="24"/>
                <w:lang w:val="en-US" w:eastAsia="zh-CN"/>
              </w:rPr>
              <w:t>5</w:t>
            </w:r>
            <w:r>
              <w:rPr>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szCs w:val="24"/>
              </w:rPr>
            </w:pPr>
            <w:r>
              <w:rPr>
                <w:rFonts w:hint="eastAsia"/>
                <w:b/>
                <w:sz w:val="24"/>
                <w:szCs w:val="24"/>
              </w:rPr>
              <w:t>表7-1</w:t>
            </w:r>
            <w:r>
              <w:rPr>
                <w:rFonts w:hint="eastAsia"/>
                <w:b/>
                <w:sz w:val="24"/>
                <w:szCs w:val="24"/>
                <w:lang w:val="en-US" w:eastAsia="zh-CN"/>
              </w:rPr>
              <w:t xml:space="preserve">5 </w:t>
            </w:r>
            <w:r>
              <w:rPr>
                <w:rFonts w:hint="eastAsia"/>
                <w:b/>
                <w:sz w:val="24"/>
                <w:szCs w:val="24"/>
              </w:rPr>
              <w:t xml:space="preserve"> 废水间接排放口基本情况表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70"/>
              <w:gridCol w:w="1097"/>
              <w:gridCol w:w="1206"/>
              <w:gridCol w:w="725"/>
              <w:gridCol w:w="705"/>
              <w:gridCol w:w="601"/>
              <w:gridCol w:w="976"/>
              <w:gridCol w:w="920"/>
              <w:gridCol w:w="562"/>
              <w:gridCol w:w="8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611" w:type="dxa"/>
                  <w:vMerge w:val="restart"/>
                  <w:vAlign w:val="center"/>
                </w:tcPr>
                <w:p>
                  <w:pPr>
                    <w:widowControl/>
                    <w:snapToGrid w:val="0"/>
                    <w:jc w:val="center"/>
                    <w:rPr>
                      <w:b/>
                      <w:bCs/>
                      <w:szCs w:val="21"/>
                    </w:rPr>
                  </w:pPr>
                  <w:r>
                    <w:rPr>
                      <w:b/>
                      <w:bCs/>
                      <w:szCs w:val="21"/>
                    </w:rPr>
                    <w:t>排放口编号</w:t>
                  </w:r>
                </w:p>
              </w:tc>
              <w:tc>
                <w:tcPr>
                  <w:tcW w:w="2321" w:type="dxa"/>
                  <w:gridSpan w:val="2"/>
                  <w:vAlign w:val="center"/>
                </w:tcPr>
                <w:p>
                  <w:pPr>
                    <w:widowControl/>
                    <w:jc w:val="center"/>
                    <w:rPr>
                      <w:b/>
                      <w:bCs/>
                      <w:szCs w:val="21"/>
                    </w:rPr>
                  </w:pPr>
                  <w:r>
                    <w:rPr>
                      <w:b/>
                      <w:bCs/>
                      <w:szCs w:val="21"/>
                    </w:rPr>
                    <w:t>排放口地理坐标</w:t>
                  </w:r>
                </w:p>
              </w:tc>
              <w:tc>
                <w:tcPr>
                  <w:tcW w:w="733" w:type="dxa"/>
                  <w:vMerge w:val="restart"/>
                  <w:vAlign w:val="center"/>
                </w:tcPr>
                <w:p>
                  <w:pPr>
                    <w:widowControl/>
                    <w:jc w:val="center"/>
                    <w:rPr>
                      <w:b/>
                      <w:bCs/>
                      <w:szCs w:val="21"/>
                    </w:rPr>
                  </w:pPr>
                  <w:r>
                    <w:rPr>
                      <w:b/>
                      <w:bCs/>
                      <w:szCs w:val="21"/>
                    </w:rPr>
                    <w:t>废水排放量(万t/a)</w:t>
                  </w:r>
                </w:p>
              </w:tc>
              <w:tc>
                <w:tcPr>
                  <w:tcW w:w="734" w:type="dxa"/>
                  <w:vMerge w:val="restart"/>
                  <w:vAlign w:val="center"/>
                </w:tcPr>
                <w:p>
                  <w:pPr>
                    <w:widowControl/>
                    <w:jc w:val="center"/>
                    <w:rPr>
                      <w:b/>
                      <w:bCs/>
                      <w:szCs w:val="21"/>
                    </w:rPr>
                  </w:pPr>
                  <w:r>
                    <w:rPr>
                      <w:b/>
                      <w:bCs/>
                      <w:szCs w:val="21"/>
                    </w:rPr>
                    <w:t>排放去向</w:t>
                  </w:r>
                </w:p>
              </w:tc>
              <w:tc>
                <w:tcPr>
                  <w:tcW w:w="611" w:type="dxa"/>
                  <w:vMerge w:val="restart"/>
                  <w:vAlign w:val="center"/>
                </w:tcPr>
                <w:p>
                  <w:pPr>
                    <w:widowControl/>
                    <w:jc w:val="center"/>
                    <w:rPr>
                      <w:b/>
                      <w:bCs/>
                      <w:szCs w:val="21"/>
                    </w:rPr>
                  </w:pPr>
                  <w:r>
                    <w:rPr>
                      <w:b/>
                      <w:bCs/>
                      <w:szCs w:val="21"/>
                    </w:rPr>
                    <w:t>排放</w:t>
                  </w:r>
                </w:p>
                <w:p>
                  <w:pPr>
                    <w:widowControl/>
                    <w:jc w:val="center"/>
                    <w:rPr>
                      <w:b/>
                      <w:bCs/>
                      <w:szCs w:val="21"/>
                    </w:rPr>
                  </w:pPr>
                  <w:r>
                    <w:rPr>
                      <w:b/>
                      <w:bCs/>
                      <w:szCs w:val="21"/>
                    </w:rPr>
                    <w:t>规律</w:t>
                  </w:r>
                </w:p>
              </w:tc>
              <w:tc>
                <w:tcPr>
                  <w:tcW w:w="912" w:type="dxa"/>
                  <w:vMerge w:val="restart"/>
                  <w:vAlign w:val="center"/>
                </w:tcPr>
                <w:p>
                  <w:pPr>
                    <w:widowControl/>
                    <w:jc w:val="center"/>
                    <w:rPr>
                      <w:b/>
                      <w:bCs/>
                      <w:szCs w:val="21"/>
                    </w:rPr>
                  </w:pPr>
                  <w:r>
                    <w:rPr>
                      <w:b/>
                      <w:bCs/>
                      <w:szCs w:val="21"/>
                    </w:rPr>
                    <w:t>间歇排放时段</w:t>
                  </w:r>
                </w:p>
              </w:tc>
              <w:tc>
                <w:tcPr>
                  <w:tcW w:w="2384" w:type="dxa"/>
                  <w:gridSpan w:val="3"/>
                  <w:vAlign w:val="center"/>
                </w:tcPr>
                <w:p>
                  <w:pPr>
                    <w:widowControl/>
                    <w:jc w:val="center"/>
                    <w:rPr>
                      <w:b/>
                      <w:bCs/>
                      <w:szCs w:val="21"/>
                    </w:rPr>
                  </w:pPr>
                  <w:r>
                    <w:rPr>
                      <w:b/>
                      <w:bCs/>
                      <w:szCs w:val="21"/>
                    </w:rPr>
                    <w:t>受纳污水处理厂信息</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611" w:type="dxa"/>
                  <w:vMerge w:val="continue"/>
                  <w:vAlign w:val="center"/>
                </w:tcPr>
                <w:p>
                  <w:pPr>
                    <w:widowControl/>
                    <w:jc w:val="center"/>
                    <w:rPr>
                      <w:szCs w:val="21"/>
                    </w:rPr>
                  </w:pPr>
                </w:p>
              </w:tc>
              <w:tc>
                <w:tcPr>
                  <w:tcW w:w="1100" w:type="dxa"/>
                  <w:vAlign w:val="center"/>
                </w:tcPr>
                <w:p>
                  <w:pPr>
                    <w:widowControl/>
                    <w:jc w:val="center"/>
                    <w:rPr>
                      <w:b/>
                      <w:bCs/>
                      <w:szCs w:val="21"/>
                    </w:rPr>
                  </w:pPr>
                  <w:r>
                    <w:rPr>
                      <w:b/>
                      <w:bCs/>
                      <w:szCs w:val="21"/>
                    </w:rPr>
                    <w:t>经度</w:t>
                  </w:r>
                </w:p>
              </w:tc>
              <w:tc>
                <w:tcPr>
                  <w:tcW w:w="1221" w:type="dxa"/>
                  <w:vAlign w:val="center"/>
                </w:tcPr>
                <w:p>
                  <w:pPr>
                    <w:widowControl/>
                    <w:jc w:val="center"/>
                    <w:rPr>
                      <w:b/>
                      <w:bCs/>
                      <w:szCs w:val="21"/>
                    </w:rPr>
                  </w:pPr>
                  <w:r>
                    <w:rPr>
                      <w:b/>
                      <w:bCs/>
                      <w:szCs w:val="21"/>
                    </w:rPr>
                    <w:t>纬度</w:t>
                  </w:r>
                </w:p>
              </w:tc>
              <w:tc>
                <w:tcPr>
                  <w:tcW w:w="733" w:type="dxa"/>
                  <w:vMerge w:val="continue"/>
                  <w:vAlign w:val="center"/>
                </w:tcPr>
                <w:p>
                  <w:pPr>
                    <w:widowControl/>
                    <w:jc w:val="center"/>
                    <w:rPr>
                      <w:szCs w:val="21"/>
                    </w:rPr>
                  </w:pPr>
                </w:p>
              </w:tc>
              <w:tc>
                <w:tcPr>
                  <w:tcW w:w="734" w:type="dxa"/>
                  <w:vMerge w:val="continue"/>
                  <w:vAlign w:val="center"/>
                </w:tcPr>
                <w:p>
                  <w:pPr>
                    <w:widowControl/>
                    <w:jc w:val="center"/>
                    <w:rPr>
                      <w:szCs w:val="21"/>
                    </w:rPr>
                  </w:pPr>
                </w:p>
              </w:tc>
              <w:tc>
                <w:tcPr>
                  <w:tcW w:w="611" w:type="dxa"/>
                  <w:vMerge w:val="continue"/>
                  <w:vAlign w:val="center"/>
                </w:tcPr>
                <w:p>
                  <w:pPr>
                    <w:widowControl/>
                    <w:jc w:val="center"/>
                    <w:rPr>
                      <w:szCs w:val="21"/>
                    </w:rPr>
                  </w:pPr>
                </w:p>
              </w:tc>
              <w:tc>
                <w:tcPr>
                  <w:tcW w:w="912" w:type="dxa"/>
                  <w:vMerge w:val="continue"/>
                  <w:vAlign w:val="center"/>
                </w:tcPr>
                <w:p>
                  <w:pPr>
                    <w:widowControl/>
                    <w:jc w:val="center"/>
                    <w:rPr>
                      <w:szCs w:val="21"/>
                    </w:rPr>
                  </w:pPr>
                </w:p>
              </w:tc>
              <w:tc>
                <w:tcPr>
                  <w:tcW w:w="962" w:type="dxa"/>
                  <w:vAlign w:val="center"/>
                </w:tcPr>
                <w:p>
                  <w:pPr>
                    <w:widowControl/>
                    <w:jc w:val="center"/>
                    <w:rPr>
                      <w:b/>
                      <w:bCs/>
                      <w:szCs w:val="21"/>
                    </w:rPr>
                  </w:pPr>
                  <w:r>
                    <w:rPr>
                      <w:b/>
                      <w:bCs/>
                      <w:szCs w:val="21"/>
                    </w:rPr>
                    <w:t>名称</w:t>
                  </w:r>
                </w:p>
              </w:tc>
              <w:tc>
                <w:tcPr>
                  <w:tcW w:w="568" w:type="dxa"/>
                  <w:vAlign w:val="center"/>
                </w:tcPr>
                <w:p>
                  <w:pPr>
                    <w:widowControl/>
                    <w:jc w:val="center"/>
                    <w:rPr>
                      <w:b/>
                      <w:bCs/>
                      <w:szCs w:val="21"/>
                    </w:rPr>
                  </w:pPr>
                  <w:r>
                    <w:rPr>
                      <w:b/>
                      <w:bCs/>
                      <w:szCs w:val="21"/>
                    </w:rPr>
                    <w:t>污染物种类</w:t>
                  </w:r>
                </w:p>
              </w:tc>
              <w:tc>
                <w:tcPr>
                  <w:tcW w:w="854" w:type="dxa"/>
                  <w:vAlign w:val="center"/>
                </w:tcPr>
                <w:p>
                  <w:pPr>
                    <w:widowControl/>
                    <w:jc w:val="center"/>
                    <w:rPr>
                      <w:b/>
                      <w:bCs/>
                      <w:szCs w:val="21"/>
                    </w:rPr>
                  </w:pPr>
                  <w:r>
                    <w:rPr>
                      <w:b/>
                      <w:bCs/>
                      <w:szCs w:val="21"/>
                    </w:rPr>
                    <w:t>国家或地方污染物排放浓度限值/(mg/L)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11" w:type="dxa"/>
                  <w:vMerge w:val="restart"/>
                  <w:vAlign w:val="center"/>
                </w:tcPr>
                <w:p>
                  <w:pPr>
                    <w:widowControl/>
                    <w:snapToGrid w:val="0"/>
                    <w:jc w:val="center"/>
                    <w:rPr>
                      <w:szCs w:val="21"/>
                    </w:rPr>
                  </w:pPr>
                  <w:r>
                    <w:rPr>
                      <w:rFonts w:hint="eastAsia"/>
                      <w:szCs w:val="21"/>
                    </w:rPr>
                    <w:t>DW001</w:t>
                  </w:r>
                </w:p>
              </w:tc>
              <w:tc>
                <w:tcPr>
                  <w:tcW w:w="1100" w:type="dxa"/>
                  <w:vMerge w:val="restart"/>
                  <w:vAlign w:val="center"/>
                </w:tcPr>
                <w:p>
                  <w:pPr>
                    <w:widowControl/>
                    <w:jc w:val="center"/>
                    <w:textAlignment w:val="center"/>
                    <w:rPr>
                      <w:rFonts w:hint="default" w:eastAsia="宋体"/>
                      <w:szCs w:val="21"/>
                      <w:lang w:val="en-US" w:eastAsia="zh-CN"/>
                    </w:rPr>
                  </w:pPr>
                  <w:r>
                    <w:rPr>
                      <w:rStyle w:val="266"/>
                      <w:color w:val="auto"/>
                      <w:szCs w:val="21"/>
                    </w:rPr>
                    <w:t>119.8</w:t>
                  </w:r>
                  <w:r>
                    <w:rPr>
                      <w:rStyle w:val="266"/>
                      <w:rFonts w:hint="eastAsia"/>
                      <w:color w:val="auto"/>
                      <w:szCs w:val="21"/>
                      <w:lang w:val="en-US" w:eastAsia="zh-CN"/>
                    </w:rPr>
                    <w:t>17466</w:t>
                  </w:r>
                </w:p>
              </w:tc>
              <w:tc>
                <w:tcPr>
                  <w:tcW w:w="1221" w:type="dxa"/>
                  <w:vMerge w:val="restart"/>
                  <w:vAlign w:val="center"/>
                </w:tcPr>
                <w:p>
                  <w:pPr>
                    <w:widowControl/>
                    <w:jc w:val="center"/>
                    <w:textAlignment w:val="center"/>
                    <w:rPr>
                      <w:rFonts w:hint="default" w:eastAsia="宋体"/>
                      <w:szCs w:val="21"/>
                      <w:lang w:val="en-US" w:eastAsia="zh-CN"/>
                    </w:rPr>
                  </w:pPr>
                  <w:r>
                    <w:rPr>
                      <w:rStyle w:val="266"/>
                      <w:color w:val="auto"/>
                      <w:szCs w:val="21"/>
                    </w:rPr>
                    <w:t>31.2</w:t>
                  </w:r>
                  <w:r>
                    <w:rPr>
                      <w:rStyle w:val="266"/>
                      <w:rFonts w:hint="eastAsia"/>
                      <w:color w:val="auto"/>
                      <w:szCs w:val="21"/>
                      <w:lang w:val="en-US" w:eastAsia="zh-CN"/>
                    </w:rPr>
                    <w:t>97736</w:t>
                  </w:r>
                </w:p>
              </w:tc>
              <w:tc>
                <w:tcPr>
                  <w:tcW w:w="733" w:type="dxa"/>
                  <w:vMerge w:val="restart"/>
                  <w:vAlign w:val="center"/>
                </w:tcPr>
                <w:p>
                  <w:pPr>
                    <w:widowControl/>
                    <w:jc w:val="center"/>
                    <w:rPr>
                      <w:szCs w:val="21"/>
                      <w:lang w:val="en-US"/>
                    </w:rPr>
                  </w:pPr>
                  <w:r>
                    <w:rPr>
                      <w:rFonts w:hint="eastAsia"/>
                      <w:szCs w:val="21"/>
                      <w:lang w:val="en-US"/>
                    </w:rPr>
                    <w:t>0.0168</w:t>
                  </w:r>
                </w:p>
              </w:tc>
              <w:tc>
                <w:tcPr>
                  <w:tcW w:w="734" w:type="dxa"/>
                  <w:vMerge w:val="restart"/>
                  <w:vAlign w:val="center"/>
                </w:tcPr>
                <w:p>
                  <w:pPr>
                    <w:widowControl/>
                    <w:adjustRightInd w:val="0"/>
                    <w:snapToGrid w:val="0"/>
                    <w:jc w:val="center"/>
                    <w:rPr>
                      <w:szCs w:val="21"/>
                    </w:rPr>
                  </w:pPr>
                  <w:r>
                    <w:rPr>
                      <w:rFonts w:hint="eastAsia"/>
                      <w:szCs w:val="21"/>
                    </w:rPr>
                    <w:t>宜兴市华骐污水处理有限公司</w:t>
                  </w:r>
                </w:p>
              </w:tc>
              <w:tc>
                <w:tcPr>
                  <w:tcW w:w="611" w:type="dxa"/>
                  <w:vMerge w:val="restart"/>
                  <w:vAlign w:val="center"/>
                </w:tcPr>
                <w:p>
                  <w:pPr>
                    <w:widowControl/>
                    <w:adjustRightInd w:val="0"/>
                    <w:snapToGrid w:val="0"/>
                    <w:jc w:val="center"/>
                    <w:rPr>
                      <w:szCs w:val="21"/>
                    </w:rPr>
                  </w:pPr>
                  <w:r>
                    <w:rPr>
                      <w:szCs w:val="21"/>
                    </w:rPr>
                    <w:t>间断排放，排放期间流量稳定</w:t>
                  </w:r>
                </w:p>
              </w:tc>
              <w:tc>
                <w:tcPr>
                  <w:tcW w:w="912" w:type="dxa"/>
                  <w:vMerge w:val="restart"/>
                  <w:vAlign w:val="center"/>
                </w:tcPr>
                <w:p>
                  <w:pPr>
                    <w:widowControl/>
                    <w:adjustRightInd w:val="0"/>
                    <w:snapToGrid w:val="0"/>
                    <w:jc w:val="center"/>
                    <w:rPr>
                      <w:szCs w:val="21"/>
                    </w:rPr>
                  </w:pPr>
                  <w:r>
                    <w:rPr>
                      <w:szCs w:val="21"/>
                    </w:rPr>
                    <w:t>8:00~17:00</w:t>
                  </w:r>
                </w:p>
              </w:tc>
              <w:tc>
                <w:tcPr>
                  <w:tcW w:w="962" w:type="dxa"/>
                  <w:vMerge w:val="restart"/>
                  <w:vAlign w:val="center"/>
                </w:tcPr>
                <w:p>
                  <w:pPr>
                    <w:widowControl/>
                    <w:adjustRightInd w:val="0"/>
                    <w:snapToGrid w:val="0"/>
                    <w:jc w:val="center"/>
                    <w:rPr>
                      <w:szCs w:val="21"/>
                    </w:rPr>
                  </w:pPr>
                  <w:r>
                    <w:rPr>
                      <w:rFonts w:hint="eastAsia"/>
                      <w:szCs w:val="21"/>
                    </w:rPr>
                    <w:t>宜兴市华骐污水处理有限公司</w:t>
                  </w:r>
                </w:p>
              </w:tc>
              <w:tc>
                <w:tcPr>
                  <w:tcW w:w="568" w:type="dxa"/>
                  <w:vAlign w:val="center"/>
                </w:tcPr>
                <w:p>
                  <w:pPr>
                    <w:widowControl/>
                    <w:adjustRightInd w:val="0"/>
                    <w:snapToGrid w:val="0"/>
                    <w:jc w:val="center"/>
                    <w:rPr>
                      <w:szCs w:val="21"/>
                    </w:rPr>
                  </w:pPr>
                  <w:r>
                    <w:rPr>
                      <w:szCs w:val="21"/>
                    </w:rPr>
                    <w:t>COD</w:t>
                  </w:r>
                </w:p>
              </w:tc>
              <w:tc>
                <w:tcPr>
                  <w:tcW w:w="854" w:type="dxa"/>
                  <w:vAlign w:val="center"/>
                </w:tcPr>
                <w:p>
                  <w:pPr>
                    <w:jc w:val="center"/>
                    <w:rPr>
                      <w:szCs w:val="21"/>
                    </w:rPr>
                  </w:pPr>
                  <w:r>
                    <w:rPr>
                      <w:rFonts w:hint="eastAsia"/>
                      <w:szCs w:val="21"/>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SS</w:t>
                  </w:r>
                </w:p>
              </w:tc>
              <w:tc>
                <w:tcPr>
                  <w:tcW w:w="854" w:type="dxa"/>
                  <w:vAlign w:val="center"/>
                </w:tcPr>
                <w:p>
                  <w:pPr>
                    <w:jc w:val="center"/>
                    <w:rPr>
                      <w:szCs w:val="21"/>
                    </w:rPr>
                  </w:pPr>
                  <w:r>
                    <w:rPr>
                      <w:rFonts w:hint="eastAsia"/>
                      <w:szCs w:val="21"/>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氨氮</w:t>
                  </w:r>
                </w:p>
              </w:tc>
              <w:tc>
                <w:tcPr>
                  <w:tcW w:w="854" w:type="dxa"/>
                  <w:vAlign w:val="center"/>
                </w:tcPr>
                <w:p>
                  <w:pPr>
                    <w:jc w:val="center"/>
                    <w:rPr>
                      <w:szCs w:val="21"/>
                    </w:rPr>
                  </w:pPr>
                  <w:r>
                    <w:rPr>
                      <w:rFonts w:hint="eastAsia"/>
                      <w:szCs w:val="21"/>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总磷</w:t>
                  </w:r>
                </w:p>
              </w:tc>
              <w:tc>
                <w:tcPr>
                  <w:tcW w:w="854" w:type="dxa"/>
                  <w:vAlign w:val="center"/>
                </w:tcPr>
                <w:p>
                  <w:pPr>
                    <w:jc w:val="center"/>
                    <w:rPr>
                      <w:szCs w:val="21"/>
                    </w:rPr>
                  </w:pPr>
                  <w:r>
                    <w:rPr>
                      <w:rFonts w:hint="eastAsia"/>
                      <w:szCs w:val="21"/>
                    </w:rPr>
                    <w:t>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总氮</w:t>
                  </w:r>
                </w:p>
              </w:tc>
              <w:tc>
                <w:tcPr>
                  <w:tcW w:w="854" w:type="dxa"/>
                  <w:vAlign w:val="center"/>
                </w:tcPr>
                <w:p>
                  <w:pPr>
                    <w:jc w:val="center"/>
                    <w:rPr>
                      <w:szCs w:val="21"/>
                    </w:rPr>
                  </w:pPr>
                  <w:r>
                    <w:rPr>
                      <w:rFonts w:hint="eastAsia"/>
                      <w:szCs w:val="21"/>
                    </w:rPr>
                    <w:t>15</w:t>
                  </w:r>
                </w:p>
              </w:tc>
            </w:tr>
          </w:tbl>
          <w:p>
            <w:pPr>
              <w:spacing w:line="500" w:lineRule="exact"/>
              <w:ind w:firstLine="480" w:firstLineChars="200"/>
              <w:rPr>
                <w:sz w:val="24"/>
              </w:rPr>
            </w:pPr>
            <w:r>
              <w:rPr>
                <w:sz w:val="24"/>
              </w:rPr>
              <w:t>本项目废水污染物排放信息表见表7-1</w:t>
            </w:r>
            <w:r>
              <w:rPr>
                <w:rFonts w:hint="eastAsia"/>
                <w:sz w:val="24"/>
                <w:lang w:val="en-US" w:eastAsia="zh-CN"/>
              </w:rPr>
              <w:t>6</w:t>
            </w:r>
            <w:r>
              <w:rPr>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szCs w:val="24"/>
              </w:rPr>
            </w:pPr>
            <w:r>
              <w:rPr>
                <w:rFonts w:hint="eastAsia"/>
                <w:b/>
                <w:sz w:val="24"/>
                <w:szCs w:val="24"/>
              </w:rPr>
              <w:t>表7-1</w:t>
            </w:r>
            <w:r>
              <w:rPr>
                <w:rFonts w:hint="eastAsia"/>
                <w:b/>
                <w:sz w:val="24"/>
                <w:szCs w:val="24"/>
                <w:lang w:val="en-US" w:eastAsia="zh-CN"/>
              </w:rPr>
              <w:t>6</w:t>
            </w:r>
            <w:r>
              <w:rPr>
                <w:rFonts w:hint="eastAsia"/>
                <w:b/>
                <w:sz w:val="24"/>
                <w:szCs w:val="24"/>
              </w:rPr>
              <w:t xml:space="preserve">  废水污染物排放信息表</w:t>
            </w:r>
          </w:p>
          <w:tbl>
            <w:tblPr>
              <w:tblStyle w:val="75"/>
              <w:tblW w:w="8195"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020"/>
              <w:gridCol w:w="1219"/>
              <w:gridCol w:w="1603"/>
              <w:gridCol w:w="2165"/>
              <w:gridCol w:w="157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jc w:val="center"/>
                    <w:rPr>
                      <w:b/>
                      <w:bCs/>
                      <w:szCs w:val="21"/>
                    </w:rPr>
                  </w:pPr>
                  <w:r>
                    <w:rPr>
                      <w:b/>
                      <w:bCs/>
                      <w:szCs w:val="21"/>
                    </w:rPr>
                    <w:t>序号</w:t>
                  </w:r>
                </w:p>
              </w:tc>
              <w:tc>
                <w:tcPr>
                  <w:tcW w:w="1034" w:type="dxa"/>
                  <w:vAlign w:val="center"/>
                </w:tcPr>
                <w:p>
                  <w:pPr>
                    <w:jc w:val="center"/>
                    <w:rPr>
                      <w:b/>
                      <w:bCs/>
                      <w:szCs w:val="21"/>
                    </w:rPr>
                  </w:pPr>
                  <w:r>
                    <w:rPr>
                      <w:b/>
                      <w:bCs/>
                      <w:szCs w:val="21"/>
                    </w:rPr>
                    <w:t>排放口编号</w:t>
                  </w:r>
                </w:p>
              </w:tc>
              <w:tc>
                <w:tcPr>
                  <w:tcW w:w="1258" w:type="dxa"/>
                  <w:vAlign w:val="center"/>
                </w:tcPr>
                <w:p>
                  <w:pPr>
                    <w:jc w:val="center"/>
                    <w:rPr>
                      <w:b/>
                      <w:bCs/>
                      <w:szCs w:val="21"/>
                    </w:rPr>
                  </w:pPr>
                  <w:r>
                    <w:rPr>
                      <w:b/>
                      <w:bCs/>
                      <w:szCs w:val="21"/>
                    </w:rPr>
                    <w:t>污染物种类</w:t>
                  </w:r>
                </w:p>
              </w:tc>
              <w:tc>
                <w:tcPr>
                  <w:tcW w:w="1654" w:type="dxa"/>
                  <w:vAlign w:val="center"/>
                </w:tcPr>
                <w:p>
                  <w:pPr>
                    <w:jc w:val="center"/>
                    <w:rPr>
                      <w:b/>
                      <w:bCs/>
                      <w:szCs w:val="21"/>
                    </w:rPr>
                  </w:pPr>
                  <w:r>
                    <w:rPr>
                      <w:b/>
                      <w:bCs/>
                      <w:szCs w:val="21"/>
                    </w:rPr>
                    <w:t>排放浓度（mg/L）</w:t>
                  </w:r>
                </w:p>
              </w:tc>
              <w:tc>
                <w:tcPr>
                  <w:tcW w:w="2037" w:type="dxa"/>
                  <w:vAlign w:val="center"/>
                </w:tcPr>
                <w:p>
                  <w:pPr>
                    <w:jc w:val="center"/>
                    <w:rPr>
                      <w:b/>
                      <w:bCs/>
                      <w:szCs w:val="21"/>
                    </w:rPr>
                  </w:pPr>
                  <w:r>
                    <w:rPr>
                      <w:b/>
                      <w:bCs/>
                      <w:szCs w:val="21"/>
                    </w:rPr>
                    <w:t>日排放量（t/d）</w:t>
                  </w:r>
                </w:p>
              </w:tc>
              <w:tc>
                <w:tcPr>
                  <w:tcW w:w="1575" w:type="dxa"/>
                  <w:vAlign w:val="center"/>
                </w:tcPr>
                <w:p>
                  <w:pPr>
                    <w:jc w:val="center"/>
                    <w:rPr>
                      <w:b/>
                      <w:bCs/>
                      <w:szCs w:val="21"/>
                    </w:rPr>
                  </w:pPr>
                  <w:r>
                    <w:rPr>
                      <w:b/>
                      <w:bCs/>
                      <w:szCs w:val="21"/>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restart"/>
                  <w:vAlign w:val="center"/>
                </w:tcPr>
                <w:p>
                  <w:pPr>
                    <w:jc w:val="center"/>
                    <w:rPr>
                      <w:szCs w:val="21"/>
                    </w:rPr>
                  </w:pPr>
                  <w:r>
                    <w:rPr>
                      <w:rFonts w:hint="eastAsia"/>
                      <w:szCs w:val="21"/>
                    </w:rPr>
                    <w:t>1</w:t>
                  </w:r>
                </w:p>
              </w:tc>
              <w:tc>
                <w:tcPr>
                  <w:tcW w:w="1034" w:type="dxa"/>
                  <w:vMerge w:val="restart"/>
                  <w:vAlign w:val="center"/>
                </w:tcPr>
                <w:p>
                  <w:pPr>
                    <w:jc w:val="center"/>
                    <w:rPr>
                      <w:szCs w:val="21"/>
                    </w:rPr>
                  </w:pPr>
                  <w:r>
                    <w:rPr>
                      <w:rFonts w:hint="eastAsia"/>
                      <w:szCs w:val="21"/>
                    </w:rPr>
                    <w:t>DW001</w:t>
                  </w:r>
                </w:p>
              </w:tc>
              <w:tc>
                <w:tcPr>
                  <w:tcW w:w="1258" w:type="dxa"/>
                  <w:vAlign w:val="center"/>
                </w:tcPr>
                <w:p>
                  <w:pPr>
                    <w:jc w:val="center"/>
                    <w:rPr>
                      <w:szCs w:val="21"/>
                    </w:rPr>
                  </w:pPr>
                  <w:r>
                    <w:rPr>
                      <w:szCs w:val="21"/>
                    </w:rPr>
                    <w:t>COD</w:t>
                  </w:r>
                </w:p>
              </w:tc>
              <w:tc>
                <w:tcPr>
                  <w:tcW w:w="1654" w:type="dxa"/>
                  <w:vAlign w:val="center"/>
                </w:tcPr>
                <w:p>
                  <w:pPr>
                    <w:jc w:val="center"/>
                    <w:rPr>
                      <w:szCs w:val="21"/>
                    </w:rPr>
                  </w:pPr>
                  <w:r>
                    <w:rPr>
                      <w:szCs w:val="21"/>
                    </w:rPr>
                    <w:t>350/50</w:t>
                  </w:r>
                </w:p>
              </w:tc>
              <w:tc>
                <w:tcPr>
                  <w:tcW w:w="2037" w:type="dxa"/>
                  <w:vAlign w:val="center"/>
                </w:tcPr>
                <w:p>
                  <w:pPr>
                    <w:jc w:val="center"/>
                    <w:rPr>
                      <w:rFonts w:hint="default" w:eastAsia="宋体"/>
                      <w:szCs w:val="21"/>
                      <w:lang w:val="en-US" w:eastAsia="zh-CN"/>
                    </w:rPr>
                  </w:pPr>
                  <w:r>
                    <w:rPr>
                      <w:rFonts w:hint="eastAsia"/>
                      <w:szCs w:val="21"/>
                      <w:lang w:val="en-US" w:eastAsia="zh-CN"/>
                    </w:rPr>
                    <w:t>0.000112/0.000016</w:t>
                  </w:r>
                </w:p>
              </w:tc>
              <w:tc>
                <w:tcPr>
                  <w:tcW w:w="1575" w:type="dxa"/>
                  <w:vAlign w:val="center"/>
                </w:tcPr>
                <w:p>
                  <w:pPr>
                    <w:adjustRightInd w:val="0"/>
                    <w:snapToGrid w:val="0"/>
                    <w:jc w:val="center"/>
                    <w:rPr>
                      <w:rFonts w:hint="default" w:eastAsia="宋体"/>
                      <w:szCs w:val="21"/>
                      <w:lang w:val="en-US" w:eastAsia="zh-CN"/>
                    </w:rPr>
                  </w:pPr>
                  <w:r>
                    <w:rPr>
                      <w:rFonts w:hint="eastAsia"/>
                      <w:szCs w:val="21"/>
                      <w:lang w:val="en-US" w:eastAsia="zh-CN"/>
                    </w:rPr>
                    <w:t>0.035/0.005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258" w:type="dxa"/>
                  <w:vAlign w:val="center"/>
                </w:tcPr>
                <w:p>
                  <w:pPr>
                    <w:jc w:val="center"/>
                    <w:rPr>
                      <w:szCs w:val="21"/>
                    </w:rPr>
                  </w:pPr>
                  <w:r>
                    <w:rPr>
                      <w:szCs w:val="21"/>
                    </w:rPr>
                    <w:t>SS</w:t>
                  </w:r>
                </w:p>
              </w:tc>
              <w:tc>
                <w:tcPr>
                  <w:tcW w:w="1654" w:type="dxa"/>
                  <w:vAlign w:val="center"/>
                </w:tcPr>
                <w:p>
                  <w:pPr>
                    <w:jc w:val="center"/>
                    <w:rPr>
                      <w:szCs w:val="21"/>
                    </w:rPr>
                  </w:pPr>
                  <w:r>
                    <w:rPr>
                      <w:szCs w:val="21"/>
                    </w:rPr>
                    <w:t>200/10</w:t>
                  </w:r>
                </w:p>
              </w:tc>
              <w:tc>
                <w:tcPr>
                  <w:tcW w:w="2037" w:type="dxa"/>
                  <w:vAlign w:val="center"/>
                </w:tcPr>
                <w:p>
                  <w:pPr>
                    <w:jc w:val="center"/>
                    <w:rPr>
                      <w:rFonts w:hint="default" w:eastAsia="宋体"/>
                      <w:szCs w:val="21"/>
                      <w:lang w:val="en-US" w:eastAsia="zh-CN"/>
                    </w:rPr>
                  </w:pPr>
                  <w:r>
                    <w:rPr>
                      <w:rFonts w:hint="eastAsia"/>
                      <w:szCs w:val="21"/>
                      <w:lang w:val="en-US" w:eastAsia="zh-CN"/>
                    </w:rPr>
                    <w:t>0.000064/0.0000032</w:t>
                  </w:r>
                </w:p>
              </w:tc>
              <w:tc>
                <w:tcPr>
                  <w:tcW w:w="1575" w:type="dxa"/>
                  <w:vAlign w:val="center"/>
                </w:tcPr>
                <w:p>
                  <w:pPr>
                    <w:adjustRightInd w:val="0"/>
                    <w:snapToGrid w:val="0"/>
                    <w:jc w:val="center"/>
                    <w:rPr>
                      <w:rFonts w:hint="default" w:eastAsia="宋体"/>
                      <w:szCs w:val="21"/>
                      <w:lang w:val="en-US" w:eastAsia="zh-CN"/>
                    </w:rPr>
                  </w:pPr>
                  <w:r>
                    <w:rPr>
                      <w:rFonts w:hint="eastAsia"/>
                      <w:szCs w:val="21"/>
                      <w:lang w:val="en-US" w:eastAsia="zh-CN"/>
                    </w:rPr>
                    <w:t>0.020/0.001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258" w:type="dxa"/>
                  <w:vAlign w:val="center"/>
                </w:tcPr>
                <w:p>
                  <w:pPr>
                    <w:jc w:val="center"/>
                    <w:rPr>
                      <w:szCs w:val="21"/>
                    </w:rPr>
                  </w:pPr>
                  <w:r>
                    <w:rPr>
                      <w:szCs w:val="21"/>
                    </w:rPr>
                    <w:t>NH3-N</w:t>
                  </w:r>
                </w:p>
              </w:tc>
              <w:tc>
                <w:tcPr>
                  <w:tcW w:w="1654" w:type="dxa"/>
                  <w:vAlign w:val="center"/>
                </w:tcPr>
                <w:p>
                  <w:pPr>
                    <w:jc w:val="center"/>
                    <w:rPr>
                      <w:szCs w:val="21"/>
                    </w:rPr>
                  </w:pPr>
                  <w:r>
                    <w:rPr>
                      <w:szCs w:val="21"/>
                    </w:rPr>
                    <w:t>35/5</w:t>
                  </w:r>
                </w:p>
              </w:tc>
              <w:tc>
                <w:tcPr>
                  <w:tcW w:w="2037" w:type="dxa"/>
                  <w:vAlign w:val="center"/>
                </w:tcPr>
                <w:p>
                  <w:pPr>
                    <w:jc w:val="center"/>
                    <w:rPr>
                      <w:rFonts w:hint="default" w:eastAsia="宋体"/>
                      <w:szCs w:val="21"/>
                      <w:lang w:val="en-US" w:eastAsia="zh-CN"/>
                    </w:rPr>
                  </w:pPr>
                  <w:r>
                    <w:rPr>
                      <w:rFonts w:hint="eastAsia"/>
                      <w:szCs w:val="21"/>
                      <w:lang w:val="en-US" w:eastAsia="zh-CN"/>
                    </w:rPr>
                    <w:t>0.000012/0.0000016</w:t>
                  </w:r>
                </w:p>
              </w:tc>
              <w:tc>
                <w:tcPr>
                  <w:tcW w:w="1575" w:type="dxa"/>
                  <w:vAlign w:val="center"/>
                </w:tcPr>
                <w:p>
                  <w:pPr>
                    <w:adjustRightInd w:val="0"/>
                    <w:snapToGrid w:val="0"/>
                    <w:jc w:val="center"/>
                    <w:rPr>
                      <w:rFonts w:hint="default" w:eastAsia="宋体"/>
                      <w:szCs w:val="21"/>
                      <w:lang w:val="en-US" w:eastAsia="zh-CN"/>
                    </w:rPr>
                  </w:pPr>
                  <w:r>
                    <w:rPr>
                      <w:rFonts w:hint="eastAsia"/>
                      <w:szCs w:val="21"/>
                      <w:lang w:val="en-US" w:eastAsia="zh-CN"/>
                    </w:rPr>
                    <w:t>0.0035/0.0005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258" w:type="dxa"/>
                  <w:vAlign w:val="center"/>
                </w:tcPr>
                <w:p>
                  <w:pPr>
                    <w:jc w:val="center"/>
                    <w:rPr>
                      <w:szCs w:val="21"/>
                    </w:rPr>
                  </w:pPr>
                  <w:r>
                    <w:rPr>
                      <w:szCs w:val="21"/>
                    </w:rPr>
                    <w:t>TP</w:t>
                  </w:r>
                </w:p>
              </w:tc>
              <w:tc>
                <w:tcPr>
                  <w:tcW w:w="1654" w:type="dxa"/>
                  <w:vAlign w:val="center"/>
                </w:tcPr>
                <w:p>
                  <w:pPr>
                    <w:jc w:val="center"/>
                    <w:rPr>
                      <w:szCs w:val="21"/>
                    </w:rPr>
                  </w:pPr>
                  <w:r>
                    <w:rPr>
                      <w:szCs w:val="21"/>
                    </w:rPr>
                    <w:t>5/0.5</w:t>
                  </w:r>
                </w:p>
              </w:tc>
              <w:tc>
                <w:tcPr>
                  <w:tcW w:w="2037" w:type="dxa"/>
                  <w:vAlign w:val="center"/>
                </w:tcPr>
                <w:p>
                  <w:pPr>
                    <w:jc w:val="center"/>
                    <w:rPr>
                      <w:rFonts w:hint="default" w:eastAsia="宋体"/>
                      <w:szCs w:val="21"/>
                      <w:lang w:val="en-US" w:eastAsia="zh-CN"/>
                    </w:rPr>
                  </w:pPr>
                  <w:r>
                    <w:rPr>
                      <w:rFonts w:hint="eastAsia"/>
                      <w:szCs w:val="21"/>
                      <w:lang w:val="en-US" w:eastAsia="zh-CN"/>
                    </w:rPr>
                    <w:t>0.0000016/0.00000016</w:t>
                  </w:r>
                </w:p>
              </w:tc>
              <w:tc>
                <w:tcPr>
                  <w:tcW w:w="1575" w:type="dxa"/>
                  <w:vAlign w:val="center"/>
                </w:tcPr>
                <w:p>
                  <w:pPr>
                    <w:adjustRightInd w:val="0"/>
                    <w:snapToGrid w:val="0"/>
                    <w:jc w:val="center"/>
                    <w:rPr>
                      <w:rFonts w:hint="default" w:eastAsia="宋体"/>
                      <w:szCs w:val="21"/>
                      <w:lang w:val="en-US" w:eastAsia="zh-CN"/>
                    </w:rPr>
                  </w:pPr>
                  <w:r>
                    <w:rPr>
                      <w:rFonts w:hint="eastAsia"/>
                      <w:szCs w:val="21"/>
                      <w:lang w:val="en-US" w:eastAsia="zh-CN"/>
                    </w:rPr>
                    <w:t>0.0005/0.00005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258" w:type="dxa"/>
                  <w:vAlign w:val="center"/>
                </w:tcPr>
                <w:p>
                  <w:pPr>
                    <w:jc w:val="center"/>
                    <w:rPr>
                      <w:szCs w:val="21"/>
                    </w:rPr>
                  </w:pPr>
                  <w:r>
                    <w:rPr>
                      <w:szCs w:val="21"/>
                    </w:rPr>
                    <w:t>TN</w:t>
                  </w:r>
                </w:p>
              </w:tc>
              <w:tc>
                <w:tcPr>
                  <w:tcW w:w="1654" w:type="dxa"/>
                  <w:vAlign w:val="center"/>
                </w:tcPr>
                <w:p>
                  <w:pPr>
                    <w:jc w:val="center"/>
                    <w:rPr>
                      <w:szCs w:val="21"/>
                    </w:rPr>
                  </w:pPr>
                  <w:r>
                    <w:rPr>
                      <w:szCs w:val="21"/>
                    </w:rPr>
                    <w:t>45/15</w:t>
                  </w:r>
                </w:p>
              </w:tc>
              <w:tc>
                <w:tcPr>
                  <w:tcW w:w="2037" w:type="dxa"/>
                  <w:vAlign w:val="center"/>
                </w:tcPr>
                <w:p>
                  <w:pPr>
                    <w:jc w:val="center"/>
                    <w:rPr>
                      <w:rFonts w:hint="default" w:eastAsia="宋体"/>
                      <w:szCs w:val="21"/>
                      <w:lang w:val="en-US" w:eastAsia="zh-CN"/>
                    </w:rPr>
                  </w:pPr>
                  <w:r>
                    <w:rPr>
                      <w:rFonts w:hint="eastAsia"/>
                      <w:szCs w:val="21"/>
                      <w:lang w:val="en-US" w:eastAsia="zh-CN"/>
                    </w:rPr>
                    <w:t>0.0000144/0.0000048</w:t>
                  </w:r>
                </w:p>
              </w:tc>
              <w:tc>
                <w:tcPr>
                  <w:tcW w:w="1575" w:type="dxa"/>
                  <w:vAlign w:val="center"/>
                </w:tcPr>
                <w:p>
                  <w:pPr>
                    <w:adjustRightInd w:val="0"/>
                    <w:snapToGrid w:val="0"/>
                    <w:jc w:val="center"/>
                    <w:rPr>
                      <w:rFonts w:hint="default" w:eastAsia="宋体"/>
                      <w:szCs w:val="21"/>
                      <w:lang w:val="en-US" w:eastAsia="zh-CN"/>
                    </w:rPr>
                  </w:pPr>
                  <w:r>
                    <w:rPr>
                      <w:rFonts w:hint="eastAsia"/>
                      <w:szCs w:val="21"/>
                      <w:lang w:val="en-US" w:eastAsia="zh-CN"/>
                    </w:rPr>
                    <w:t>0.0045/0.0015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restart"/>
                  <w:vAlign w:val="center"/>
                </w:tcPr>
                <w:p>
                  <w:pPr>
                    <w:jc w:val="center"/>
                    <w:rPr>
                      <w:szCs w:val="21"/>
                    </w:rPr>
                  </w:pPr>
                  <w:r>
                    <w:rPr>
                      <w:szCs w:val="21"/>
                    </w:rPr>
                    <w:t>全厂排放口合计</w:t>
                  </w:r>
                </w:p>
              </w:tc>
              <w:tc>
                <w:tcPr>
                  <w:tcW w:w="4949" w:type="dxa"/>
                  <w:gridSpan w:val="3"/>
                  <w:vAlign w:val="center"/>
                </w:tcPr>
                <w:p>
                  <w:pPr>
                    <w:jc w:val="center"/>
                    <w:rPr>
                      <w:szCs w:val="21"/>
                    </w:rPr>
                  </w:pPr>
                  <w:r>
                    <w:rPr>
                      <w:szCs w:val="21"/>
                    </w:rPr>
                    <w:t>COD</w:t>
                  </w:r>
                </w:p>
              </w:tc>
              <w:tc>
                <w:tcPr>
                  <w:tcW w:w="1575"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0.035/0.005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949" w:type="dxa"/>
                  <w:gridSpan w:val="3"/>
                  <w:vAlign w:val="center"/>
                </w:tcPr>
                <w:p>
                  <w:pPr>
                    <w:jc w:val="center"/>
                    <w:rPr>
                      <w:szCs w:val="21"/>
                    </w:rPr>
                  </w:pPr>
                  <w:r>
                    <w:rPr>
                      <w:szCs w:val="21"/>
                    </w:rPr>
                    <w:t>SS</w:t>
                  </w:r>
                </w:p>
              </w:tc>
              <w:tc>
                <w:tcPr>
                  <w:tcW w:w="1575"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0.020/0.001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949" w:type="dxa"/>
                  <w:gridSpan w:val="3"/>
                  <w:vAlign w:val="center"/>
                </w:tcPr>
                <w:p>
                  <w:pPr>
                    <w:jc w:val="center"/>
                    <w:rPr>
                      <w:szCs w:val="21"/>
                    </w:rPr>
                  </w:pPr>
                  <w:r>
                    <w:rPr>
                      <w:szCs w:val="21"/>
                    </w:rPr>
                    <w:t>NH3-N</w:t>
                  </w:r>
                </w:p>
              </w:tc>
              <w:tc>
                <w:tcPr>
                  <w:tcW w:w="1575"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0.0035/0.0005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949" w:type="dxa"/>
                  <w:gridSpan w:val="3"/>
                  <w:vAlign w:val="center"/>
                </w:tcPr>
                <w:p>
                  <w:pPr>
                    <w:jc w:val="center"/>
                    <w:rPr>
                      <w:szCs w:val="21"/>
                    </w:rPr>
                  </w:pPr>
                  <w:r>
                    <w:rPr>
                      <w:szCs w:val="21"/>
                    </w:rPr>
                    <w:t>TP</w:t>
                  </w:r>
                </w:p>
              </w:tc>
              <w:tc>
                <w:tcPr>
                  <w:tcW w:w="1575"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0.0005/0.00005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949" w:type="dxa"/>
                  <w:gridSpan w:val="3"/>
                  <w:vAlign w:val="center"/>
                </w:tcPr>
                <w:p>
                  <w:pPr>
                    <w:jc w:val="center"/>
                    <w:rPr>
                      <w:szCs w:val="21"/>
                    </w:rPr>
                  </w:pPr>
                  <w:r>
                    <w:rPr>
                      <w:szCs w:val="21"/>
                    </w:rPr>
                    <w:t>TN</w:t>
                  </w:r>
                </w:p>
              </w:tc>
              <w:tc>
                <w:tcPr>
                  <w:tcW w:w="1575"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0.0045/0.0015</w:t>
                  </w:r>
                </w:p>
              </w:tc>
            </w:tr>
          </w:tbl>
          <w:p>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/后</w:t>
            </w:r>
            <w:r>
              <w:rPr>
                <w:b/>
                <w:sz w:val="18"/>
                <w:szCs w:val="18"/>
              </w:rPr>
              <w:t>为污水处理厂最终外排量。</w:t>
            </w:r>
          </w:p>
          <w:p>
            <w:pPr>
              <w:adjustRightInd w:val="0"/>
              <w:snapToGrid w:val="0"/>
              <w:spacing w:line="360" w:lineRule="auto"/>
              <w:ind w:left="482"/>
              <w:rPr>
                <w:b/>
                <w:sz w:val="24"/>
              </w:rPr>
            </w:pPr>
            <w:r>
              <w:rPr>
                <w:rFonts w:hint="eastAsia"/>
                <w:b/>
                <w:sz w:val="24"/>
              </w:rPr>
              <w:t>(3)</w:t>
            </w:r>
            <w:r>
              <w:rPr>
                <w:b/>
                <w:sz w:val="24"/>
              </w:rPr>
              <w:t>接管可行性分析</w:t>
            </w:r>
          </w:p>
          <w:p>
            <w:pPr>
              <w:adjustRightInd w:val="0"/>
              <w:snapToGrid w:val="0"/>
              <w:spacing w:line="360" w:lineRule="auto"/>
              <w:ind w:firstLine="482" w:firstLineChars="200"/>
              <w:rPr>
                <w:b/>
                <w:sz w:val="24"/>
              </w:rPr>
            </w:pPr>
            <w:r>
              <w:rPr>
                <w:b/>
                <w:sz w:val="24"/>
              </w:rPr>
              <w:fldChar w:fldCharType="begin"/>
            </w:r>
            <w:r>
              <w:rPr>
                <w:b/>
                <w:sz w:val="24"/>
              </w:rPr>
              <w:instrText xml:space="preserve"> = 1 \* GB3 </w:instrText>
            </w:r>
            <w:r>
              <w:rPr>
                <w:b/>
                <w:sz w:val="24"/>
              </w:rPr>
              <w:fldChar w:fldCharType="separate"/>
            </w:r>
            <w:r>
              <w:rPr>
                <w:rFonts w:hint="eastAsia" w:ascii="宋体" w:hAnsi="宋体" w:cs="宋体"/>
                <w:b/>
                <w:sz w:val="24"/>
              </w:rPr>
              <w:t>①</w:t>
            </w:r>
            <w:r>
              <w:rPr>
                <w:b/>
                <w:sz w:val="24"/>
              </w:rPr>
              <w:fldChar w:fldCharType="end"/>
            </w:r>
            <w:r>
              <w:rPr>
                <w:rFonts w:hint="eastAsia"/>
                <w:b/>
                <w:sz w:val="24"/>
              </w:rPr>
              <w:t>宜兴市华骐污水处理有限公司</w:t>
            </w:r>
            <w:r>
              <w:rPr>
                <w:b/>
                <w:sz w:val="24"/>
              </w:rPr>
              <w:t>概况</w:t>
            </w:r>
          </w:p>
          <w:p>
            <w:pPr>
              <w:adjustRightInd w:val="0"/>
              <w:snapToGrid w:val="0"/>
              <w:spacing w:line="360" w:lineRule="auto"/>
              <w:ind w:firstLine="480" w:firstLineChars="200"/>
              <w:textAlignment w:val="baseline"/>
              <w:rPr>
                <w:rFonts w:hAnsi="宋体"/>
                <w:sz w:val="24"/>
                <w:lang w:val="zh-CN"/>
              </w:rPr>
            </w:pPr>
            <w:r>
              <w:rPr>
                <w:rFonts w:hint="eastAsia" w:hAnsi="宋体"/>
                <w:sz w:val="24"/>
                <w:lang w:val="zh-CN"/>
              </w:rPr>
              <w:t>宜兴市华骐污水处理有限公司位于丁蜀镇蠡河路、青云河交叉口东北侧，规划用地43亩。一期建设规模为2.5万吨/日，项目总投资概算6000万元。项目分两部建设，先行建设1万吨/日，于2008年2月竣工，于2009年10月通过宜兴市环境保护局“三同时”验收，并于2012年2月通过了二阶段（1.5万吨/日）项目的“三同时”验收。2016年8月开工建设改扩建项目，建设规模为日处理污水3万t/d，于2018年4月27日通过竣工环保验收（〔2018〕009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GB18918-2002）一级B标准基础上，调整设计执行一级A标准，尾水实现达标排放。</w:t>
            </w:r>
          </w:p>
          <w:p>
            <w:pPr>
              <w:adjustRightInd w:val="0"/>
              <w:snapToGrid w:val="0"/>
              <w:spacing w:line="360" w:lineRule="auto"/>
              <w:ind w:firstLine="480" w:firstLineChars="200"/>
              <w:textAlignment w:val="baseline"/>
              <w:rPr>
                <w:rFonts w:hAnsi="宋体"/>
                <w:sz w:val="24"/>
                <w:lang w:val="zh-CN"/>
              </w:rPr>
            </w:pPr>
            <w:r>
              <w:rPr>
                <w:rFonts w:hint="eastAsia" w:hAnsi="宋体"/>
                <w:sz w:val="24"/>
                <w:lang w:val="zh-CN"/>
              </w:rPr>
              <w:t>配套污水收集管网由丁蜀镇政府负责建设。 一期总投资6200万元，工程包括主管网、支管网和提升泵站建设，目前一期管网工程已全部完工，覆盖丁蜀镇城区29个小区和产业园区近百家企业完成了纳管工作。</w:t>
            </w:r>
          </w:p>
          <w:p>
            <w:pPr>
              <w:adjustRightInd w:val="0"/>
              <w:snapToGrid w:val="0"/>
              <w:spacing w:line="360" w:lineRule="auto"/>
              <w:ind w:firstLine="480" w:firstLineChars="200"/>
              <w:rPr>
                <w:sz w:val="24"/>
                <w:szCs w:val="24"/>
              </w:rPr>
            </w:pPr>
            <w:r>
              <w:rPr>
                <w:rFonts w:hint="eastAsia"/>
                <w:sz w:val="24"/>
                <w:szCs w:val="24"/>
              </w:rPr>
              <w:t>根据表2-1宜兴市华骐污水处理有限公司出水水质情况监测结果，该污水处理厂在正常运行状态下。对区域水环境影响较小，指标均满足相应标准要求。</w:t>
            </w:r>
          </w:p>
          <w:p>
            <w:pPr>
              <w:tabs>
                <w:tab w:val="left" w:pos="3118"/>
              </w:tabs>
              <w:snapToGrid w:val="0"/>
              <w:spacing w:line="360" w:lineRule="auto"/>
              <w:ind w:firstLine="482" w:firstLineChars="200"/>
              <w:rPr>
                <w:b/>
                <w:sz w:val="24"/>
              </w:rPr>
            </w:pPr>
            <w:r>
              <w:rPr>
                <w:b/>
                <w:sz w:val="24"/>
              </w:rPr>
              <w:fldChar w:fldCharType="begin"/>
            </w:r>
            <w:r>
              <w:rPr>
                <w:b/>
                <w:sz w:val="24"/>
              </w:rPr>
              <w:instrText xml:space="preserve"> = 2 \* GB3 </w:instrText>
            </w:r>
            <w:r>
              <w:rPr>
                <w:b/>
                <w:sz w:val="24"/>
              </w:rPr>
              <w:fldChar w:fldCharType="separate"/>
            </w:r>
            <w:r>
              <w:rPr>
                <w:rFonts w:hint="eastAsia"/>
                <w:b/>
                <w:sz w:val="24"/>
              </w:rPr>
              <w:t>②</w:t>
            </w:r>
            <w:r>
              <w:rPr>
                <w:b/>
                <w:sz w:val="24"/>
              </w:rPr>
              <w:fldChar w:fldCharType="end"/>
            </w:r>
            <w:r>
              <w:rPr>
                <w:b/>
                <w:sz w:val="24"/>
              </w:rPr>
              <w:t>接管可行性</w:t>
            </w:r>
          </w:p>
          <w:p>
            <w:pPr>
              <w:tabs>
                <w:tab w:val="left" w:pos="3780"/>
              </w:tabs>
              <w:snapToGrid w:val="0"/>
              <w:spacing w:line="360" w:lineRule="auto"/>
              <w:ind w:firstLine="480" w:firstLineChars="200"/>
              <w:rPr>
                <w:sz w:val="24"/>
                <w:szCs w:val="28"/>
              </w:rPr>
            </w:pPr>
            <w:r>
              <w:rPr>
                <w:rFonts w:hint="eastAsia"/>
                <w:sz w:val="24"/>
                <w:szCs w:val="28"/>
              </w:rPr>
              <w:t>a．</w:t>
            </w:r>
            <w:r>
              <w:rPr>
                <w:sz w:val="24"/>
                <w:szCs w:val="28"/>
              </w:rPr>
              <w:t>接管处理能力分析</w:t>
            </w:r>
          </w:p>
          <w:p>
            <w:pPr>
              <w:tabs>
                <w:tab w:val="left" w:pos="3780"/>
              </w:tabs>
              <w:snapToGrid w:val="0"/>
              <w:spacing w:line="360" w:lineRule="auto"/>
              <w:ind w:firstLine="480" w:firstLineChars="200"/>
              <w:rPr>
                <w:sz w:val="24"/>
                <w:szCs w:val="28"/>
              </w:rPr>
            </w:pPr>
            <w:r>
              <w:rPr>
                <w:rFonts w:hint="eastAsia"/>
                <w:sz w:val="24"/>
              </w:rPr>
              <w:t>宜兴市华骐污水处理有限公司处理规模为3.0万吨/天，目前处理量为2.8万吨/天，尚有</w:t>
            </w:r>
            <w:r>
              <w:rPr>
                <w:rFonts w:hint="eastAsia"/>
                <w:sz w:val="24"/>
                <w:lang w:val="en-US"/>
              </w:rPr>
              <w:t>0.2</w:t>
            </w:r>
            <w:r>
              <w:rPr>
                <w:rFonts w:hint="eastAsia"/>
                <w:sz w:val="24"/>
              </w:rPr>
              <w:t>万吨/天余量，本项目排水量约为</w:t>
            </w:r>
            <w:r>
              <w:rPr>
                <w:rFonts w:hint="eastAsia"/>
                <w:sz w:val="24"/>
                <w:lang w:val="en-US" w:eastAsia="zh-CN"/>
              </w:rPr>
              <w:t>0.32</w:t>
            </w:r>
            <w:r>
              <w:rPr>
                <w:rFonts w:hint="eastAsia"/>
                <w:sz w:val="24"/>
              </w:rPr>
              <w:t>吨/天</w:t>
            </w:r>
            <w:r>
              <w:rPr>
                <w:sz w:val="24"/>
                <w:szCs w:val="28"/>
              </w:rPr>
              <w:t>；</w:t>
            </w:r>
            <w:r>
              <w:rPr>
                <w:rFonts w:hint="eastAsia"/>
                <w:sz w:val="24"/>
                <w:szCs w:val="28"/>
              </w:rPr>
              <w:t>所以</w:t>
            </w:r>
            <w:r>
              <w:rPr>
                <w:sz w:val="24"/>
                <w:szCs w:val="28"/>
              </w:rPr>
              <w:t>本项目生活污水</w:t>
            </w:r>
            <w:r>
              <w:rPr>
                <w:rFonts w:hint="eastAsia"/>
                <w:sz w:val="24"/>
                <w:szCs w:val="28"/>
                <w:lang w:val="en-US"/>
              </w:rPr>
              <w:t>经化粪池预处理后</w:t>
            </w:r>
            <w:r>
              <w:rPr>
                <w:sz w:val="24"/>
                <w:szCs w:val="28"/>
              </w:rPr>
              <w:t>接入</w:t>
            </w:r>
            <w:r>
              <w:rPr>
                <w:rFonts w:hint="eastAsia"/>
                <w:sz w:val="24"/>
              </w:rPr>
              <w:t>宜兴市华骐污水处理有限公司</w:t>
            </w:r>
            <w:r>
              <w:rPr>
                <w:sz w:val="24"/>
                <w:szCs w:val="28"/>
              </w:rPr>
              <w:t>是可行的。</w:t>
            </w:r>
          </w:p>
          <w:p>
            <w:pPr>
              <w:tabs>
                <w:tab w:val="left" w:pos="3780"/>
              </w:tabs>
              <w:snapToGrid w:val="0"/>
              <w:spacing w:line="360" w:lineRule="auto"/>
              <w:ind w:firstLine="480" w:firstLineChars="200"/>
              <w:rPr>
                <w:sz w:val="24"/>
                <w:szCs w:val="28"/>
              </w:rPr>
            </w:pPr>
            <w:r>
              <w:rPr>
                <w:rFonts w:hint="eastAsia"/>
                <w:sz w:val="24"/>
                <w:szCs w:val="28"/>
              </w:rPr>
              <w:t>b.</w:t>
            </w:r>
            <w:r>
              <w:rPr>
                <w:sz w:val="24"/>
                <w:szCs w:val="28"/>
              </w:rPr>
              <w:t>接管水质可行性分析</w:t>
            </w:r>
          </w:p>
          <w:p>
            <w:pPr>
              <w:tabs>
                <w:tab w:val="left" w:pos="3780"/>
              </w:tabs>
              <w:snapToGrid w:val="0"/>
              <w:spacing w:line="360" w:lineRule="auto"/>
              <w:ind w:firstLine="480" w:firstLineChars="200"/>
              <w:rPr>
                <w:sz w:val="24"/>
                <w:szCs w:val="28"/>
              </w:rPr>
            </w:pPr>
            <w:r>
              <w:rPr>
                <w:sz w:val="24"/>
                <w:szCs w:val="28"/>
              </w:rPr>
              <w:t>生活污水接管浓度均在</w:t>
            </w:r>
            <w:r>
              <w:rPr>
                <w:rFonts w:hint="eastAsia"/>
                <w:sz w:val="24"/>
              </w:rPr>
              <w:t>宜兴市华骐污水处理有限公司</w:t>
            </w:r>
            <w:r>
              <w:rPr>
                <w:sz w:val="24"/>
                <w:szCs w:val="28"/>
              </w:rPr>
              <w:t>设计进水水质范围内，因此</w:t>
            </w:r>
            <w:r>
              <w:rPr>
                <w:rFonts w:hint="eastAsia"/>
                <w:sz w:val="24"/>
              </w:rPr>
              <w:t>宜兴市华骐污水处理有限公司</w:t>
            </w:r>
            <w:r>
              <w:rPr>
                <w:sz w:val="24"/>
                <w:szCs w:val="28"/>
              </w:rPr>
              <w:t>有能力接纳本项目产生的污水。拟建项目不会对</w:t>
            </w:r>
            <w:r>
              <w:rPr>
                <w:rFonts w:hint="eastAsia"/>
                <w:sz w:val="24"/>
              </w:rPr>
              <w:t>宜兴市华骐污水处理有限公司</w:t>
            </w:r>
            <w:r>
              <w:rPr>
                <w:sz w:val="24"/>
                <w:szCs w:val="28"/>
              </w:rPr>
              <w:t>正常运行造成影响。</w:t>
            </w:r>
          </w:p>
          <w:p>
            <w:pPr>
              <w:tabs>
                <w:tab w:val="left" w:pos="3780"/>
              </w:tabs>
              <w:snapToGrid w:val="0"/>
              <w:spacing w:line="360" w:lineRule="auto"/>
              <w:ind w:firstLine="480" w:firstLineChars="200"/>
              <w:rPr>
                <w:sz w:val="24"/>
                <w:szCs w:val="28"/>
              </w:rPr>
            </w:pPr>
            <w:r>
              <w:rPr>
                <w:rFonts w:hint="eastAsia"/>
                <w:sz w:val="24"/>
                <w:szCs w:val="28"/>
              </w:rPr>
              <w:t>c.</w:t>
            </w:r>
            <w:r>
              <w:rPr>
                <w:sz w:val="24"/>
                <w:szCs w:val="28"/>
              </w:rPr>
              <w:t>污水收集管网</w:t>
            </w:r>
          </w:p>
          <w:p>
            <w:pPr>
              <w:tabs>
                <w:tab w:val="left" w:pos="3780"/>
              </w:tabs>
              <w:snapToGrid w:val="0"/>
              <w:spacing w:line="360" w:lineRule="auto"/>
              <w:ind w:firstLine="480" w:firstLineChars="200"/>
              <w:rPr>
                <w:sz w:val="24"/>
                <w:szCs w:val="28"/>
              </w:rPr>
            </w:pPr>
            <w:r>
              <w:rPr>
                <w:sz w:val="24"/>
                <w:szCs w:val="28"/>
              </w:rPr>
              <w:t>本项目周围污水管网均已铺设到位。因此，污水接入市政污水管网可行。</w:t>
            </w:r>
          </w:p>
          <w:p>
            <w:pPr>
              <w:spacing w:line="360" w:lineRule="auto"/>
              <w:ind w:firstLine="480" w:firstLineChars="200"/>
              <w:rPr>
                <w:sz w:val="24"/>
                <w:szCs w:val="28"/>
              </w:rPr>
            </w:pPr>
            <w:r>
              <w:rPr>
                <w:sz w:val="24"/>
                <w:szCs w:val="28"/>
              </w:rPr>
              <w:t>综上所述，从水质、水量、时间、空间等方面来看，本项目营运期产生的污水接入</w:t>
            </w:r>
            <w:r>
              <w:rPr>
                <w:rFonts w:hint="eastAsia"/>
                <w:sz w:val="24"/>
              </w:rPr>
              <w:t>宜兴市华骐污水处理有限公司</w:t>
            </w:r>
            <w:r>
              <w:rPr>
                <w:sz w:val="24"/>
                <w:szCs w:val="28"/>
              </w:rPr>
              <w:t>集中处理是切实可行的</w:t>
            </w:r>
            <w:r>
              <w:rPr>
                <w:rFonts w:hint="eastAsia"/>
                <w:sz w:val="24"/>
                <w:szCs w:val="28"/>
              </w:rPr>
              <w:t>。</w:t>
            </w:r>
          </w:p>
          <w:p>
            <w:pPr>
              <w:spacing w:line="360" w:lineRule="auto"/>
              <w:ind w:firstLine="361"/>
              <w:rPr>
                <w:sz w:val="24"/>
                <w:szCs w:val="24"/>
              </w:rPr>
            </w:pPr>
            <w:r>
              <w:rPr>
                <w:rFonts w:hint="eastAsia"/>
                <w:sz w:val="24"/>
                <w:szCs w:val="24"/>
              </w:rPr>
              <w:t>综上，本项目废水排放水质较为简单，因此只要企业做好废水的收集工作，切实做到污水达标排放，对地表水环境影响较小。</w:t>
            </w:r>
          </w:p>
          <w:p>
            <w:pPr>
              <w:pStyle w:val="2"/>
              <w:spacing w:after="0" w:line="360" w:lineRule="auto"/>
              <w:ind w:firstLine="480" w:firstLineChars="200"/>
            </w:pPr>
            <w:r>
              <w:rPr>
                <w:rFonts w:hint="eastAsia"/>
                <w:sz w:val="24"/>
                <w:szCs w:val="24"/>
              </w:rPr>
              <w:t>地表水环境影响评价自查表见表</w:t>
            </w:r>
            <w:r>
              <w:rPr>
                <w:sz w:val="24"/>
                <w:szCs w:val="24"/>
              </w:rPr>
              <w:t>7-1</w:t>
            </w:r>
            <w:r>
              <w:rPr>
                <w:rFonts w:hint="eastAsia"/>
                <w:sz w:val="24"/>
                <w:szCs w:val="24"/>
                <w:lang w:val="en-US" w:eastAsia="zh-CN"/>
              </w:rPr>
              <w:t>7</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b/>
                <w:sz w:val="24"/>
                <w:szCs w:val="24"/>
              </w:rPr>
            </w:pPr>
            <w:r>
              <w:rPr>
                <w:b/>
                <w:sz w:val="24"/>
                <w:szCs w:val="24"/>
              </w:rPr>
              <w:t>表7-1</w:t>
            </w:r>
            <w:r>
              <w:rPr>
                <w:rFonts w:hint="eastAsia"/>
                <w:b/>
                <w:sz w:val="24"/>
                <w:szCs w:val="24"/>
                <w:lang w:val="en-US" w:eastAsia="zh-CN"/>
              </w:rPr>
              <w:t>7</w:t>
            </w:r>
            <w:r>
              <w:rPr>
                <w:rFonts w:hint="eastAsia"/>
                <w:b/>
                <w:sz w:val="24"/>
                <w:szCs w:val="24"/>
              </w:rPr>
              <w:t xml:space="preserve">  </w:t>
            </w:r>
            <w:r>
              <w:rPr>
                <w:b/>
                <w:sz w:val="24"/>
                <w:szCs w:val="24"/>
              </w:rPr>
              <w:t>地表水环境影响评价自查表</w:t>
            </w:r>
          </w:p>
          <w:tbl>
            <w:tblPr>
              <w:tblStyle w:val="75"/>
              <w:tblW w:w="8195"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224"/>
              <w:gridCol w:w="1113"/>
              <w:gridCol w:w="360"/>
              <w:gridCol w:w="526"/>
              <w:gridCol w:w="443"/>
              <w:gridCol w:w="612"/>
              <w:gridCol w:w="609"/>
              <w:gridCol w:w="234"/>
              <w:gridCol w:w="317"/>
              <w:gridCol w:w="778"/>
              <w:gridCol w:w="134"/>
              <w:gridCol w:w="384"/>
              <w:gridCol w:w="811"/>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6" w:hRule="atLeast"/>
                <w:tblHeader/>
                <w:jc w:val="center"/>
              </w:trPr>
              <w:tc>
                <w:tcPr>
                  <w:tcW w:w="1874" w:type="dxa"/>
                  <w:gridSpan w:val="2"/>
                  <w:noWrap/>
                  <w:vAlign w:val="center"/>
                </w:tcPr>
                <w:p>
                  <w:pPr>
                    <w:ind w:firstLine="360"/>
                    <w:jc w:val="center"/>
                    <w:rPr>
                      <w:b/>
                      <w:color w:val="000000"/>
                      <w:szCs w:val="21"/>
                    </w:rPr>
                  </w:pPr>
                  <w:r>
                    <w:rPr>
                      <w:rFonts w:hint="eastAsia"/>
                      <w:b/>
                      <w:color w:val="000000"/>
                      <w:szCs w:val="21"/>
                    </w:rPr>
                    <w:t>工作内容</w:t>
                  </w:r>
                </w:p>
              </w:tc>
              <w:tc>
                <w:tcPr>
                  <w:tcW w:w="6321" w:type="dxa"/>
                  <w:gridSpan w:val="12"/>
                  <w:noWrap/>
                  <w:vAlign w:val="center"/>
                </w:tcPr>
                <w:p>
                  <w:pPr>
                    <w:ind w:firstLine="360"/>
                    <w:jc w:val="center"/>
                    <w:rPr>
                      <w:color w:val="000000"/>
                      <w:szCs w:val="21"/>
                    </w:rPr>
                  </w:pPr>
                  <w:r>
                    <w:rPr>
                      <w:rFonts w:hint="eastAsia"/>
                      <w:color w:val="000000"/>
                      <w:szCs w:val="21"/>
                    </w:rPr>
                    <w:t>自查项目</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restart"/>
                  <w:noWrap/>
                  <w:textDirection w:val="tbRlV"/>
                  <w:vAlign w:val="center"/>
                </w:tcPr>
                <w:p>
                  <w:pPr>
                    <w:ind w:firstLine="360"/>
                    <w:jc w:val="center"/>
                    <w:rPr>
                      <w:color w:val="000000"/>
                      <w:szCs w:val="21"/>
                    </w:rPr>
                  </w:pPr>
                  <w:r>
                    <w:rPr>
                      <w:rFonts w:hint="eastAsia"/>
                      <w:color w:val="000000"/>
                      <w:szCs w:val="21"/>
                    </w:rPr>
                    <w:t>影响识别</w:t>
                  </w:r>
                </w:p>
              </w:tc>
              <w:tc>
                <w:tcPr>
                  <w:tcW w:w="1224" w:type="dxa"/>
                  <w:vAlign w:val="center"/>
                </w:tcPr>
                <w:p>
                  <w:pPr>
                    <w:jc w:val="center"/>
                    <w:rPr>
                      <w:b/>
                      <w:color w:val="000000"/>
                      <w:szCs w:val="21"/>
                    </w:rPr>
                  </w:pPr>
                  <w:r>
                    <w:rPr>
                      <w:rFonts w:hint="eastAsia"/>
                      <w:b/>
                      <w:color w:val="000000"/>
                      <w:szCs w:val="21"/>
                    </w:rPr>
                    <w:t>影响类型</w:t>
                  </w:r>
                </w:p>
              </w:tc>
              <w:tc>
                <w:tcPr>
                  <w:tcW w:w="6321" w:type="dxa"/>
                  <w:gridSpan w:val="12"/>
                  <w:noWrap/>
                  <w:vAlign w:val="center"/>
                </w:tcPr>
                <w:p>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jc w:val="center"/>
                    <w:rPr>
                      <w:color w:val="000000"/>
                      <w:szCs w:val="21"/>
                    </w:rPr>
                  </w:pPr>
                </w:p>
              </w:tc>
              <w:tc>
                <w:tcPr>
                  <w:tcW w:w="1224" w:type="dxa"/>
                  <w:vAlign w:val="center"/>
                </w:tcPr>
                <w:p>
                  <w:pPr>
                    <w:jc w:val="center"/>
                    <w:rPr>
                      <w:b/>
                      <w:color w:val="000000"/>
                      <w:szCs w:val="21"/>
                    </w:rPr>
                  </w:pPr>
                  <w:r>
                    <w:rPr>
                      <w:rFonts w:hint="eastAsia"/>
                      <w:b/>
                      <w:color w:val="000000"/>
                      <w:szCs w:val="21"/>
                    </w:rPr>
                    <w:t>水环境保护目标</w:t>
                  </w:r>
                </w:p>
              </w:tc>
              <w:tc>
                <w:tcPr>
                  <w:tcW w:w="6321" w:type="dxa"/>
                  <w:gridSpan w:val="12"/>
                  <w:vAlign w:val="center"/>
                </w:tcPr>
                <w:p>
                  <w:pPr>
                    <w:rPr>
                      <w:color w:val="000000"/>
                      <w:szCs w:val="21"/>
                    </w:rPr>
                  </w:pPr>
                  <w:r>
                    <w:rPr>
                      <w:rFonts w:hint="eastAsia"/>
                      <w:color w:val="000000"/>
                      <w:szCs w:val="21"/>
                    </w:rPr>
                    <w:t>饮用水水源保护区 □；饮用水取水口 □；涉水的自然保护区 □；重要湿地 □；</w:t>
                  </w:r>
                  <w:r>
                    <w:rPr>
                      <w:color w:val="000000"/>
                      <w:szCs w:val="21"/>
                    </w:rPr>
                    <w:br w:type="textWrapping"/>
                  </w:r>
                  <w:r>
                    <w:rPr>
                      <w:rFonts w:hint="eastAsia"/>
                      <w:color w:val="000000"/>
                      <w:szCs w:val="21"/>
                    </w:rPr>
                    <w:t>重点保护与珍稀水生生物的栖息地 □；重要水生生物的自然产卵场及索饵场、越冬场和洄游通道、天然渔场等渔业水体 □；涉水的风景名胜区 □；其他</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jc w:val="center"/>
                    <w:rPr>
                      <w:color w:val="000000"/>
                      <w:szCs w:val="21"/>
                    </w:rPr>
                  </w:pPr>
                </w:p>
              </w:tc>
              <w:tc>
                <w:tcPr>
                  <w:tcW w:w="1224" w:type="dxa"/>
                  <w:vMerge w:val="restart"/>
                  <w:vAlign w:val="center"/>
                </w:tcPr>
                <w:p>
                  <w:pPr>
                    <w:jc w:val="center"/>
                    <w:rPr>
                      <w:b/>
                      <w:color w:val="000000"/>
                      <w:szCs w:val="21"/>
                    </w:rPr>
                  </w:pPr>
                  <w:r>
                    <w:rPr>
                      <w:rFonts w:hint="eastAsia"/>
                      <w:b/>
                      <w:color w:val="000000"/>
                      <w:szCs w:val="21"/>
                    </w:rPr>
                    <w:t>影响途径</w:t>
                  </w:r>
                </w:p>
              </w:tc>
              <w:tc>
                <w:tcPr>
                  <w:tcW w:w="3054" w:type="dxa"/>
                  <w:gridSpan w:val="5"/>
                  <w:vAlign w:val="center"/>
                </w:tcPr>
                <w:p>
                  <w:pPr>
                    <w:jc w:val="center"/>
                    <w:rPr>
                      <w:color w:val="000000"/>
                      <w:szCs w:val="21"/>
                    </w:rPr>
                  </w:pPr>
                  <w:r>
                    <w:rPr>
                      <w:rFonts w:hint="eastAsia"/>
                      <w:color w:val="000000"/>
                      <w:szCs w:val="21"/>
                    </w:rPr>
                    <w:t>水污染影响型</w:t>
                  </w:r>
                </w:p>
              </w:tc>
              <w:tc>
                <w:tcPr>
                  <w:tcW w:w="3267" w:type="dxa"/>
                  <w:gridSpan w:val="7"/>
                  <w:vAlign w:val="center"/>
                </w:tcPr>
                <w:p>
                  <w:pPr>
                    <w:jc w:val="center"/>
                    <w:rPr>
                      <w:color w:val="000000"/>
                      <w:szCs w:val="21"/>
                    </w:rPr>
                  </w:pPr>
                  <w:r>
                    <w:rPr>
                      <w:rFonts w:hint="eastAsia"/>
                      <w:color w:val="000000"/>
                      <w:szCs w:val="21"/>
                    </w:rPr>
                    <w:t>水文要素影响型</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jc w:val="center"/>
                    <w:rPr>
                      <w:color w:val="000000"/>
                      <w:szCs w:val="21"/>
                    </w:rPr>
                  </w:pPr>
                </w:p>
              </w:tc>
              <w:tc>
                <w:tcPr>
                  <w:tcW w:w="1224" w:type="dxa"/>
                  <w:vMerge w:val="continue"/>
                  <w:vAlign w:val="center"/>
                </w:tcPr>
                <w:p>
                  <w:pPr>
                    <w:ind w:firstLine="360"/>
                    <w:jc w:val="center"/>
                    <w:rPr>
                      <w:b/>
                      <w:color w:val="000000"/>
                      <w:szCs w:val="21"/>
                    </w:rPr>
                  </w:pPr>
                </w:p>
              </w:tc>
              <w:tc>
                <w:tcPr>
                  <w:tcW w:w="3054" w:type="dxa"/>
                  <w:gridSpan w:val="5"/>
                  <w:vAlign w:val="center"/>
                </w:tcPr>
                <w:p>
                  <w:pPr>
                    <w:rPr>
                      <w:color w:val="000000"/>
                      <w:szCs w:val="21"/>
                    </w:rPr>
                  </w:pPr>
                  <w:r>
                    <w:rPr>
                      <w:rFonts w:hint="eastAsia"/>
                      <w:color w:val="000000"/>
                      <w:szCs w:val="21"/>
                    </w:rPr>
                    <w:t>直接排放 □；间接排放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pPr>
                    <w:rPr>
                      <w:color w:val="000000"/>
                      <w:szCs w:val="21"/>
                    </w:rPr>
                  </w:pPr>
                  <w:r>
                    <w:rPr>
                      <w:rFonts w:hint="eastAsia"/>
                      <w:color w:val="000000"/>
                      <w:szCs w:val="21"/>
                    </w:rPr>
                    <w:t>水温 □；径流 □；水域面积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jc w:val="center"/>
                    <w:rPr>
                      <w:color w:val="000000"/>
                      <w:szCs w:val="21"/>
                    </w:rPr>
                  </w:pPr>
                </w:p>
              </w:tc>
              <w:tc>
                <w:tcPr>
                  <w:tcW w:w="1224" w:type="dxa"/>
                  <w:vAlign w:val="center"/>
                </w:tcPr>
                <w:p>
                  <w:pPr>
                    <w:jc w:val="center"/>
                    <w:rPr>
                      <w:b/>
                      <w:color w:val="000000"/>
                      <w:szCs w:val="21"/>
                    </w:rPr>
                  </w:pPr>
                  <w:r>
                    <w:rPr>
                      <w:rFonts w:hint="eastAsia"/>
                      <w:b/>
                      <w:color w:val="000000"/>
                      <w:szCs w:val="21"/>
                    </w:rPr>
                    <w:t>影响因子</w:t>
                  </w:r>
                </w:p>
              </w:tc>
              <w:tc>
                <w:tcPr>
                  <w:tcW w:w="3054" w:type="dxa"/>
                  <w:gridSpan w:val="5"/>
                  <w:vAlign w:val="center"/>
                </w:tcPr>
                <w:p>
                  <w:pPr>
                    <w:rPr>
                      <w:color w:val="000000"/>
                      <w:szCs w:val="21"/>
                    </w:rPr>
                  </w:pPr>
                  <w:r>
                    <w:rPr>
                      <w:rFonts w:hint="eastAsia"/>
                      <w:color w:val="000000"/>
                      <w:szCs w:val="21"/>
                    </w:rPr>
                    <w:t>持久性污染物 □；有毒有害污染物 □；非持久性污染物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 □；热污染 □；富营养化 □；其他 □</w:t>
                  </w:r>
                </w:p>
              </w:tc>
              <w:tc>
                <w:tcPr>
                  <w:tcW w:w="3267" w:type="dxa"/>
                  <w:gridSpan w:val="7"/>
                  <w:vAlign w:val="center"/>
                </w:tcPr>
                <w:p>
                  <w:pPr>
                    <w:rPr>
                      <w:color w:val="000000"/>
                      <w:szCs w:val="21"/>
                    </w:rPr>
                  </w:pPr>
                  <w:r>
                    <w:rPr>
                      <w:rFonts w:hint="eastAsia"/>
                      <w:color w:val="000000"/>
                      <w:szCs w:val="21"/>
                    </w:rPr>
                    <w:t>水温 □；水位（水深） □；流速 □；流量 □；其他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restart"/>
                  <w:noWrap/>
                  <w:vAlign w:val="center"/>
                </w:tcPr>
                <w:p>
                  <w:pPr>
                    <w:jc w:val="center"/>
                    <w:rPr>
                      <w:b/>
                      <w:color w:val="000000"/>
                      <w:szCs w:val="21"/>
                    </w:rPr>
                  </w:pPr>
                  <w:r>
                    <w:rPr>
                      <w:rFonts w:hint="eastAsia"/>
                      <w:b/>
                      <w:color w:val="000000"/>
                      <w:szCs w:val="21"/>
                    </w:rPr>
                    <w:t>评价等级</w:t>
                  </w:r>
                </w:p>
              </w:tc>
              <w:tc>
                <w:tcPr>
                  <w:tcW w:w="3054" w:type="dxa"/>
                  <w:gridSpan w:val="5"/>
                  <w:noWrap/>
                  <w:vAlign w:val="center"/>
                </w:tcPr>
                <w:p>
                  <w:pPr>
                    <w:ind w:firstLine="360"/>
                    <w:jc w:val="center"/>
                    <w:rPr>
                      <w:color w:val="000000"/>
                      <w:szCs w:val="21"/>
                    </w:rPr>
                  </w:pPr>
                  <w:r>
                    <w:rPr>
                      <w:rFonts w:hint="eastAsia"/>
                      <w:color w:val="000000"/>
                      <w:szCs w:val="21"/>
                    </w:rPr>
                    <w:t>水污染影响型</w:t>
                  </w:r>
                </w:p>
              </w:tc>
              <w:tc>
                <w:tcPr>
                  <w:tcW w:w="3267" w:type="dxa"/>
                  <w:gridSpan w:val="7"/>
                  <w:vAlign w:val="center"/>
                </w:tcPr>
                <w:p>
                  <w:pPr>
                    <w:ind w:firstLine="360"/>
                    <w:jc w:val="center"/>
                    <w:rPr>
                      <w:color w:val="000000"/>
                      <w:szCs w:val="21"/>
                    </w:rPr>
                  </w:pPr>
                  <w:r>
                    <w:rPr>
                      <w:rFonts w:hint="eastAsia"/>
                      <w:color w:val="000000"/>
                      <w:szCs w:val="21"/>
                    </w:rPr>
                    <w:t>水文要素影响型</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continue"/>
                  <w:noWrap/>
                  <w:vAlign w:val="center"/>
                </w:tcPr>
                <w:p>
                  <w:pPr>
                    <w:ind w:firstLine="360"/>
                    <w:jc w:val="center"/>
                    <w:rPr>
                      <w:b/>
                      <w:color w:val="000000"/>
                      <w:szCs w:val="21"/>
                    </w:rPr>
                  </w:pPr>
                </w:p>
              </w:tc>
              <w:tc>
                <w:tcPr>
                  <w:tcW w:w="3054" w:type="dxa"/>
                  <w:gridSpan w:val="5"/>
                  <w:noWrap/>
                  <w:vAlign w:val="center"/>
                </w:tcPr>
                <w:p>
                  <w:pPr>
                    <w:rPr>
                      <w:color w:val="000000"/>
                      <w:szCs w:val="21"/>
                    </w:rPr>
                  </w:pPr>
                  <w:r>
                    <w:rPr>
                      <w:rFonts w:hint="eastAsia"/>
                      <w:color w:val="000000"/>
                      <w:szCs w:val="21"/>
                    </w:rPr>
                    <w:t>一级 □；二级 □；三级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pPr>
                    <w:ind w:firstLine="360"/>
                    <w:rPr>
                      <w:color w:val="000000"/>
                      <w:szCs w:val="21"/>
                    </w:rPr>
                  </w:pPr>
                  <w:r>
                    <w:rPr>
                      <w:rFonts w:hint="eastAsia"/>
                      <w:color w:val="000000"/>
                      <w:szCs w:val="21"/>
                    </w:rPr>
                    <w:t>一级 □；二级 □；三级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restart"/>
                  <w:noWrap/>
                  <w:textDirection w:val="tbRlV"/>
                  <w:vAlign w:val="center"/>
                </w:tcPr>
                <w:p>
                  <w:pPr>
                    <w:ind w:firstLine="360"/>
                    <w:jc w:val="center"/>
                    <w:rPr>
                      <w:color w:val="000000"/>
                      <w:szCs w:val="21"/>
                    </w:rPr>
                  </w:pPr>
                  <w:r>
                    <w:rPr>
                      <w:rFonts w:hint="eastAsia"/>
                      <w:color w:val="000000"/>
                      <w:szCs w:val="21"/>
                    </w:rPr>
                    <w:t>现状调查</w:t>
                  </w:r>
                </w:p>
              </w:tc>
              <w:tc>
                <w:tcPr>
                  <w:tcW w:w="1224" w:type="dxa"/>
                  <w:vMerge w:val="restart"/>
                  <w:vAlign w:val="center"/>
                </w:tcPr>
                <w:p>
                  <w:pPr>
                    <w:jc w:val="center"/>
                    <w:rPr>
                      <w:b/>
                      <w:color w:val="000000"/>
                      <w:szCs w:val="21"/>
                    </w:rPr>
                  </w:pPr>
                  <w:r>
                    <w:rPr>
                      <w:rFonts w:hint="eastAsia"/>
                      <w:b/>
                      <w:color w:val="000000"/>
                      <w:szCs w:val="21"/>
                    </w:rPr>
                    <w:t>区域污染源</w:t>
                  </w:r>
                </w:p>
              </w:tc>
              <w:tc>
                <w:tcPr>
                  <w:tcW w:w="3054" w:type="dxa"/>
                  <w:gridSpan w:val="5"/>
                  <w:noWrap/>
                  <w:vAlign w:val="center"/>
                </w:tcPr>
                <w:p>
                  <w:pPr>
                    <w:ind w:firstLine="360"/>
                    <w:jc w:val="center"/>
                    <w:rPr>
                      <w:color w:val="000000"/>
                      <w:szCs w:val="21"/>
                    </w:rPr>
                  </w:pPr>
                  <w:r>
                    <w:rPr>
                      <w:rFonts w:hint="eastAsia"/>
                      <w:color w:val="000000"/>
                      <w:szCs w:val="21"/>
                    </w:rPr>
                    <w:t>调查项目</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473" w:type="dxa"/>
                  <w:gridSpan w:val="2"/>
                  <w:vAlign w:val="center"/>
                </w:tcPr>
                <w:p>
                  <w:pPr>
                    <w:rPr>
                      <w:color w:val="000000"/>
                      <w:szCs w:val="21"/>
                    </w:rPr>
                  </w:pPr>
                  <w:r>
                    <w:rPr>
                      <w:rFonts w:hint="eastAsia"/>
                      <w:color w:val="000000"/>
                      <w:szCs w:val="21"/>
                    </w:rPr>
                    <w:t>已建</w:t>
                  </w:r>
                  <w:r>
                    <w:rPr>
                      <w:color w:val="000000"/>
                      <w:szCs w:val="21"/>
                    </w:rPr>
                    <w:t xml:space="preserve"> </w:t>
                  </w:r>
                  <w:r>
                    <w:rPr>
                      <w:color w:val="000000"/>
                      <w:szCs w:val="21"/>
                    </w:rPr>
                    <w:sym w:font="Wingdings 2" w:char="00A3"/>
                  </w:r>
                  <w:r>
                    <w:rPr>
                      <w:rFonts w:hint="eastAsia"/>
                      <w:color w:val="000000"/>
                      <w:szCs w:val="21"/>
                    </w:rPr>
                    <w:t>；在建 □；拟建</w:t>
                  </w:r>
                  <w:r>
                    <w:rPr>
                      <w:color w:val="000000"/>
                      <w:szCs w:val="21"/>
                    </w:rPr>
                    <w:t xml:space="preserve"> </w:t>
                  </w:r>
                  <w:r>
                    <w:rPr>
                      <w:rFonts w:hint="eastAsia"/>
                      <w:color w:val="000000"/>
                      <w:szCs w:val="21"/>
                    </w:rPr>
                    <w:t>□；其他 □</w:t>
                  </w:r>
                </w:p>
              </w:tc>
              <w:tc>
                <w:tcPr>
                  <w:tcW w:w="1581" w:type="dxa"/>
                  <w:gridSpan w:val="3"/>
                  <w:vAlign w:val="center"/>
                </w:tcPr>
                <w:p>
                  <w:pPr>
                    <w:rPr>
                      <w:color w:val="000000"/>
                      <w:szCs w:val="21"/>
                    </w:rPr>
                  </w:pPr>
                  <w:r>
                    <w:rPr>
                      <w:rFonts w:hint="eastAsia"/>
                      <w:color w:val="000000"/>
                      <w:szCs w:val="21"/>
                    </w:rPr>
                    <w:t>拟替代的污染源</w:t>
                  </w:r>
                  <w:r>
                    <w:rPr>
                      <w:color w:val="000000"/>
                      <w:szCs w:val="21"/>
                    </w:rPr>
                    <w:t xml:space="preserve"> </w:t>
                  </w:r>
                  <w:r>
                    <w:rPr>
                      <w:rFonts w:hint="eastAsia"/>
                      <w:color w:val="000000"/>
                      <w:szCs w:val="21"/>
                    </w:rPr>
                    <w:t>□</w:t>
                  </w:r>
                </w:p>
              </w:tc>
              <w:tc>
                <w:tcPr>
                  <w:tcW w:w="3267" w:type="dxa"/>
                  <w:gridSpan w:val="7"/>
                  <w:vAlign w:val="center"/>
                </w:tcPr>
                <w:p>
                  <w:pPr>
                    <w:rPr>
                      <w:color w:val="000000"/>
                      <w:szCs w:val="21"/>
                    </w:rPr>
                  </w:pPr>
                  <w:r>
                    <w:rPr>
                      <w:rFonts w:hint="eastAsia"/>
                      <w:color w:val="000000"/>
                      <w:szCs w:val="21"/>
                    </w:rPr>
                    <w:t>排污许可证 □；环评 □；环保验收 □；既有实测</w:t>
                  </w:r>
                  <w:r>
                    <w:rPr>
                      <w:color w:val="000000"/>
                      <w:szCs w:val="21"/>
                    </w:rPr>
                    <w:t xml:space="preserve"> </w:t>
                  </w:r>
                  <w:r>
                    <w:rPr>
                      <w:color w:val="000000"/>
                      <w:szCs w:val="21"/>
                    </w:rPr>
                    <w:sym w:font="Wingdings 2" w:char="00A3"/>
                  </w:r>
                  <w:r>
                    <w:rPr>
                      <w:rFonts w:hint="eastAsia"/>
                      <w:color w:val="000000"/>
                      <w:szCs w:val="21"/>
                    </w:rPr>
                    <w:t>；现场监测 □；入河排放口数据 □；其他</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restart"/>
                  <w:vAlign w:val="center"/>
                </w:tcPr>
                <w:p>
                  <w:pPr>
                    <w:jc w:val="center"/>
                    <w:rPr>
                      <w:b/>
                      <w:color w:val="000000"/>
                      <w:szCs w:val="21"/>
                    </w:rPr>
                  </w:pPr>
                  <w:r>
                    <w:rPr>
                      <w:rFonts w:hint="eastAsia"/>
                      <w:b/>
                      <w:color w:val="000000"/>
                      <w:szCs w:val="21"/>
                    </w:rPr>
                    <w:t>受影响水体水环境质量</w:t>
                  </w:r>
                </w:p>
              </w:tc>
              <w:tc>
                <w:tcPr>
                  <w:tcW w:w="3054" w:type="dxa"/>
                  <w:gridSpan w:val="5"/>
                  <w:noWrap/>
                  <w:vAlign w:val="center"/>
                </w:tcPr>
                <w:p>
                  <w:pPr>
                    <w:ind w:firstLine="360"/>
                    <w:jc w:val="center"/>
                    <w:rPr>
                      <w:color w:val="000000"/>
                      <w:szCs w:val="21"/>
                    </w:rPr>
                  </w:pPr>
                  <w:r>
                    <w:rPr>
                      <w:rFonts w:hint="eastAsia"/>
                      <w:color w:val="000000"/>
                      <w:szCs w:val="21"/>
                    </w:rPr>
                    <w:t>调查时期</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3054" w:type="dxa"/>
                  <w:gridSpan w:val="5"/>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w:t>
                  </w:r>
                  <w:r>
                    <w:rPr>
                      <w:color w:val="000000"/>
                      <w:szCs w:val="21"/>
                    </w:rPr>
                    <w:t xml:space="preserve"> </w:t>
                  </w:r>
                  <w:r>
                    <w:rPr>
                      <w:color w:val="000000"/>
                      <w:szCs w:val="21"/>
                    </w:rPr>
                    <w:sym w:font="Wingdings 2" w:char="00A3"/>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 □；冬季 □</w:t>
                  </w:r>
                </w:p>
              </w:tc>
              <w:tc>
                <w:tcPr>
                  <w:tcW w:w="3267" w:type="dxa"/>
                  <w:gridSpan w:val="7"/>
                  <w:noWrap/>
                  <w:vAlign w:val="center"/>
                </w:tcPr>
                <w:p>
                  <w:pPr>
                    <w:ind w:firstLine="360"/>
                    <w:jc w:val="center"/>
                    <w:rPr>
                      <w:color w:val="000000"/>
                      <w:szCs w:val="21"/>
                    </w:rPr>
                  </w:pPr>
                  <w:r>
                    <w:rPr>
                      <w:rFonts w:hint="eastAsia"/>
                      <w:color w:val="000000"/>
                      <w:szCs w:val="21"/>
                    </w:rPr>
                    <w:t>生态环境保护主管部门 □；补充监测 □；其他</w:t>
                  </w:r>
                  <w:r>
                    <w:rPr>
                      <w:color w:val="000000"/>
                      <w:szCs w:val="21"/>
                    </w:rPr>
                    <w:t xml:space="preserve"> </w:t>
                  </w:r>
                  <w:r>
                    <w:rPr>
                      <w:szCs w:val="21"/>
                    </w:rPr>
                    <w:sym w:font="Wingdings 2" w:char="00A3"/>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jc w:val="center"/>
                    <w:rPr>
                      <w:b/>
                      <w:color w:val="000000"/>
                      <w:szCs w:val="21"/>
                    </w:rPr>
                  </w:pPr>
                  <w:r>
                    <w:rPr>
                      <w:rFonts w:hint="eastAsia"/>
                      <w:b/>
                      <w:color w:val="000000"/>
                      <w:szCs w:val="21"/>
                    </w:rPr>
                    <w:t>区域水资源开发利用状况</w:t>
                  </w:r>
                </w:p>
              </w:tc>
              <w:tc>
                <w:tcPr>
                  <w:tcW w:w="6321" w:type="dxa"/>
                  <w:gridSpan w:val="12"/>
                  <w:noWrap/>
                  <w:vAlign w:val="center"/>
                </w:tcPr>
                <w:p>
                  <w:pPr>
                    <w:ind w:firstLine="360"/>
                    <w:rPr>
                      <w:color w:val="000000"/>
                      <w:szCs w:val="21"/>
                    </w:rPr>
                  </w:pPr>
                  <w:r>
                    <w:rPr>
                      <w:rFonts w:hint="eastAsia"/>
                      <w:color w:val="000000"/>
                      <w:szCs w:val="21"/>
                    </w:rPr>
                    <w:t>未开发 □；开发量</w:t>
                  </w:r>
                  <w:r>
                    <w:rPr>
                      <w:color w:val="000000"/>
                      <w:szCs w:val="21"/>
                    </w:rPr>
                    <w:t>40%</w:t>
                  </w:r>
                  <w:r>
                    <w:rPr>
                      <w:rFonts w:hint="eastAsia"/>
                      <w:color w:val="000000"/>
                      <w:szCs w:val="21"/>
                    </w:rPr>
                    <w:t>以下 □；开发量</w:t>
                  </w:r>
                  <w:r>
                    <w:rPr>
                      <w:color w:val="000000"/>
                      <w:szCs w:val="21"/>
                    </w:rPr>
                    <w:t>40%</w:t>
                  </w:r>
                  <w:r>
                    <w:rPr>
                      <w:rFonts w:hint="eastAsia"/>
                      <w:color w:val="000000"/>
                      <w:szCs w:val="21"/>
                    </w:rPr>
                    <w:t>以上</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restart"/>
                  <w:vAlign w:val="center"/>
                </w:tcPr>
                <w:p>
                  <w:pPr>
                    <w:jc w:val="center"/>
                    <w:rPr>
                      <w:b/>
                      <w:color w:val="000000"/>
                      <w:szCs w:val="21"/>
                    </w:rPr>
                  </w:pPr>
                  <w:r>
                    <w:rPr>
                      <w:rFonts w:hint="eastAsia"/>
                      <w:b/>
                      <w:color w:val="000000"/>
                      <w:szCs w:val="21"/>
                    </w:rPr>
                    <w:t>水文情势调查</w:t>
                  </w:r>
                </w:p>
              </w:tc>
              <w:tc>
                <w:tcPr>
                  <w:tcW w:w="3054" w:type="dxa"/>
                  <w:gridSpan w:val="5"/>
                  <w:noWrap/>
                  <w:vAlign w:val="center"/>
                </w:tcPr>
                <w:p>
                  <w:pPr>
                    <w:ind w:firstLine="360"/>
                    <w:jc w:val="center"/>
                    <w:rPr>
                      <w:color w:val="000000"/>
                      <w:szCs w:val="21"/>
                    </w:rPr>
                  </w:pPr>
                  <w:r>
                    <w:rPr>
                      <w:rFonts w:hint="eastAsia"/>
                      <w:color w:val="000000"/>
                      <w:szCs w:val="21"/>
                    </w:rPr>
                    <w:t>调查时期</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3054" w:type="dxa"/>
                  <w:gridSpan w:val="5"/>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w:t>
                  </w:r>
                  <w:r>
                    <w:rPr>
                      <w:color w:val="000000"/>
                      <w:szCs w:val="21"/>
                    </w:rPr>
                    <w:t xml:space="preserve"> </w:t>
                  </w:r>
                  <w:r>
                    <w:rPr>
                      <w:color w:val="000000"/>
                      <w:szCs w:val="21"/>
                    </w:rPr>
                    <w:sym w:font="Wingdings 2" w:char="0052"/>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 □；冬季 □</w:t>
                  </w:r>
                </w:p>
              </w:tc>
              <w:tc>
                <w:tcPr>
                  <w:tcW w:w="3267" w:type="dxa"/>
                  <w:gridSpan w:val="7"/>
                  <w:noWrap/>
                  <w:vAlign w:val="center"/>
                </w:tcPr>
                <w:p>
                  <w:pPr>
                    <w:rPr>
                      <w:color w:val="000000"/>
                      <w:szCs w:val="21"/>
                    </w:rPr>
                  </w:pPr>
                  <w:r>
                    <w:rPr>
                      <w:rFonts w:hint="eastAsia"/>
                      <w:color w:val="000000"/>
                      <w:szCs w:val="21"/>
                    </w:rPr>
                    <w:t>水行政主管部门 □；补充监测 □；其他</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restart"/>
                  <w:vAlign w:val="center"/>
                </w:tcPr>
                <w:p>
                  <w:pPr>
                    <w:jc w:val="center"/>
                    <w:rPr>
                      <w:b/>
                      <w:color w:val="000000"/>
                      <w:szCs w:val="21"/>
                    </w:rPr>
                  </w:pPr>
                  <w:r>
                    <w:rPr>
                      <w:rFonts w:hint="eastAsia"/>
                      <w:b/>
                      <w:color w:val="000000"/>
                      <w:szCs w:val="21"/>
                    </w:rPr>
                    <w:t>补充监测</w:t>
                  </w:r>
                </w:p>
              </w:tc>
              <w:tc>
                <w:tcPr>
                  <w:tcW w:w="3054" w:type="dxa"/>
                  <w:gridSpan w:val="5"/>
                  <w:vAlign w:val="center"/>
                </w:tcPr>
                <w:p>
                  <w:pPr>
                    <w:jc w:val="center"/>
                    <w:rPr>
                      <w:color w:val="000000"/>
                      <w:szCs w:val="21"/>
                    </w:rPr>
                  </w:pPr>
                  <w:r>
                    <w:rPr>
                      <w:rFonts w:hint="eastAsia"/>
                      <w:color w:val="000000"/>
                      <w:szCs w:val="21"/>
                    </w:rPr>
                    <w:t>监测时期</w:t>
                  </w:r>
                </w:p>
              </w:tc>
              <w:tc>
                <w:tcPr>
                  <w:tcW w:w="2072" w:type="dxa"/>
                  <w:gridSpan w:val="5"/>
                  <w:noWrap/>
                  <w:vAlign w:val="center"/>
                </w:tcPr>
                <w:p>
                  <w:pPr>
                    <w:jc w:val="center"/>
                    <w:rPr>
                      <w:color w:val="000000"/>
                      <w:szCs w:val="21"/>
                    </w:rPr>
                  </w:pPr>
                  <w:r>
                    <w:rPr>
                      <w:rFonts w:hint="eastAsia"/>
                      <w:color w:val="000000"/>
                      <w:szCs w:val="21"/>
                    </w:rPr>
                    <w:t>监测因子</w:t>
                  </w:r>
                </w:p>
              </w:tc>
              <w:tc>
                <w:tcPr>
                  <w:tcW w:w="1195" w:type="dxa"/>
                  <w:gridSpan w:val="2"/>
                  <w:noWrap/>
                  <w:vAlign w:val="center"/>
                </w:tcPr>
                <w:p>
                  <w:pPr>
                    <w:jc w:val="center"/>
                    <w:rPr>
                      <w:color w:val="000000"/>
                      <w:szCs w:val="21"/>
                    </w:rPr>
                  </w:pPr>
                  <w:r>
                    <w:rPr>
                      <w:rFonts w:hint="eastAsia"/>
                      <w:color w:val="000000"/>
                      <w:szCs w:val="21"/>
                    </w:rPr>
                    <w:t>监测断面或点位</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3054" w:type="dxa"/>
                  <w:gridSpan w:val="5"/>
                  <w:vAlign w:val="center"/>
                </w:tcPr>
                <w:p>
                  <w:pPr>
                    <w:jc w:val="cente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p>
              </w:tc>
              <w:tc>
                <w:tcPr>
                  <w:tcW w:w="2072" w:type="dxa"/>
                  <w:gridSpan w:val="5"/>
                  <w:noWrap/>
                  <w:vAlign w:val="center"/>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pPr>
                    <w:jc w:val="cente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restart"/>
                  <w:noWrap/>
                  <w:textDirection w:val="tbRlV"/>
                  <w:vAlign w:val="center"/>
                </w:tcPr>
                <w:p>
                  <w:pPr>
                    <w:ind w:firstLine="210" w:firstLineChars="100"/>
                    <w:rPr>
                      <w:b/>
                      <w:color w:val="000000"/>
                      <w:szCs w:val="21"/>
                    </w:rPr>
                  </w:pPr>
                  <w:r>
                    <w:rPr>
                      <w:rFonts w:hint="eastAsia"/>
                      <w:color w:val="000000"/>
                      <w:szCs w:val="21"/>
                    </w:rPr>
                    <w:t xml:space="preserve">                          </w:t>
                  </w:r>
                  <w:r>
                    <w:rPr>
                      <w:rFonts w:hint="eastAsia"/>
                      <w:b/>
                      <w:color w:val="000000"/>
                      <w:szCs w:val="21"/>
                    </w:rPr>
                    <w:t>现状评价</w:t>
                  </w:r>
                </w:p>
              </w:tc>
              <w:tc>
                <w:tcPr>
                  <w:tcW w:w="1224" w:type="dxa"/>
                  <w:vAlign w:val="center"/>
                </w:tcPr>
                <w:p>
                  <w:pPr>
                    <w:rPr>
                      <w:b/>
                      <w:color w:val="000000"/>
                      <w:szCs w:val="21"/>
                    </w:rPr>
                  </w:pPr>
                  <w:r>
                    <w:rPr>
                      <w:rFonts w:hint="eastAsia"/>
                      <w:b/>
                      <w:color w:val="000000"/>
                      <w:szCs w:val="21"/>
                    </w:rPr>
                    <w:t>评价范围</w:t>
                  </w:r>
                </w:p>
              </w:tc>
              <w:tc>
                <w:tcPr>
                  <w:tcW w:w="6321" w:type="dxa"/>
                  <w:gridSpan w:val="12"/>
                  <w:noWrap/>
                  <w:vAlign w:val="center"/>
                </w:tcPr>
                <w:p>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评价因子</w:t>
                  </w:r>
                </w:p>
              </w:tc>
              <w:tc>
                <w:tcPr>
                  <w:tcW w:w="6321" w:type="dxa"/>
                  <w:gridSpan w:val="12"/>
                  <w:noWrap/>
                  <w:vAlign w:val="center"/>
                </w:tcPr>
                <w:p>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评价标准</w:t>
                  </w:r>
                </w:p>
              </w:tc>
              <w:tc>
                <w:tcPr>
                  <w:tcW w:w="6321" w:type="dxa"/>
                  <w:gridSpan w:val="12"/>
                  <w:noWrap/>
                  <w:vAlign w:val="center"/>
                </w:tcPr>
                <w:p>
                  <w:pPr>
                    <w:rPr>
                      <w:color w:val="000000"/>
                      <w:szCs w:val="21"/>
                    </w:rPr>
                  </w:pPr>
                  <w:r>
                    <w:rPr>
                      <w:rFonts w:hint="eastAsia"/>
                      <w:color w:val="000000"/>
                      <w:szCs w:val="21"/>
                    </w:rPr>
                    <w:t>河流、湖库、河口：Ⅰ类 □；Ⅱ类口；Ⅲ类</w:t>
                  </w:r>
                  <w:r>
                    <w:rPr>
                      <w:color w:val="000000"/>
                      <w:szCs w:val="21"/>
                    </w:rPr>
                    <w:t xml:space="preserve"> </w:t>
                  </w:r>
                  <w:r>
                    <w:rPr>
                      <w:color w:val="000000"/>
                      <w:szCs w:val="21"/>
                    </w:rPr>
                    <w:sym w:font="Wingdings 2" w:char="0052"/>
                  </w:r>
                  <w:r>
                    <w:rPr>
                      <w:rFonts w:hint="eastAsia"/>
                      <w:color w:val="000000"/>
                      <w:szCs w:val="21"/>
                    </w:rPr>
                    <w:t>；Ⅳ类 □；Ⅴ类 □</w:t>
                  </w:r>
                </w:p>
                <w:p>
                  <w:pPr>
                    <w:rPr>
                      <w:color w:val="000000"/>
                      <w:szCs w:val="21"/>
                    </w:rPr>
                  </w:pPr>
                  <w:r>
                    <w:rPr>
                      <w:rFonts w:hint="eastAsia"/>
                      <w:color w:val="000000"/>
                      <w:szCs w:val="21"/>
                    </w:rPr>
                    <w:t>近岸海域：第一类 □；第二类 □；第三类 □；第四类 □</w:t>
                  </w:r>
                </w:p>
                <w:p>
                  <w:pPr>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评价时期</w:t>
                  </w:r>
                </w:p>
              </w:tc>
              <w:tc>
                <w:tcPr>
                  <w:tcW w:w="6321" w:type="dxa"/>
                  <w:gridSpan w:val="12"/>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评价结论</w:t>
                  </w:r>
                </w:p>
              </w:tc>
              <w:tc>
                <w:tcPr>
                  <w:tcW w:w="5510" w:type="dxa"/>
                  <w:gridSpan w:val="11"/>
                  <w:vAlign w:val="center"/>
                </w:tcPr>
                <w:p>
                  <w:pPr>
                    <w:rPr>
                      <w:color w:val="000000"/>
                      <w:szCs w:val="21"/>
                    </w:rPr>
                  </w:pPr>
                  <w:r>
                    <w:rPr>
                      <w:rFonts w:hint="eastAsia"/>
                      <w:color w:val="000000"/>
                      <w:szCs w:val="21"/>
                    </w:rPr>
                    <w:t>水环境功能区或水功能区、近岸海域环境功能区水质达标状况 □：达标</w:t>
                  </w:r>
                  <w:r>
                    <w:rPr>
                      <w:color w:val="000000"/>
                      <w:szCs w:val="21"/>
                    </w:rPr>
                    <w:t xml:space="preserve"> </w:t>
                  </w:r>
                  <w:r>
                    <w:rPr>
                      <w:szCs w:val="21"/>
                    </w:rPr>
                    <w:sym w:font="Wingdings 2" w:char="F052"/>
                  </w:r>
                  <w:r>
                    <w:rPr>
                      <w:rFonts w:hint="eastAsia"/>
                      <w:color w:val="000000"/>
                      <w:szCs w:val="21"/>
                    </w:rPr>
                    <w:t>；不达标 □</w:t>
                  </w:r>
                  <w:r>
                    <w:rPr>
                      <w:color w:val="000000"/>
                      <w:szCs w:val="21"/>
                    </w:rPr>
                    <w:br w:type="textWrapping"/>
                  </w:r>
                  <w:r>
                    <w:rPr>
                      <w:rFonts w:hint="eastAsia"/>
                      <w:color w:val="000000"/>
                      <w:szCs w:val="21"/>
                    </w:rPr>
                    <w:t>水环境控制单元或断面水质达标状况 □：达标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type="textWrapping"/>
                  </w:r>
                  <w:r>
                    <w:rPr>
                      <w:rFonts w:hint="eastAsia"/>
                      <w:color w:val="000000"/>
                      <w:szCs w:val="21"/>
                    </w:rPr>
                    <w:t>水环境保护目标质量状况 □：达标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type="textWrapping"/>
                  </w:r>
                  <w:r>
                    <w:rPr>
                      <w:rFonts w:hint="eastAsia"/>
                      <w:color w:val="000000"/>
                      <w:szCs w:val="21"/>
                    </w:rPr>
                    <w:t>对照断面、控制断面等代表性断面的水质状况 □：达标 □；不达标 □</w:t>
                  </w:r>
                </w:p>
                <w:p>
                  <w:pPr>
                    <w:rPr>
                      <w:color w:val="000000"/>
                      <w:szCs w:val="21"/>
                    </w:rPr>
                  </w:pPr>
                  <w:r>
                    <w:rPr>
                      <w:rFonts w:hint="eastAsia"/>
                      <w:color w:val="000000"/>
                      <w:szCs w:val="21"/>
                    </w:rPr>
                    <w:t>底泥污染评价 □</w:t>
                  </w:r>
                  <w:r>
                    <w:rPr>
                      <w:color w:val="000000"/>
                      <w:szCs w:val="21"/>
                    </w:rPr>
                    <w:br w:type="textWrapping"/>
                  </w:r>
                  <w:r>
                    <w:rPr>
                      <w:rFonts w:hint="eastAsia"/>
                      <w:color w:val="000000"/>
                      <w:szCs w:val="21"/>
                    </w:rPr>
                    <w:t>水资源与开发利用程度及其水文情势评价 □</w:t>
                  </w:r>
                  <w:r>
                    <w:rPr>
                      <w:color w:val="000000"/>
                      <w:szCs w:val="21"/>
                    </w:rPr>
                    <w:br w:type="textWrapping"/>
                  </w:r>
                  <w:r>
                    <w:rPr>
                      <w:rFonts w:hint="eastAsia"/>
                      <w:color w:val="000000"/>
                      <w:szCs w:val="21"/>
                    </w:rPr>
                    <w:t>水环境质量回顾评价 □</w:t>
                  </w:r>
                  <w:r>
                    <w:rPr>
                      <w:color w:val="000000"/>
                      <w:szCs w:val="21"/>
                    </w:rPr>
                    <w:br w:type="textWrapping"/>
                  </w:r>
                  <w:r>
                    <w:rPr>
                      <w:rFonts w:hint="eastAsia"/>
                      <w:color w:val="000000"/>
                      <w:szCs w:val="21"/>
                    </w:rPr>
                    <w:t>流域（区域）水资源（包括水能资源）与开发利用总体状况、生态流量管理要求与现状满足程度、建设项目占用水域空间的水流状况与河湖演变状况 □</w:t>
                  </w:r>
                </w:p>
              </w:tc>
              <w:tc>
                <w:tcPr>
                  <w:tcW w:w="811" w:type="dxa"/>
                  <w:vAlign w:val="center"/>
                </w:tcPr>
                <w:p>
                  <w:pPr>
                    <w:rPr>
                      <w:color w:val="000000"/>
                      <w:szCs w:val="21"/>
                    </w:rPr>
                  </w:pPr>
                  <w:r>
                    <w:rPr>
                      <w:rFonts w:hint="eastAsia"/>
                      <w:color w:val="000000"/>
                      <w:szCs w:val="21"/>
                    </w:rPr>
                    <w:t>达标区</w:t>
                  </w:r>
                  <w:r>
                    <w:rPr>
                      <w:color w:val="000000"/>
                      <w:szCs w:val="21"/>
                    </w:rPr>
                    <w:t xml:space="preserve"> </w:t>
                  </w:r>
                  <w:r>
                    <w:rPr>
                      <w:szCs w:val="21"/>
                    </w:rPr>
                    <w:sym w:font="Wingdings 2" w:char="00A3"/>
                  </w:r>
                </w:p>
                <w:p>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restart"/>
                  <w:noWrap/>
                  <w:textDirection w:val="tbRlV"/>
                  <w:vAlign w:val="center"/>
                </w:tcPr>
                <w:p>
                  <w:pPr>
                    <w:ind w:firstLine="360"/>
                    <w:jc w:val="center"/>
                    <w:rPr>
                      <w:b/>
                      <w:color w:val="000000"/>
                      <w:szCs w:val="21"/>
                    </w:rPr>
                  </w:pPr>
                  <w:r>
                    <w:rPr>
                      <w:rFonts w:hint="eastAsia"/>
                      <w:b/>
                      <w:color w:val="000000"/>
                      <w:szCs w:val="21"/>
                    </w:rPr>
                    <w:t>影响预测</w:t>
                  </w:r>
                </w:p>
              </w:tc>
              <w:tc>
                <w:tcPr>
                  <w:tcW w:w="1224" w:type="dxa"/>
                  <w:vAlign w:val="center"/>
                </w:tcPr>
                <w:p>
                  <w:pPr>
                    <w:rPr>
                      <w:b/>
                      <w:color w:val="000000"/>
                      <w:szCs w:val="21"/>
                    </w:rPr>
                  </w:pPr>
                  <w:r>
                    <w:rPr>
                      <w:rFonts w:hint="eastAsia"/>
                      <w:b/>
                      <w:color w:val="000000"/>
                      <w:szCs w:val="21"/>
                    </w:rPr>
                    <w:t>预测范围</w:t>
                  </w:r>
                </w:p>
              </w:tc>
              <w:tc>
                <w:tcPr>
                  <w:tcW w:w="6321" w:type="dxa"/>
                  <w:gridSpan w:val="12"/>
                  <w:noWrap/>
                  <w:vAlign w:val="center"/>
                </w:tcPr>
                <w:p>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b/>
                      <w:color w:val="000000"/>
                      <w:szCs w:val="21"/>
                    </w:rPr>
                  </w:pPr>
                </w:p>
              </w:tc>
              <w:tc>
                <w:tcPr>
                  <w:tcW w:w="1224" w:type="dxa"/>
                  <w:vAlign w:val="center"/>
                </w:tcPr>
                <w:p>
                  <w:pPr>
                    <w:rPr>
                      <w:b/>
                      <w:color w:val="000000"/>
                      <w:szCs w:val="21"/>
                    </w:rPr>
                  </w:pPr>
                  <w:r>
                    <w:rPr>
                      <w:rFonts w:hint="eastAsia"/>
                      <w:b/>
                      <w:color w:val="000000"/>
                      <w:szCs w:val="21"/>
                    </w:rPr>
                    <w:t>预测因子</w:t>
                  </w:r>
                </w:p>
              </w:tc>
              <w:tc>
                <w:tcPr>
                  <w:tcW w:w="6321" w:type="dxa"/>
                  <w:gridSpan w:val="12"/>
                  <w:noWrap/>
                  <w:vAlign w:val="center"/>
                </w:tcPr>
                <w:p>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b/>
                      <w:color w:val="000000"/>
                      <w:szCs w:val="21"/>
                    </w:rPr>
                  </w:pPr>
                </w:p>
              </w:tc>
              <w:tc>
                <w:tcPr>
                  <w:tcW w:w="1224" w:type="dxa"/>
                  <w:vAlign w:val="center"/>
                </w:tcPr>
                <w:p>
                  <w:pPr>
                    <w:rPr>
                      <w:b/>
                      <w:color w:val="000000"/>
                      <w:szCs w:val="21"/>
                    </w:rPr>
                  </w:pPr>
                  <w:r>
                    <w:rPr>
                      <w:rFonts w:hint="eastAsia"/>
                      <w:b/>
                      <w:color w:val="000000"/>
                      <w:szCs w:val="21"/>
                    </w:rPr>
                    <w:t>预测时期</w:t>
                  </w:r>
                </w:p>
              </w:tc>
              <w:tc>
                <w:tcPr>
                  <w:tcW w:w="6321" w:type="dxa"/>
                  <w:gridSpan w:val="12"/>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r>
                    <w:rPr>
                      <w:color w:val="000000"/>
                      <w:szCs w:val="21"/>
                    </w:rPr>
                    <w:br w:type="textWrapping"/>
                  </w:r>
                  <w:r>
                    <w:rPr>
                      <w:rFonts w:hint="eastAsia"/>
                      <w:color w:val="000000"/>
                      <w:szCs w:val="21"/>
                    </w:rPr>
                    <w:t>设计水文条件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b/>
                      <w:color w:val="000000"/>
                      <w:szCs w:val="21"/>
                    </w:rPr>
                  </w:pPr>
                </w:p>
              </w:tc>
              <w:tc>
                <w:tcPr>
                  <w:tcW w:w="1224" w:type="dxa"/>
                  <w:vAlign w:val="center"/>
                </w:tcPr>
                <w:p>
                  <w:pPr>
                    <w:rPr>
                      <w:b/>
                      <w:color w:val="000000"/>
                      <w:szCs w:val="21"/>
                    </w:rPr>
                  </w:pPr>
                  <w:r>
                    <w:rPr>
                      <w:rFonts w:hint="eastAsia"/>
                      <w:b/>
                      <w:color w:val="000000"/>
                      <w:szCs w:val="21"/>
                    </w:rPr>
                    <w:t>预测情景</w:t>
                  </w:r>
                </w:p>
              </w:tc>
              <w:tc>
                <w:tcPr>
                  <w:tcW w:w="6321" w:type="dxa"/>
                  <w:gridSpan w:val="12"/>
                  <w:vAlign w:val="center"/>
                </w:tcPr>
                <w:p>
                  <w:pPr>
                    <w:rPr>
                      <w:color w:val="000000"/>
                      <w:szCs w:val="21"/>
                    </w:rPr>
                  </w:pPr>
                  <w:r>
                    <w:rPr>
                      <w:rFonts w:hint="eastAsia"/>
                      <w:color w:val="000000"/>
                      <w:szCs w:val="21"/>
                    </w:rPr>
                    <w:t>建设期 □；生产运行期 □；服务期满后 □</w:t>
                  </w:r>
                  <w:r>
                    <w:rPr>
                      <w:color w:val="000000"/>
                      <w:szCs w:val="21"/>
                    </w:rPr>
                    <w:br w:type="textWrapping"/>
                  </w:r>
                  <w:r>
                    <w:rPr>
                      <w:rFonts w:hint="eastAsia"/>
                      <w:color w:val="000000"/>
                      <w:szCs w:val="21"/>
                    </w:rPr>
                    <w:t>正常工况 □；非正常工况 □</w:t>
                  </w:r>
                  <w:r>
                    <w:rPr>
                      <w:color w:val="000000"/>
                      <w:szCs w:val="21"/>
                    </w:rPr>
                    <w:br w:type="textWrapping"/>
                  </w:r>
                  <w:r>
                    <w:rPr>
                      <w:rFonts w:hint="eastAsia"/>
                      <w:color w:val="000000"/>
                      <w:szCs w:val="21"/>
                    </w:rPr>
                    <w:t>污染控制和减缓措施方案 □</w:t>
                  </w:r>
                  <w:r>
                    <w:rPr>
                      <w:color w:val="000000"/>
                      <w:szCs w:val="21"/>
                    </w:rPr>
                    <w:br w:type="textWrapping"/>
                  </w:r>
                  <w:r>
                    <w:rPr>
                      <w:rFonts w:hint="eastAsia"/>
                      <w:color w:val="000000"/>
                      <w:szCs w:val="21"/>
                    </w:rPr>
                    <w:t>区（流）域环境质量改善目标要求情景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b/>
                      <w:color w:val="000000"/>
                      <w:szCs w:val="21"/>
                    </w:rPr>
                  </w:pPr>
                </w:p>
              </w:tc>
              <w:tc>
                <w:tcPr>
                  <w:tcW w:w="1224" w:type="dxa"/>
                  <w:vAlign w:val="center"/>
                </w:tcPr>
                <w:p>
                  <w:pPr>
                    <w:rPr>
                      <w:b/>
                      <w:color w:val="000000"/>
                      <w:szCs w:val="21"/>
                    </w:rPr>
                  </w:pPr>
                  <w:r>
                    <w:rPr>
                      <w:rFonts w:hint="eastAsia"/>
                      <w:b/>
                      <w:color w:val="000000"/>
                      <w:szCs w:val="21"/>
                    </w:rPr>
                    <w:t>预测方法</w:t>
                  </w:r>
                </w:p>
              </w:tc>
              <w:tc>
                <w:tcPr>
                  <w:tcW w:w="6321" w:type="dxa"/>
                  <w:gridSpan w:val="12"/>
                  <w:noWrap/>
                  <w:vAlign w:val="center"/>
                </w:tcPr>
                <w:p>
                  <w:pPr>
                    <w:rPr>
                      <w:color w:val="000000"/>
                      <w:szCs w:val="21"/>
                    </w:rPr>
                  </w:pPr>
                  <w:r>
                    <w:rPr>
                      <w:rFonts w:hint="eastAsia"/>
                      <w:color w:val="000000"/>
                      <w:szCs w:val="21"/>
                    </w:rPr>
                    <w:t>数值解 □：解析解 □；其他 □</w:t>
                  </w:r>
                </w:p>
                <w:p>
                  <w:pPr>
                    <w:rPr>
                      <w:color w:val="000000"/>
                      <w:szCs w:val="21"/>
                    </w:rPr>
                  </w:pPr>
                  <w:r>
                    <w:rPr>
                      <w:rFonts w:hint="eastAsia"/>
                      <w:color w:val="000000"/>
                      <w:szCs w:val="21"/>
                    </w:rPr>
                    <w:t>导则推荐模式</w:t>
                  </w:r>
                  <w:r>
                    <w:rPr>
                      <w:color w:val="000000"/>
                      <w:szCs w:val="21"/>
                    </w:rPr>
                    <w:t xml:space="preserve"> </w:t>
                  </w:r>
                  <w:r>
                    <w:rPr>
                      <w:rFonts w:hint="eastAsia"/>
                      <w:color w:val="000000"/>
                      <w:szCs w:val="21"/>
                    </w:rPr>
                    <w:t>□：其他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vMerge w:val="restart"/>
                  <w:noWrap/>
                  <w:textDirection w:val="tbRlV"/>
                  <w:vAlign w:val="center"/>
                </w:tcPr>
                <w:p>
                  <w:pPr>
                    <w:ind w:firstLine="360"/>
                    <w:jc w:val="center"/>
                    <w:rPr>
                      <w:b/>
                      <w:color w:val="000000"/>
                      <w:szCs w:val="21"/>
                    </w:rPr>
                  </w:pPr>
                  <w:r>
                    <w:rPr>
                      <w:rFonts w:hint="eastAsia"/>
                      <w:b/>
                      <w:color w:val="000000"/>
                      <w:szCs w:val="21"/>
                    </w:rPr>
                    <w:t>影响评价</w:t>
                  </w:r>
                </w:p>
              </w:tc>
              <w:tc>
                <w:tcPr>
                  <w:tcW w:w="1224" w:type="dxa"/>
                  <w:vAlign w:val="center"/>
                </w:tcPr>
                <w:p>
                  <w:pPr>
                    <w:rPr>
                      <w:b/>
                      <w:color w:val="000000"/>
                      <w:szCs w:val="21"/>
                    </w:rPr>
                  </w:pPr>
                  <w:r>
                    <w:rPr>
                      <w:rFonts w:hint="eastAsia"/>
                      <w:b/>
                      <w:color w:val="000000"/>
                      <w:szCs w:val="21"/>
                    </w:rPr>
                    <w:t>水污染控制和水环境影响减缓措施有效性评价</w:t>
                  </w:r>
                </w:p>
              </w:tc>
              <w:tc>
                <w:tcPr>
                  <w:tcW w:w="6321" w:type="dxa"/>
                  <w:gridSpan w:val="12"/>
                  <w:noWrap/>
                  <w:vAlign w:val="center"/>
                </w:tcPr>
                <w:p>
                  <w:pPr>
                    <w:rPr>
                      <w:color w:val="000000"/>
                      <w:szCs w:val="21"/>
                    </w:rPr>
                  </w:pPr>
                  <w:r>
                    <w:rPr>
                      <w:rFonts w:hint="eastAsia"/>
                      <w:color w:val="000000"/>
                      <w:szCs w:val="21"/>
                    </w:rPr>
                    <w:t>区（流）域水环境质量改善目标 □；替代削减源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水环境影响评价</w:t>
                  </w:r>
                </w:p>
              </w:tc>
              <w:tc>
                <w:tcPr>
                  <w:tcW w:w="6321" w:type="dxa"/>
                  <w:gridSpan w:val="12"/>
                  <w:vAlign w:val="center"/>
                </w:tcPr>
                <w:p>
                  <w:pPr>
                    <w:rPr>
                      <w:color w:val="000000"/>
                      <w:szCs w:val="21"/>
                    </w:rPr>
                  </w:pPr>
                  <w:r>
                    <w:rPr>
                      <w:rFonts w:hint="eastAsia"/>
                      <w:color w:val="000000"/>
                      <w:szCs w:val="21"/>
                    </w:rPr>
                    <w:t>排放口混合区外满足水环境管理要求 □</w:t>
                  </w:r>
                  <w:r>
                    <w:rPr>
                      <w:color w:val="000000"/>
                      <w:szCs w:val="21"/>
                    </w:rPr>
                    <w:br w:type="textWrapping"/>
                  </w:r>
                  <w:r>
                    <w:rPr>
                      <w:rFonts w:hint="eastAsia"/>
                      <w:color w:val="000000"/>
                      <w:szCs w:val="21"/>
                    </w:rPr>
                    <w:t>水环境功能区或水功能区、近岸海域环境功能区水质达标 □</w:t>
                  </w:r>
                  <w:r>
                    <w:rPr>
                      <w:color w:val="000000"/>
                      <w:szCs w:val="21"/>
                    </w:rPr>
                    <w:br w:type="textWrapping"/>
                  </w:r>
                  <w:r>
                    <w:rPr>
                      <w:rFonts w:hint="eastAsia"/>
                      <w:color w:val="000000"/>
                      <w:szCs w:val="21"/>
                    </w:rPr>
                    <w:t>满足水环境保护目标水域水环境质量要求 □</w:t>
                  </w:r>
                  <w:r>
                    <w:rPr>
                      <w:color w:val="000000"/>
                      <w:szCs w:val="21"/>
                    </w:rPr>
                    <w:br w:type="textWrapping"/>
                  </w:r>
                  <w:r>
                    <w:rPr>
                      <w:rFonts w:hint="eastAsia"/>
                      <w:color w:val="000000"/>
                      <w:szCs w:val="21"/>
                    </w:rPr>
                    <w:t>水环境控制单元或断面水质达标 □</w:t>
                  </w:r>
                  <w:r>
                    <w:rPr>
                      <w:color w:val="000000"/>
                      <w:szCs w:val="21"/>
                    </w:rPr>
                    <w:br w:type="textWrapping"/>
                  </w:r>
                  <w:r>
                    <w:rPr>
                      <w:rFonts w:hint="eastAsia"/>
                      <w:color w:val="000000"/>
                      <w:szCs w:val="21"/>
                    </w:rPr>
                    <w:t>满足重点水污染物排放总量控制指标要求，重点行业建设项目，</w:t>
                  </w:r>
                  <w:r>
                    <w:rPr>
                      <w:color w:val="000000"/>
                      <w:szCs w:val="21"/>
                    </w:rPr>
                    <w:t xml:space="preserve"> </w:t>
                  </w:r>
                  <w:r>
                    <w:rPr>
                      <w:rFonts w:hint="eastAsia"/>
                      <w:color w:val="000000"/>
                      <w:szCs w:val="21"/>
                    </w:rPr>
                    <w:t>主要污染物排放满足等量或减量替代要求 □</w:t>
                  </w:r>
                </w:p>
                <w:p>
                  <w:pPr>
                    <w:rPr>
                      <w:color w:val="000000"/>
                      <w:szCs w:val="21"/>
                    </w:rPr>
                  </w:pPr>
                  <w:r>
                    <w:rPr>
                      <w:rFonts w:hint="eastAsia"/>
                      <w:color w:val="000000"/>
                      <w:szCs w:val="21"/>
                    </w:rPr>
                    <w:t>满足区（流）域水环境质量改善目标要求 □</w:t>
                  </w:r>
                  <w:r>
                    <w:rPr>
                      <w:color w:val="000000"/>
                      <w:szCs w:val="21"/>
                    </w:rPr>
                    <w:br w:type="textWrapping"/>
                  </w:r>
                  <w:r>
                    <w:rPr>
                      <w:rFonts w:hint="eastAsia"/>
                      <w:color w:val="000000"/>
                      <w:szCs w:val="21"/>
                    </w:rPr>
                    <w:t>水文要素影响型建设项目同时应包括水文情势变化评价、主要水文特征值影响评价、生态流量符合性评价 □</w:t>
                  </w:r>
                  <w:r>
                    <w:rPr>
                      <w:color w:val="000000"/>
                      <w:szCs w:val="21"/>
                    </w:rPr>
                    <w:br w:type="textWrapping"/>
                  </w:r>
                  <w:r>
                    <w:rPr>
                      <w:rFonts w:hint="eastAsia"/>
                      <w:color w:val="000000"/>
                      <w:szCs w:val="21"/>
                    </w:rPr>
                    <w:t>对于新设或调整入河（湖库、近岸海域）排放口的建设项目，应包括排放口设置的环境合理性评价 □</w:t>
                  </w:r>
                  <w:r>
                    <w:rPr>
                      <w:color w:val="000000"/>
                      <w:szCs w:val="21"/>
                    </w:rPr>
                    <w:br w:type="textWrapping"/>
                  </w:r>
                  <w:r>
                    <w:rPr>
                      <w:rFonts w:hint="eastAsia"/>
                      <w:color w:val="000000"/>
                      <w:szCs w:val="21"/>
                    </w:rPr>
                    <w:t>满足生态保护红线、水环境质量底线、资源利用上线和环境准入清单管理要求</w:t>
                  </w:r>
                  <w:r>
                    <w:rPr>
                      <w:szCs w:val="21"/>
                    </w:rPr>
                    <w:sym w:font="Wingdings 2" w:char="F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restart"/>
                  <w:vAlign w:val="center"/>
                </w:tcPr>
                <w:p>
                  <w:pPr>
                    <w:rPr>
                      <w:b/>
                      <w:color w:val="000000"/>
                      <w:szCs w:val="21"/>
                    </w:rPr>
                  </w:pPr>
                  <w:r>
                    <w:rPr>
                      <w:rFonts w:hint="eastAsia"/>
                      <w:b/>
                      <w:color w:val="000000"/>
                      <w:szCs w:val="21"/>
                    </w:rPr>
                    <w:t>污染源排放量核算</w:t>
                  </w:r>
                </w:p>
              </w:tc>
              <w:tc>
                <w:tcPr>
                  <w:tcW w:w="1999" w:type="dxa"/>
                  <w:gridSpan w:val="3"/>
                  <w:noWrap/>
                  <w:vAlign w:val="center"/>
                </w:tcPr>
                <w:p>
                  <w:pPr>
                    <w:ind w:firstLine="360"/>
                    <w:rPr>
                      <w:color w:val="000000"/>
                      <w:szCs w:val="21"/>
                    </w:rPr>
                  </w:pPr>
                  <w:r>
                    <w:rPr>
                      <w:rFonts w:hint="eastAsia"/>
                      <w:color w:val="000000"/>
                      <w:szCs w:val="21"/>
                    </w:rPr>
                    <w:t>污染物名称</w:t>
                  </w:r>
                </w:p>
              </w:tc>
              <w:tc>
                <w:tcPr>
                  <w:tcW w:w="2215" w:type="dxa"/>
                  <w:gridSpan w:val="5"/>
                  <w:vAlign w:val="center"/>
                </w:tcPr>
                <w:p>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pPr>
                    <w:ind w:firstLine="233" w:firstLineChars="111"/>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999" w:type="dxa"/>
                  <w:gridSpan w:val="3"/>
                  <w:noWrap/>
                  <w:vAlign w:val="center"/>
                </w:tcPr>
                <w:p>
                  <w:pPr>
                    <w:jc w:val="center"/>
                    <w:rPr>
                      <w:color w:val="000000"/>
                      <w:szCs w:val="21"/>
                    </w:rPr>
                  </w:pPr>
                  <w:r>
                    <w:rPr>
                      <w:rFonts w:hint="eastAsia"/>
                      <w:color w:val="000000"/>
                      <w:szCs w:val="21"/>
                    </w:rPr>
                    <w:t>（</w:t>
                  </w:r>
                  <w:r>
                    <w:rPr>
                      <w:color w:val="000000"/>
                      <w:szCs w:val="21"/>
                    </w:rPr>
                    <w:t>COD</w:t>
                  </w:r>
                  <w:r>
                    <w:rPr>
                      <w:rFonts w:hint="eastAsia"/>
                      <w:color w:val="000000"/>
                      <w:szCs w:val="21"/>
                    </w:rPr>
                    <w:t>）</w:t>
                  </w:r>
                </w:p>
                <w:p>
                  <w:pPr>
                    <w:jc w:val="center"/>
                    <w:rPr>
                      <w:color w:val="000000"/>
                      <w:szCs w:val="21"/>
                    </w:rPr>
                  </w:pPr>
                  <w:r>
                    <w:rPr>
                      <w:rFonts w:hint="eastAsia"/>
                      <w:color w:val="000000"/>
                      <w:szCs w:val="21"/>
                    </w:rPr>
                    <w:t>（</w:t>
                  </w:r>
                  <w:r>
                    <w:rPr>
                      <w:color w:val="000000"/>
                      <w:szCs w:val="21"/>
                    </w:rPr>
                    <w:t>SS</w:t>
                  </w:r>
                  <w:r>
                    <w:rPr>
                      <w:rFonts w:hint="eastAsia"/>
                      <w:color w:val="000000"/>
                      <w:szCs w:val="21"/>
                    </w:rPr>
                    <w:t>）</w:t>
                  </w:r>
                </w:p>
                <w:p>
                  <w:pPr>
                    <w:jc w:val="center"/>
                    <w:rPr>
                      <w:color w:val="000000"/>
                      <w:szCs w:val="21"/>
                    </w:rPr>
                  </w:pPr>
                  <w:r>
                    <w:rPr>
                      <w:rFonts w:hint="eastAsia"/>
                      <w:color w:val="000000"/>
                      <w:szCs w:val="21"/>
                    </w:rPr>
                    <w:t>（氨氮）</w:t>
                  </w:r>
                </w:p>
                <w:p>
                  <w:pPr>
                    <w:jc w:val="center"/>
                    <w:rPr>
                      <w:color w:val="000000"/>
                      <w:szCs w:val="21"/>
                    </w:rPr>
                  </w:pPr>
                  <w:r>
                    <w:rPr>
                      <w:rFonts w:hint="eastAsia"/>
                      <w:color w:val="000000"/>
                      <w:szCs w:val="21"/>
                    </w:rPr>
                    <w:t>（</w:t>
                  </w:r>
                  <w:r>
                    <w:rPr>
                      <w:color w:val="000000"/>
                      <w:szCs w:val="21"/>
                    </w:rPr>
                    <w:t>TP</w:t>
                  </w:r>
                  <w:r>
                    <w:rPr>
                      <w:rFonts w:hint="eastAsia"/>
                      <w:color w:val="000000"/>
                      <w:szCs w:val="21"/>
                    </w:rPr>
                    <w:t>）</w:t>
                  </w:r>
                </w:p>
                <w:p>
                  <w:pPr>
                    <w:jc w:val="center"/>
                    <w:rPr>
                      <w:color w:val="000000"/>
                      <w:szCs w:val="21"/>
                    </w:rPr>
                  </w:pPr>
                  <w:r>
                    <w:rPr>
                      <w:rFonts w:hint="eastAsia"/>
                      <w:color w:val="000000"/>
                      <w:szCs w:val="21"/>
                    </w:rPr>
                    <w:t>（总氮）</w:t>
                  </w:r>
                </w:p>
              </w:tc>
              <w:tc>
                <w:tcPr>
                  <w:tcW w:w="2215" w:type="dxa"/>
                  <w:gridSpan w:val="5"/>
                  <w:vAlign w:val="center"/>
                </w:tcPr>
                <w:p>
                  <w:pPr>
                    <w:ind w:firstLine="360"/>
                    <w:rPr>
                      <w:color w:val="000000"/>
                      <w:szCs w:val="21"/>
                    </w:rPr>
                  </w:pPr>
                  <w:r>
                    <w:rPr>
                      <w:rFonts w:hint="eastAsia"/>
                      <w:color w:val="000000"/>
                      <w:szCs w:val="21"/>
                    </w:rPr>
                    <w:t>（</w:t>
                  </w:r>
                  <w:r>
                    <w:rPr>
                      <w:szCs w:val="21"/>
                    </w:rPr>
                    <w:t>0.0</w:t>
                  </w:r>
                  <w:r>
                    <w:rPr>
                      <w:rFonts w:hint="eastAsia"/>
                      <w:szCs w:val="21"/>
                    </w:rPr>
                    <w:t>0</w:t>
                  </w:r>
                  <w:r>
                    <w:rPr>
                      <w:rFonts w:hint="eastAsia"/>
                      <w:szCs w:val="21"/>
                      <w:lang w:val="en-US" w:eastAsia="zh-CN"/>
                    </w:rPr>
                    <w:t>5</w:t>
                  </w:r>
                  <w:r>
                    <w:rPr>
                      <w:rFonts w:hint="eastAsia"/>
                      <w:color w:val="000000"/>
                      <w:szCs w:val="21"/>
                    </w:rPr>
                    <w:t>）</w:t>
                  </w:r>
                </w:p>
                <w:p>
                  <w:pPr>
                    <w:ind w:firstLine="360"/>
                    <w:rPr>
                      <w:color w:val="000000"/>
                      <w:szCs w:val="21"/>
                    </w:rPr>
                  </w:pPr>
                  <w:r>
                    <w:rPr>
                      <w:rFonts w:hint="eastAsia"/>
                      <w:color w:val="000000"/>
                      <w:szCs w:val="21"/>
                    </w:rPr>
                    <w:t>（</w:t>
                  </w:r>
                  <w:r>
                    <w:rPr>
                      <w:szCs w:val="21"/>
                    </w:rPr>
                    <w:t>0.00</w:t>
                  </w:r>
                  <w:r>
                    <w:rPr>
                      <w:rFonts w:hint="eastAsia"/>
                      <w:szCs w:val="21"/>
                      <w:lang w:val="en-US" w:eastAsia="zh-CN"/>
                    </w:rPr>
                    <w:t>1</w:t>
                  </w:r>
                  <w:r>
                    <w:rPr>
                      <w:rFonts w:hint="eastAsia"/>
                      <w:color w:val="000000"/>
                      <w:szCs w:val="21"/>
                    </w:rPr>
                    <w:t>）</w:t>
                  </w:r>
                </w:p>
                <w:p>
                  <w:pPr>
                    <w:ind w:firstLine="360"/>
                    <w:rPr>
                      <w:color w:val="000000"/>
                      <w:szCs w:val="21"/>
                    </w:rPr>
                  </w:pPr>
                  <w:r>
                    <w:rPr>
                      <w:rFonts w:hint="eastAsia"/>
                      <w:color w:val="000000"/>
                      <w:szCs w:val="21"/>
                    </w:rPr>
                    <w:t>（</w:t>
                  </w:r>
                  <w:r>
                    <w:rPr>
                      <w:szCs w:val="21"/>
                    </w:rPr>
                    <w:t>0.0</w:t>
                  </w:r>
                  <w:r>
                    <w:rPr>
                      <w:rFonts w:hint="eastAsia"/>
                      <w:szCs w:val="21"/>
                    </w:rPr>
                    <w:t>0</w:t>
                  </w:r>
                  <w:r>
                    <w:rPr>
                      <w:rFonts w:hint="eastAsia"/>
                      <w:szCs w:val="21"/>
                      <w:lang w:val="en-US" w:eastAsia="zh-CN"/>
                    </w:rPr>
                    <w:t>05</w:t>
                  </w:r>
                  <w:r>
                    <w:rPr>
                      <w:rFonts w:hint="eastAsia"/>
                      <w:color w:val="000000"/>
                      <w:szCs w:val="21"/>
                    </w:rPr>
                    <w:t>）</w:t>
                  </w:r>
                </w:p>
                <w:p>
                  <w:pPr>
                    <w:ind w:firstLine="360"/>
                    <w:rPr>
                      <w:color w:val="000000"/>
                      <w:szCs w:val="21"/>
                    </w:rPr>
                  </w:pPr>
                  <w:r>
                    <w:rPr>
                      <w:rFonts w:hint="eastAsia"/>
                      <w:color w:val="000000"/>
                      <w:szCs w:val="21"/>
                    </w:rPr>
                    <w:t>（</w:t>
                  </w:r>
                  <w:r>
                    <w:rPr>
                      <w:szCs w:val="21"/>
                    </w:rPr>
                    <w:t>0.00</w:t>
                  </w:r>
                  <w:r>
                    <w:rPr>
                      <w:rFonts w:hint="eastAsia"/>
                      <w:szCs w:val="21"/>
                    </w:rPr>
                    <w:t>0</w:t>
                  </w:r>
                  <w:r>
                    <w:rPr>
                      <w:rFonts w:hint="eastAsia"/>
                      <w:szCs w:val="21"/>
                      <w:lang w:val="en-US" w:eastAsia="zh-CN"/>
                    </w:rPr>
                    <w:t>05</w:t>
                  </w:r>
                  <w:r>
                    <w:rPr>
                      <w:rFonts w:hint="eastAsia"/>
                      <w:color w:val="000000"/>
                      <w:szCs w:val="21"/>
                    </w:rPr>
                    <w:t>）</w:t>
                  </w:r>
                </w:p>
                <w:p>
                  <w:pPr>
                    <w:ind w:firstLine="360"/>
                    <w:rPr>
                      <w:b/>
                      <w:bCs/>
                      <w:color w:val="000000"/>
                      <w:spacing w:val="-4"/>
                      <w:szCs w:val="21"/>
                    </w:rPr>
                  </w:pPr>
                  <w:r>
                    <w:rPr>
                      <w:rFonts w:hint="eastAsia"/>
                      <w:color w:val="000000"/>
                      <w:szCs w:val="21"/>
                    </w:rPr>
                    <w:t>（</w:t>
                  </w:r>
                  <w:r>
                    <w:rPr>
                      <w:rFonts w:hint="eastAsia"/>
                      <w:szCs w:val="21"/>
                    </w:rPr>
                    <w:t>0.00</w:t>
                  </w:r>
                  <w:r>
                    <w:rPr>
                      <w:rFonts w:hint="eastAsia"/>
                      <w:szCs w:val="21"/>
                      <w:lang w:val="en-US" w:eastAsia="zh-CN"/>
                    </w:rPr>
                    <w:t>15</w:t>
                  </w:r>
                  <w:r>
                    <w:rPr>
                      <w:rFonts w:hint="eastAsia"/>
                      <w:color w:val="000000"/>
                      <w:szCs w:val="21"/>
                    </w:rPr>
                    <w:t>）</w:t>
                  </w:r>
                </w:p>
              </w:tc>
              <w:tc>
                <w:tcPr>
                  <w:tcW w:w="2107" w:type="dxa"/>
                  <w:gridSpan w:val="4"/>
                  <w:vAlign w:val="center"/>
                </w:tcPr>
                <w:p>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pPr>
                    <w:ind w:firstLine="360"/>
                    <w:rPr>
                      <w:color w:val="000000"/>
                      <w:szCs w:val="21"/>
                    </w:rPr>
                  </w:pPr>
                  <w:r>
                    <w:rPr>
                      <w:rFonts w:hint="eastAsia"/>
                      <w:color w:val="000000"/>
                      <w:szCs w:val="21"/>
                    </w:rPr>
                    <w:t>（1</w:t>
                  </w:r>
                  <w:r>
                    <w:rPr>
                      <w:color w:val="000000"/>
                      <w:szCs w:val="21"/>
                    </w:rPr>
                    <w:t>0</w:t>
                  </w:r>
                  <w:r>
                    <w:rPr>
                      <w:rFonts w:hint="eastAsia"/>
                      <w:color w:val="000000"/>
                      <w:szCs w:val="21"/>
                    </w:rPr>
                    <w:t>）</w:t>
                  </w:r>
                </w:p>
                <w:p>
                  <w:pPr>
                    <w:ind w:firstLine="360"/>
                    <w:rPr>
                      <w:color w:val="000000"/>
                      <w:szCs w:val="21"/>
                    </w:rPr>
                  </w:pPr>
                  <w:r>
                    <w:rPr>
                      <w:rFonts w:hint="eastAsia"/>
                      <w:color w:val="000000"/>
                      <w:szCs w:val="21"/>
                    </w:rPr>
                    <w:t>（</w:t>
                  </w:r>
                  <w:r>
                    <w:rPr>
                      <w:color w:val="000000"/>
                      <w:szCs w:val="21"/>
                    </w:rPr>
                    <w:t>5</w:t>
                  </w:r>
                  <w:r>
                    <w:rPr>
                      <w:rFonts w:hint="eastAsia"/>
                      <w:color w:val="000000"/>
                      <w:szCs w:val="21"/>
                    </w:rPr>
                    <w:t>）</w:t>
                  </w:r>
                </w:p>
                <w:p>
                  <w:pPr>
                    <w:ind w:firstLine="360"/>
                    <w:rPr>
                      <w:color w:val="000000"/>
                      <w:szCs w:val="21"/>
                    </w:rPr>
                  </w:pPr>
                  <w:r>
                    <w:rPr>
                      <w:rFonts w:hint="eastAsia"/>
                      <w:color w:val="000000"/>
                      <w:szCs w:val="21"/>
                    </w:rPr>
                    <w:t>（0.</w:t>
                  </w:r>
                  <w:r>
                    <w:rPr>
                      <w:color w:val="000000"/>
                      <w:szCs w:val="21"/>
                    </w:rPr>
                    <w:t>5</w:t>
                  </w:r>
                  <w:r>
                    <w:rPr>
                      <w:rFonts w:hint="eastAsia"/>
                      <w:color w:val="000000"/>
                      <w:szCs w:val="21"/>
                    </w:rPr>
                    <w:t>）</w:t>
                  </w:r>
                </w:p>
                <w:p>
                  <w:pPr>
                    <w:ind w:firstLine="360"/>
                    <w:rPr>
                      <w:color w:val="000000"/>
                      <w:szCs w:val="21"/>
                    </w:rPr>
                  </w:pPr>
                  <w:r>
                    <w:rPr>
                      <w:rFonts w:hint="eastAsia"/>
                      <w:color w:val="000000"/>
                      <w:szCs w:val="21"/>
                    </w:rPr>
                    <w:t>（1</w:t>
                  </w:r>
                  <w:r>
                    <w:rPr>
                      <w:color w:val="000000"/>
                      <w:szCs w:val="21"/>
                    </w:rPr>
                    <w:t>5</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restart"/>
                  <w:vAlign w:val="center"/>
                </w:tcPr>
                <w:p>
                  <w:pPr>
                    <w:rPr>
                      <w:b/>
                      <w:color w:val="000000"/>
                      <w:szCs w:val="21"/>
                    </w:rPr>
                  </w:pPr>
                  <w:r>
                    <w:rPr>
                      <w:rFonts w:hint="eastAsia"/>
                      <w:b/>
                      <w:color w:val="000000"/>
                      <w:szCs w:val="21"/>
                    </w:rPr>
                    <w:t>替代源排放情况</w:t>
                  </w:r>
                </w:p>
              </w:tc>
              <w:tc>
                <w:tcPr>
                  <w:tcW w:w="1113" w:type="dxa"/>
                  <w:noWrap/>
                  <w:vAlign w:val="center"/>
                </w:tcPr>
                <w:p>
                  <w:pPr>
                    <w:jc w:val="center"/>
                    <w:rPr>
                      <w:color w:val="000000"/>
                      <w:szCs w:val="21"/>
                    </w:rPr>
                  </w:pPr>
                  <w:r>
                    <w:rPr>
                      <w:rFonts w:hint="eastAsia"/>
                      <w:color w:val="000000"/>
                      <w:szCs w:val="21"/>
                    </w:rPr>
                    <w:t>污染源名称</w:t>
                  </w:r>
                </w:p>
              </w:tc>
              <w:tc>
                <w:tcPr>
                  <w:tcW w:w="1329" w:type="dxa"/>
                  <w:gridSpan w:val="3"/>
                  <w:vAlign w:val="center"/>
                </w:tcPr>
                <w:p>
                  <w:pPr>
                    <w:jc w:val="center"/>
                    <w:rPr>
                      <w:color w:val="000000"/>
                      <w:szCs w:val="21"/>
                    </w:rPr>
                  </w:pPr>
                  <w:r>
                    <w:rPr>
                      <w:rFonts w:hint="eastAsia"/>
                      <w:color w:val="000000"/>
                      <w:szCs w:val="21"/>
                    </w:rPr>
                    <w:t>排污许可证编号</w:t>
                  </w:r>
                </w:p>
              </w:tc>
              <w:tc>
                <w:tcPr>
                  <w:tcW w:w="1221" w:type="dxa"/>
                  <w:gridSpan w:val="2"/>
                  <w:vAlign w:val="center"/>
                </w:tcPr>
                <w:p>
                  <w:pPr>
                    <w:jc w:val="center"/>
                    <w:rPr>
                      <w:color w:val="000000"/>
                      <w:szCs w:val="21"/>
                    </w:rPr>
                  </w:pPr>
                  <w:r>
                    <w:rPr>
                      <w:rFonts w:hint="eastAsia"/>
                      <w:color w:val="000000"/>
                      <w:szCs w:val="21"/>
                    </w:rPr>
                    <w:t>污染物名称</w:t>
                  </w:r>
                </w:p>
              </w:tc>
              <w:tc>
                <w:tcPr>
                  <w:tcW w:w="1329" w:type="dxa"/>
                  <w:gridSpan w:val="3"/>
                  <w:vAlign w:val="center"/>
                </w:tcPr>
                <w:p>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113" w:type="dxa"/>
                  <w:noWrap/>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生态流量确定</w:t>
                  </w:r>
                </w:p>
              </w:tc>
              <w:tc>
                <w:tcPr>
                  <w:tcW w:w="6321" w:type="dxa"/>
                  <w:gridSpan w:val="12"/>
                  <w:noWrap/>
                  <w:vAlign w:val="center"/>
                </w:tcPr>
                <w:p>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restart"/>
                  <w:noWrap/>
                  <w:textDirection w:val="tbRlV"/>
                  <w:vAlign w:val="center"/>
                </w:tcPr>
                <w:p>
                  <w:pPr>
                    <w:ind w:firstLine="360"/>
                    <w:jc w:val="center"/>
                    <w:rPr>
                      <w:b/>
                      <w:color w:val="000000"/>
                      <w:szCs w:val="21"/>
                    </w:rPr>
                  </w:pPr>
                  <w:r>
                    <w:rPr>
                      <w:rFonts w:hint="eastAsia"/>
                      <w:b/>
                      <w:color w:val="000000"/>
                      <w:szCs w:val="21"/>
                    </w:rPr>
                    <w:t>防治措施</w:t>
                  </w:r>
                </w:p>
              </w:tc>
              <w:tc>
                <w:tcPr>
                  <w:tcW w:w="1224" w:type="dxa"/>
                  <w:vAlign w:val="center"/>
                </w:tcPr>
                <w:p>
                  <w:pPr>
                    <w:rPr>
                      <w:b/>
                      <w:color w:val="000000"/>
                      <w:szCs w:val="21"/>
                    </w:rPr>
                  </w:pPr>
                  <w:r>
                    <w:rPr>
                      <w:rFonts w:hint="eastAsia"/>
                      <w:b/>
                      <w:color w:val="000000"/>
                      <w:szCs w:val="21"/>
                    </w:rPr>
                    <w:t>环保措施</w:t>
                  </w:r>
                </w:p>
              </w:tc>
              <w:tc>
                <w:tcPr>
                  <w:tcW w:w="6321" w:type="dxa"/>
                  <w:gridSpan w:val="12"/>
                  <w:noWrap/>
                  <w:vAlign w:val="center"/>
                </w:tcPr>
                <w:p>
                  <w:pPr>
                    <w:rPr>
                      <w:color w:val="000000"/>
                      <w:szCs w:val="21"/>
                    </w:rPr>
                  </w:pPr>
                  <w:r>
                    <w:rPr>
                      <w:rFonts w:hint="eastAsia"/>
                      <w:color w:val="000000"/>
                      <w:szCs w:val="21"/>
                    </w:rPr>
                    <w:t>污水处理设施 □；水文减缓设施 □；生态流量保障设施 □；区域削减 □；依托其他工程措施</w:t>
                  </w:r>
                  <w:r>
                    <w:rPr>
                      <w:color w:val="000000"/>
                      <w:szCs w:val="21"/>
                    </w:rPr>
                    <w:t xml:space="preserve"> </w:t>
                  </w:r>
                  <w:r>
                    <w:rPr>
                      <w:szCs w:val="21"/>
                    </w:rPr>
                    <w:sym w:font="Wingdings 2" w:char="F052"/>
                  </w:r>
                  <w:r>
                    <w:rPr>
                      <w:rFonts w:hint="eastAsia"/>
                      <w:color w:val="000000"/>
                      <w:szCs w:val="21"/>
                    </w:rPr>
                    <w:t>；其他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650" w:type="dxa"/>
                  <w:vMerge w:val="continue"/>
                  <w:vAlign w:val="center"/>
                </w:tcPr>
                <w:p>
                  <w:pPr>
                    <w:ind w:firstLine="360"/>
                    <w:rPr>
                      <w:color w:val="000000"/>
                      <w:szCs w:val="21"/>
                    </w:rPr>
                  </w:pPr>
                </w:p>
              </w:tc>
              <w:tc>
                <w:tcPr>
                  <w:tcW w:w="1224" w:type="dxa"/>
                  <w:vMerge w:val="restart"/>
                  <w:vAlign w:val="center"/>
                </w:tcPr>
                <w:p>
                  <w:pPr>
                    <w:rPr>
                      <w:b/>
                      <w:color w:val="000000"/>
                      <w:szCs w:val="21"/>
                    </w:rPr>
                  </w:pPr>
                  <w:r>
                    <w:rPr>
                      <w:rFonts w:hint="eastAsia"/>
                      <w:b/>
                      <w:color w:val="000000"/>
                      <w:szCs w:val="21"/>
                    </w:rPr>
                    <w:t>监测计划</w:t>
                  </w:r>
                </w:p>
              </w:tc>
              <w:tc>
                <w:tcPr>
                  <w:tcW w:w="1473" w:type="dxa"/>
                  <w:gridSpan w:val="2"/>
                  <w:noWrap/>
                  <w:vAlign w:val="center"/>
                </w:tcPr>
                <w:p>
                  <w:pPr>
                    <w:ind w:firstLine="360"/>
                    <w:jc w:val="center"/>
                    <w:rPr>
                      <w:color w:val="000000"/>
                      <w:szCs w:val="21"/>
                    </w:rPr>
                  </w:pPr>
                </w:p>
              </w:tc>
              <w:tc>
                <w:tcPr>
                  <w:tcW w:w="2424" w:type="dxa"/>
                  <w:gridSpan w:val="5"/>
                  <w:vAlign w:val="center"/>
                </w:tcPr>
                <w:p>
                  <w:pPr>
                    <w:jc w:val="center"/>
                    <w:rPr>
                      <w:color w:val="000000"/>
                      <w:szCs w:val="21"/>
                    </w:rPr>
                  </w:pPr>
                  <w:r>
                    <w:rPr>
                      <w:rFonts w:hint="eastAsia"/>
                      <w:color w:val="000000"/>
                      <w:szCs w:val="21"/>
                    </w:rPr>
                    <w:t>环境质量</w:t>
                  </w:r>
                </w:p>
              </w:tc>
              <w:tc>
                <w:tcPr>
                  <w:tcW w:w="2424" w:type="dxa"/>
                  <w:gridSpan w:val="5"/>
                  <w:vAlign w:val="center"/>
                </w:tcPr>
                <w:p>
                  <w:pPr>
                    <w:jc w:val="center"/>
                    <w:rPr>
                      <w:color w:val="000000"/>
                      <w:szCs w:val="21"/>
                    </w:rPr>
                  </w:pPr>
                  <w:r>
                    <w:rPr>
                      <w:rFonts w:hint="eastAsia"/>
                      <w:color w:val="000000"/>
                      <w:szCs w:val="21"/>
                    </w:rPr>
                    <w:t>污染源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473" w:type="dxa"/>
                  <w:gridSpan w:val="2"/>
                  <w:noWrap/>
                  <w:vAlign w:val="center"/>
                </w:tcPr>
                <w:p>
                  <w:pPr>
                    <w:jc w:val="center"/>
                    <w:rPr>
                      <w:color w:val="000000"/>
                      <w:szCs w:val="21"/>
                    </w:rPr>
                  </w:pPr>
                  <w:r>
                    <w:rPr>
                      <w:rFonts w:hint="eastAsia"/>
                      <w:color w:val="000000"/>
                      <w:szCs w:val="21"/>
                    </w:rPr>
                    <w:t>监测方式</w:t>
                  </w:r>
                </w:p>
              </w:tc>
              <w:tc>
                <w:tcPr>
                  <w:tcW w:w="2424" w:type="dxa"/>
                  <w:gridSpan w:val="5"/>
                  <w:vAlign w:val="center"/>
                </w:tcPr>
                <w:p>
                  <w:pPr>
                    <w:jc w:val="center"/>
                    <w:rPr>
                      <w:b/>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c>
                <w:tcPr>
                  <w:tcW w:w="2424" w:type="dxa"/>
                  <w:gridSpan w:val="5"/>
                  <w:vAlign w:val="center"/>
                </w:tcPr>
                <w:p>
                  <w:pPr>
                    <w:jc w:val="center"/>
                    <w:rPr>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473" w:type="dxa"/>
                  <w:gridSpan w:val="2"/>
                  <w:noWrap/>
                  <w:vAlign w:val="center"/>
                </w:tcPr>
                <w:p>
                  <w:pPr>
                    <w:jc w:val="center"/>
                    <w:rPr>
                      <w:color w:val="000000"/>
                      <w:szCs w:val="21"/>
                    </w:rPr>
                  </w:pPr>
                  <w:r>
                    <w:rPr>
                      <w:rFonts w:hint="eastAsia"/>
                      <w:color w:val="000000"/>
                      <w:szCs w:val="21"/>
                    </w:rPr>
                    <w:t>监测点位</w:t>
                  </w:r>
                </w:p>
              </w:tc>
              <w:tc>
                <w:tcPr>
                  <w:tcW w:w="2424" w:type="dxa"/>
                  <w:gridSpan w:val="5"/>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650" w:type="dxa"/>
                  <w:vMerge w:val="continue"/>
                  <w:vAlign w:val="center"/>
                </w:tcPr>
                <w:p>
                  <w:pPr>
                    <w:ind w:firstLine="360"/>
                    <w:rPr>
                      <w:color w:val="000000"/>
                      <w:szCs w:val="21"/>
                    </w:rPr>
                  </w:pPr>
                </w:p>
              </w:tc>
              <w:tc>
                <w:tcPr>
                  <w:tcW w:w="1224" w:type="dxa"/>
                  <w:vMerge w:val="continue"/>
                  <w:vAlign w:val="center"/>
                </w:tcPr>
                <w:p>
                  <w:pPr>
                    <w:ind w:firstLine="360"/>
                    <w:jc w:val="center"/>
                    <w:rPr>
                      <w:b/>
                      <w:color w:val="000000"/>
                      <w:szCs w:val="21"/>
                    </w:rPr>
                  </w:pPr>
                </w:p>
              </w:tc>
              <w:tc>
                <w:tcPr>
                  <w:tcW w:w="1473" w:type="dxa"/>
                  <w:gridSpan w:val="2"/>
                  <w:noWrap/>
                  <w:vAlign w:val="center"/>
                </w:tcPr>
                <w:p>
                  <w:pPr>
                    <w:jc w:val="center"/>
                    <w:rPr>
                      <w:color w:val="000000"/>
                      <w:szCs w:val="21"/>
                    </w:rPr>
                  </w:pPr>
                  <w:r>
                    <w:rPr>
                      <w:rFonts w:hint="eastAsia"/>
                      <w:color w:val="000000"/>
                      <w:szCs w:val="21"/>
                    </w:rPr>
                    <w:t>监测因子</w:t>
                  </w:r>
                </w:p>
              </w:tc>
              <w:tc>
                <w:tcPr>
                  <w:tcW w:w="2424" w:type="dxa"/>
                  <w:gridSpan w:val="5"/>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50" w:type="dxa"/>
                  <w:vMerge w:val="continue"/>
                  <w:vAlign w:val="center"/>
                </w:tcPr>
                <w:p>
                  <w:pPr>
                    <w:ind w:firstLine="360"/>
                    <w:rPr>
                      <w:color w:val="000000"/>
                      <w:szCs w:val="21"/>
                    </w:rPr>
                  </w:pPr>
                </w:p>
              </w:tc>
              <w:tc>
                <w:tcPr>
                  <w:tcW w:w="1224" w:type="dxa"/>
                  <w:vAlign w:val="center"/>
                </w:tcPr>
                <w:p>
                  <w:pPr>
                    <w:rPr>
                      <w:b/>
                      <w:color w:val="000000"/>
                      <w:szCs w:val="21"/>
                    </w:rPr>
                  </w:pPr>
                  <w:r>
                    <w:rPr>
                      <w:rFonts w:hint="eastAsia"/>
                      <w:b/>
                      <w:color w:val="000000"/>
                      <w:szCs w:val="21"/>
                    </w:rPr>
                    <w:t>污染物排放清单</w:t>
                  </w:r>
                </w:p>
              </w:tc>
              <w:tc>
                <w:tcPr>
                  <w:tcW w:w="6321" w:type="dxa"/>
                  <w:gridSpan w:val="12"/>
                  <w:noWrap/>
                  <w:vAlign w:val="center"/>
                </w:tcPr>
                <w:p>
                  <w:pPr>
                    <w:ind w:firstLine="440"/>
                    <w:rPr>
                      <w:color w:val="000000"/>
                      <w:szCs w:val="21"/>
                    </w:rPr>
                  </w:pPr>
                  <w:r>
                    <w:rPr>
                      <w:szCs w:val="21"/>
                    </w:rPr>
                    <w:sym w:font="Wingdings 2" w:char="F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noWrap/>
                  <w:vAlign w:val="center"/>
                </w:tcPr>
                <w:p>
                  <w:pPr>
                    <w:ind w:firstLine="360"/>
                    <w:jc w:val="center"/>
                    <w:rPr>
                      <w:b/>
                      <w:color w:val="000000"/>
                      <w:szCs w:val="21"/>
                    </w:rPr>
                  </w:pPr>
                  <w:r>
                    <w:rPr>
                      <w:rFonts w:hint="eastAsia"/>
                      <w:b/>
                      <w:color w:val="000000"/>
                      <w:szCs w:val="21"/>
                    </w:rPr>
                    <w:t>评价结论</w:t>
                  </w:r>
                </w:p>
              </w:tc>
              <w:tc>
                <w:tcPr>
                  <w:tcW w:w="6321" w:type="dxa"/>
                  <w:gridSpan w:val="12"/>
                  <w:noWrap/>
                  <w:vAlign w:val="center"/>
                </w:tcPr>
                <w:p>
                  <w:pPr>
                    <w:ind w:firstLine="360"/>
                    <w:rPr>
                      <w:color w:val="000000"/>
                      <w:szCs w:val="21"/>
                    </w:rPr>
                  </w:pPr>
                  <w:r>
                    <w:rPr>
                      <w:rFonts w:hint="eastAsia"/>
                      <w:color w:val="000000"/>
                      <w:szCs w:val="21"/>
                    </w:rPr>
                    <w:t>可以接受</w:t>
                  </w:r>
                  <w:r>
                    <w:rPr>
                      <w:color w:val="000000"/>
                      <w:szCs w:val="21"/>
                    </w:rPr>
                    <w:t xml:space="preserve"> </w:t>
                  </w:r>
                  <w:r>
                    <w:rPr>
                      <w:szCs w:val="21"/>
                    </w:rPr>
                    <w:sym w:font="Wingdings 2" w:char="F052"/>
                  </w:r>
                  <w:r>
                    <w:rPr>
                      <w:rFonts w:hint="eastAsia"/>
                      <w:color w:val="000000"/>
                      <w:szCs w:val="21"/>
                    </w:rPr>
                    <w:t>；不可以接受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95" w:type="dxa"/>
                  <w:gridSpan w:val="14"/>
                  <w:noWrap/>
                  <w:vAlign w:val="center"/>
                </w:tcPr>
                <w:p>
                  <w:pPr>
                    <w:ind w:firstLine="360"/>
                    <w:rPr>
                      <w:b/>
                      <w:color w:val="000000"/>
                      <w:szCs w:val="21"/>
                    </w:rPr>
                  </w:pPr>
                  <w:r>
                    <w:rPr>
                      <w:rFonts w:hint="eastAsia"/>
                      <w:b/>
                      <w:color w:val="000000"/>
                      <w:szCs w:val="21"/>
                    </w:rPr>
                    <w:t>注：“□”为勾选项，可√；“（</w:t>
                  </w:r>
                  <w:r>
                    <w:rPr>
                      <w:b/>
                      <w:color w:val="000000"/>
                      <w:szCs w:val="21"/>
                    </w:rPr>
                    <w:t xml:space="preserve">   </w:t>
                  </w:r>
                  <w:r>
                    <w:rPr>
                      <w:rFonts w:hint="eastAsia"/>
                      <w:b/>
                      <w:color w:val="000000"/>
                      <w:szCs w:val="21"/>
                    </w:rPr>
                    <w:t>）”为内容填写项；“备注”为其他补充内容。</w:t>
                  </w:r>
                </w:p>
              </w:tc>
            </w:tr>
          </w:tbl>
          <w:p>
            <w:pPr>
              <w:spacing w:beforeLines="50" w:line="360" w:lineRule="auto"/>
              <w:ind w:firstLine="482" w:firstLineChars="200"/>
              <w:rPr>
                <w:rFonts w:hAnsi="宋体"/>
                <w:b/>
                <w:kern w:val="0"/>
                <w:sz w:val="24"/>
                <w:szCs w:val="24"/>
              </w:rPr>
            </w:pPr>
            <w:r>
              <w:rPr>
                <w:rFonts w:hAnsi="宋体"/>
                <w:b/>
                <w:kern w:val="0"/>
                <w:sz w:val="24"/>
                <w:szCs w:val="24"/>
                <w:lang w:val="en-US"/>
              </w:rPr>
              <w:t>3</w:t>
            </w:r>
            <w:r>
              <w:rPr>
                <w:rFonts w:hint="eastAsia" w:hAnsi="宋体"/>
                <w:b/>
                <w:kern w:val="0"/>
                <w:sz w:val="24"/>
                <w:szCs w:val="24"/>
                <w:lang w:val="en-US"/>
              </w:rPr>
              <w:t>、</w:t>
            </w:r>
            <w:r>
              <w:rPr>
                <w:rFonts w:hint="eastAsia" w:hAnsi="宋体"/>
                <w:b/>
                <w:kern w:val="0"/>
                <w:sz w:val="24"/>
                <w:szCs w:val="24"/>
              </w:rPr>
              <w:t>固废环境影响分析</w:t>
            </w:r>
          </w:p>
          <w:p>
            <w:pPr>
              <w:spacing w:line="360" w:lineRule="auto"/>
              <w:ind w:firstLine="480" w:firstLineChars="200"/>
              <w:rPr>
                <w:rFonts w:hAnsi="宋体"/>
                <w:b/>
                <w:kern w:val="0"/>
                <w:sz w:val="24"/>
                <w:szCs w:val="24"/>
              </w:rPr>
            </w:pPr>
            <w:r>
              <w:rPr>
                <w:rFonts w:hint="eastAsia"/>
                <w:sz w:val="24"/>
                <w:szCs w:val="24"/>
              </w:rPr>
              <w:t>本项目生产过程产生</w:t>
            </w:r>
            <w:r>
              <w:rPr>
                <w:rFonts w:hint="eastAsia" w:hAnsi="宋体"/>
                <w:sz w:val="24"/>
                <w:szCs w:val="24"/>
                <w:lang w:val="en-US"/>
              </w:rPr>
              <w:t>次品</w:t>
            </w:r>
            <w:r>
              <w:rPr>
                <w:rFonts w:hint="eastAsia"/>
                <w:kern w:val="0"/>
                <w:sz w:val="24"/>
                <w:szCs w:val="24"/>
                <w:lang w:val="en-US"/>
              </w:rPr>
              <w:t>约为</w:t>
            </w:r>
            <w:r>
              <w:rPr>
                <w:rFonts w:hint="eastAsia"/>
                <w:kern w:val="0"/>
                <w:sz w:val="24"/>
                <w:szCs w:val="24"/>
                <w:lang w:val="en-US" w:eastAsia="zh-CN"/>
              </w:rPr>
              <w:t>10</w:t>
            </w:r>
            <w:r>
              <w:rPr>
                <w:rFonts w:hint="eastAsia"/>
                <w:kern w:val="0"/>
                <w:sz w:val="24"/>
                <w:szCs w:val="24"/>
                <w:lang w:val="en-US"/>
              </w:rPr>
              <w:t>t/a，</w:t>
            </w:r>
            <w:r>
              <w:rPr>
                <w:rFonts w:hint="eastAsia" w:hAnsi="宋体"/>
                <w:kern w:val="0"/>
                <w:sz w:val="24"/>
                <w:szCs w:val="24"/>
                <w:lang w:val="en-US"/>
              </w:rPr>
              <w:t>收集后</w:t>
            </w:r>
            <w:r>
              <w:rPr>
                <w:rFonts w:hint="eastAsia" w:hAnsi="宋体"/>
                <w:kern w:val="0"/>
                <w:sz w:val="24"/>
                <w:szCs w:val="24"/>
              </w:rPr>
              <w:t>统一外售</w:t>
            </w:r>
            <w:r>
              <w:rPr>
                <w:rFonts w:hint="eastAsia"/>
                <w:sz w:val="24"/>
                <w:szCs w:val="24"/>
              </w:rPr>
              <w:t>；</w:t>
            </w:r>
            <w:r>
              <w:rPr>
                <w:rFonts w:hint="eastAsia"/>
                <w:sz w:val="24"/>
                <w:szCs w:val="24"/>
                <w:lang w:val="en-US"/>
              </w:rPr>
              <w:t>废包装袋产生量约为</w:t>
            </w:r>
            <w:r>
              <w:rPr>
                <w:rFonts w:hint="eastAsia"/>
                <w:sz w:val="24"/>
                <w:szCs w:val="24"/>
                <w:lang w:val="en-US" w:eastAsia="zh-CN"/>
              </w:rPr>
              <w:t>2</w:t>
            </w:r>
            <w:r>
              <w:rPr>
                <w:rFonts w:hint="eastAsia"/>
                <w:sz w:val="24"/>
                <w:szCs w:val="24"/>
                <w:lang w:val="en-US"/>
              </w:rPr>
              <w:t>t/a，收集后</w:t>
            </w:r>
            <w:r>
              <w:rPr>
                <w:rFonts w:hint="eastAsia"/>
                <w:sz w:val="24"/>
                <w:szCs w:val="24"/>
              </w:rPr>
              <w:t>统一外售；</w:t>
            </w:r>
            <w:r>
              <w:rPr>
                <w:rFonts w:hint="eastAsia"/>
                <w:color w:val="000000"/>
                <w:sz w:val="24"/>
                <w:lang w:val="en-US"/>
              </w:rPr>
              <w:t>收集</w:t>
            </w:r>
            <w:r>
              <w:rPr>
                <w:rFonts w:hint="eastAsia"/>
                <w:color w:val="000000"/>
                <w:sz w:val="24"/>
              </w:rPr>
              <w:t>粉尘</w:t>
            </w:r>
            <w:r>
              <w:rPr>
                <w:rFonts w:hint="eastAsia"/>
                <w:color w:val="000000"/>
                <w:sz w:val="24"/>
                <w:lang w:val="en-US"/>
              </w:rPr>
              <w:t>为</w:t>
            </w:r>
            <w:r>
              <w:rPr>
                <w:rFonts w:hint="eastAsia"/>
                <w:color w:val="000000"/>
                <w:sz w:val="24"/>
                <w:lang w:val="en-US" w:eastAsia="zh-CN"/>
              </w:rPr>
              <w:t>3.25</w:t>
            </w:r>
            <w:r>
              <w:rPr>
                <w:rFonts w:hint="eastAsia"/>
                <w:color w:val="000000"/>
                <w:sz w:val="24"/>
                <w:lang w:val="en-US"/>
              </w:rPr>
              <w:t>t/a，收集后</w:t>
            </w:r>
            <w:r>
              <w:rPr>
                <w:rFonts w:hint="eastAsia"/>
                <w:color w:val="000000"/>
                <w:sz w:val="24"/>
              </w:rPr>
              <w:t>回用于生产</w:t>
            </w:r>
            <w:r>
              <w:rPr>
                <w:rFonts w:hint="eastAsia"/>
                <w:sz w:val="24"/>
                <w:szCs w:val="24"/>
              </w:rPr>
              <w:t>；</w:t>
            </w:r>
            <w:r>
              <w:rPr>
                <w:rFonts w:hint="eastAsia" w:hAnsi="宋体"/>
                <w:kern w:val="0"/>
                <w:sz w:val="24"/>
                <w:szCs w:val="24"/>
              </w:rPr>
              <w:t>本项目</w:t>
            </w:r>
            <w:r>
              <w:rPr>
                <w:rFonts w:hint="eastAsia" w:hAnsi="宋体"/>
                <w:kern w:val="0"/>
                <w:sz w:val="24"/>
                <w:szCs w:val="24"/>
                <w:lang w:val="en-US"/>
              </w:rPr>
              <w:t>新增</w:t>
            </w:r>
            <w:r>
              <w:rPr>
                <w:rFonts w:hint="eastAsia" w:hAnsi="宋体"/>
                <w:kern w:val="0"/>
                <w:sz w:val="24"/>
                <w:szCs w:val="24"/>
                <w:lang w:val="en-US" w:eastAsia="zh-CN"/>
              </w:rPr>
              <w:t>员工8</w:t>
            </w:r>
            <w:r>
              <w:rPr>
                <w:rFonts w:hint="eastAsia" w:hAnsi="宋体"/>
                <w:kern w:val="0"/>
                <w:sz w:val="24"/>
                <w:szCs w:val="24"/>
                <w:lang w:val="en-US"/>
              </w:rPr>
              <w:t>人</w:t>
            </w:r>
            <w:r>
              <w:rPr>
                <w:rFonts w:hint="eastAsia" w:hAnsi="宋体"/>
                <w:kern w:val="0"/>
                <w:sz w:val="24"/>
                <w:szCs w:val="24"/>
                <w:lang w:val="en-US" w:eastAsia="zh-CN"/>
              </w:rPr>
              <w:t>，</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int="eastAsia" w:hAnsi="宋体"/>
                <w:kern w:val="0"/>
                <w:sz w:val="24"/>
                <w:szCs w:val="24"/>
                <w:lang w:val="en-US" w:eastAsia="zh-CN"/>
              </w:rPr>
              <w:t>1.25</w:t>
            </w:r>
            <w:r>
              <w:rPr>
                <w:kern w:val="0"/>
                <w:sz w:val="24"/>
                <w:szCs w:val="24"/>
                <w:lang w:val="en-US"/>
              </w:rPr>
              <w:t>t</w:t>
            </w:r>
            <w:r>
              <w:rPr>
                <w:rFonts w:hint="eastAsia"/>
                <w:kern w:val="0"/>
                <w:sz w:val="24"/>
                <w:szCs w:val="24"/>
                <w:lang w:val="en-US"/>
              </w:rPr>
              <w:t>/a</w:t>
            </w:r>
            <w:r>
              <w:rPr>
                <w:rFonts w:hint="eastAsia" w:hAnsi="宋体"/>
                <w:kern w:val="0"/>
                <w:sz w:val="24"/>
                <w:szCs w:val="24"/>
                <w:lang w:val="en-US"/>
              </w:rPr>
              <w:t>。收集后由环卫部门统一清运。</w:t>
            </w:r>
          </w:p>
          <w:p>
            <w:pPr>
              <w:snapToGrid w:val="0"/>
              <w:spacing w:line="360" w:lineRule="auto"/>
              <w:ind w:firstLine="480" w:firstLineChars="200"/>
              <w:rPr>
                <w:sz w:val="24"/>
              </w:rPr>
            </w:pPr>
            <w:r>
              <w:rPr>
                <w:sz w:val="24"/>
              </w:rPr>
              <w:t>(1)固体废物的分类收集、贮存</w:t>
            </w:r>
          </w:p>
          <w:p>
            <w:pPr>
              <w:snapToGrid w:val="0"/>
              <w:spacing w:line="360" w:lineRule="auto"/>
              <w:ind w:firstLine="480" w:firstLineChars="20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rPr>
              <w:t>次品、废包装袋、收集粉尘</w:t>
            </w:r>
            <w:r>
              <w:rPr>
                <w:sz w:val="24"/>
              </w:rPr>
              <w:t>为一般工业废物，堆放在一般工业固体废物暂存场所进行暂存；生活垃圾暂存在生活垃圾堆放点暂存。</w:t>
            </w:r>
          </w:p>
          <w:p>
            <w:pPr>
              <w:snapToGrid w:val="0"/>
              <w:spacing w:line="360" w:lineRule="auto"/>
              <w:ind w:firstLine="480" w:firstLineChars="200"/>
              <w:rPr>
                <w:sz w:val="24"/>
              </w:rPr>
            </w:pPr>
            <w:r>
              <w:rPr>
                <w:sz w:val="24"/>
              </w:rPr>
              <w:t>(2)包装、运输过程中散落、泄露的环境影响</w:t>
            </w:r>
          </w:p>
          <w:p>
            <w:pPr>
              <w:snapToGrid w:val="0"/>
              <w:spacing w:line="360" w:lineRule="auto"/>
              <w:ind w:firstLine="480" w:firstLineChars="200"/>
              <w:rPr>
                <w:sz w:val="24"/>
              </w:rPr>
            </w:pPr>
            <w:r>
              <w:rPr>
                <w:sz w:val="24"/>
              </w:rPr>
              <w:t>本项目一般固体废物和生活垃圾收集、运输过程将对环境造成一定的影响。</w:t>
            </w:r>
          </w:p>
          <w:p>
            <w:pPr>
              <w:snapToGrid w:val="0"/>
              <w:spacing w:line="360" w:lineRule="auto"/>
              <w:ind w:firstLine="480" w:firstLineChars="200"/>
              <w:rPr>
                <w:sz w:val="24"/>
              </w:rPr>
            </w:pPr>
            <w:r>
              <w:rPr>
                <w:rFonts w:hint="eastAsia" w:ascii="宋体" w:hAnsi="宋体" w:cs="宋体"/>
                <w:sz w:val="24"/>
              </w:rPr>
              <w:t>①</w:t>
            </w:r>
            <w:r>
              <w:rPr>
                <w:sz w:val="24"/>
              </w:rPr>
              <w:t>噪声影响</w:t>
            </w:r>
          </w:p>
          <w:p>
            <w:pPr>
              <w:snapToGrid w:val="0"/>
              <w:spacing w:line="360" w:lineRule="auto"/>
              <w:ind w:firstLine="480" w:firstLineChars="200"/>
              <w:rPr>
                <w:sz w:val="24"/>
              </w:rPr>
            </w:pPr>
            <w:r>
              <w:rPr>
                <w:sz w:val="24"/>
              </w:rPr>
              <w:t>废物在运输过程中，运输车辆将对环境造成一定的噪声影响，一方面本项目一般工业固体废物是不定期地进行运输，不会对环境造成持续频发的噪声污染；另一方面本项目生活垃圾运输过程中垃圾运输车辆产生的噪声较小，对环境造成的影响也很小。</w:t>
            </w:r>
          </w:p>
          <w:p>
            <w:pPr>
              <w:snapToGrid w:val="0"/>
              <w:spacing w:line="360" w:lineRule="auto"/>
              <w:ind w:firstLine="480" w:firstLineChars="200"/>
              <w:rPr>
                <w:sz w:val="24"/>
              </w:rPr>
            </w:pPr>
            <w:r>
              <w:rPr>
                <w:rFonts w:hint="eastAsia" w:ascii="宋体" w:hAnsi="宋体" w:cs="宋体"/>
                <w:sz w:val="24"/>
              </w:rPr>
              <w:t>②</w:t>
            </w:r>
            <w:r>
              <w:rPr>
                <w:sz w:val="24"/>
              </w:rPr>
              <w:t>气味影响</w:t>
            </w:r>
          </w:p>
          <w:p>
            <w:pPr>
              <w:snapToGrid w:val="0"/>
              <w:spacing w:line="360" w:lineRule="auto"/>
              <w:ind w:firstLine="480" w:firstLineChars="20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pPr>
              <w:snapToGrid w:val="0"/>
              <w:spacing w:line="360" w:lineRule="auto"/>
              <w:ind w:firstLine="480" w:firstLineChars="200"/>
              <w:rPr>
                <w:sz w:val="24"/>
              </w:rPr>
            </w:pPr>
            <w:r>
              <w:rPr>
                <w:sz w:val="24"/>
              </w:rPr>
              <w:t>(3)堆放、贮存场所的环境影响</w:t>
            </w:r>
          </w:p>
          <w:p>
            <w:pPr>
              <w:snapToGrid w:val="0"/>
              <w:spacing w:line="360" w:lineRule="auto"/>
              <w:ind w:firstLine="480" w:firstLineChars="200"/>
              <w:rPr>
                <w:sz w:val="24"/>
              </w:rPr>
            </w:pPr>
            <w:r>
              <w:rPr>
                <w:rFonts w:hint="eastAsia" w:ascii="宋体" w:hAnsi="宋体" w:cs="宋体"/>
                <w:sz w:val="24"/>
              </w:rPr>
              <w:t>①</w:t>
            </w:r>
            <w:r>
              <w:rPr>
                <w:sz w:val="24"/>
              </w:rPr>
              <w:t>一般工业固废应按照《一般工业固体废物贮存、处置场污染控制标准》及其修改单要求进行设计和建设。</w:t>
            </w:r>
          </w:p>
          <w:p>
            <w:pPr>
              <w:snapToGrid w:val="0"/>
              <w:spacing w:line="360" w:lineRule="auto"/>
              <w:ind w:firstLine="480" w:firstLineChars="200"/>
              <w:rPr>
                <w:sz w:val="24"/>
              </w:rPr>
            </w:pPr>
            <w:r>
              <w:rPr>
                <w:rFonts w:hint="eastAsia" w:ascii="宋体" w:hAnsi="宋体" w:cs="宋体"/>
                <w:sz w:val="24"/>
              </w:rPr>
              <w:t>②</w:t>
            </w:r>
            <w:r>
              <w:rPr>
                <w:sz w:val="24"/>
              </w:rPr>
              <w:t>做好防渗、防风、防雨，防止废液泄露使污染范围扩大；固体废物应按照规范要求及时对其进行处理处置，减少堆放、贮存过程中的异味产生，降低贮存场所本身对环境的影响。</w:t>
            </w:r>
          </w:p>
          <w:p>
            <w:pPr>
              <w:snapToGrid w:val="0"/>
              <w:spacing w:line="360" w:lineRule="auto"/>
              <w:ind w:firstLine="480" w:firstLineChars="200"/>
              <w:rPr>
                <w:sz w:val="24"/>
              </w:rPr>
            </w:pPr>
            <w:r>
              <w:rPr>
                <w:sz w:val="24"/>
              </w:rPr>
              <w:t>采取以上措施后</w:t>
            </w:r>
            <w:r>
              <w:rPr>
                <w:rFonts w:hint="eastAsia"/>
                <w:sz w:val="24"/>
              </w:rPr>
              <w:t>固废</w:t>
            </w:r>
            <w:r>
              <w:rPr>
                <w:sz w:val="24"/>
              </w:rPr>
              <w:t>堆放、贮存对周围环境造成的影响较小。</w:t>
            </w:r>
          </w:p>
          <w:p>
            <w:pPr>
              <w:snapToGrid w:val="0"/>
              <w:spacing w:line="360" w:lineRule="auto"/>
              <w:ind w:firstLine="480" w:firstLineChars="200"/>
              <w:rPr>
                <w:sz w:val="24"/>
              </w:rPr>
            </w:pPr>
            <w:r>
              <w:rPr>
                <w:sz w:val="24"/>
              </w:rPr>
              <w:t>(4)固废综合利用、处理处置的环境影响</w:t>
            </w:r>
          </w:p>
          <w:p>
            <w:pPr>
              <w:snapToGrid w:val="0"/>
              <w:spacing w:line="360" w:lineRule="auto"/>
              <w:ind w:firstLine="480" w:firstLineChars="200"/>
              <w:rPr>
                <w:sz w:val="24"/>
              </w:rPr>
            </w:pPr>
            <w:r>
              <w:rPr>
                <w:sz w:val="24"/>
              </w:rPr>
              <w:t>本项目产生</w:t>
            </w:r>
            <w:r>
              <w:rPr>
                <w:rFonts w:hint="eastAsia"/>
                <w:sz w:val="24"/>
              </w:rPr>
              <w:t>的</w:t>
            </w:r>
            <w:r>
              <w:rPr>
                <w:sz w:val="24"/>
              </w:rPr>
              <w:t>一般固废均收集后出售给相关单位综合利用；生活垃圾委托当地环卫所统一收集处理。</w:t>
            </w:r>
          </w:p>
          <w:p>
            <w:pPr>
              <w:snapToGrid w:val="0"/>
              <w:spacing w:line="360" w:lineRule="auto"/>
              <w:ind w:firstLine="480" w:firstLineChars="200"/>
              <w:rPr>
                <w:sz w:val="24"/>
              </w:rPr>
            </w:pPr>
            <w:r>
              <w:rPr>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pPr>
              <w:spacing w:line="360" w:lineRule="auto"/>
              <w:ind w:firstLine="480" w:firstLineChars="200"/>
              <w:rPr>
                <w:sz w:val="24"/>
              </w:rPr>
            </w:pPr>
            <w:r>
              <w:rPr>
                <w:sz w:val="24"/>
              </w:rPr>
              <w:t>因此，本项目产生的固体废物基本实现了资源化、无害化、减量化处理，不会产生二次污染，对周围环境影响较小。</w:t>
            </w:r>
          </w:p>
          <w:p>
            <w:pPr>
              <w:adjustRightInd w:val="0"/>
              <w:snapToGrid w:val="0"/>
              <w:spacing w:line="360" w:lineRule="auto"/>
              <w:ind w:firstLine="482" w:firstLineChars="200"/>
              <w:rPr>
                <w:b/>
                <w:bCs/>
                <w:sz w:val="24"/>
                <w:szCs w:val="24"/>
              </w:rPr>
            </w:pPr>
            <w:r>
              <w:rPr>
                <w:b/>
                <w:kern w:val="0"/>
                <w:sz w:val="24"/>
                <w:szCs w:val="24"/>
              </w:rPr>
              <w:t>4</w:t>
            </w:r>
            <w:r>
              <w:rPr>
                <w:rFonts w:hint="eastAsia"/>
                <w:b/>
                <w:bCs/>
                <w:sz w:val="24"/>
                <w:szCs w:val="24"/>
              </w:rPr>
              <w:t>、土壤环境影响分析</w:t>
            </w:r>
          </w:p>
          <w:p>
            <w:pPr>
              <w:pStyle w:val="267"/>
              <w:adjustRightInd w:val="0"/>
              <w:snapToGrid w:val="0"/>
              <w:ind w:firstLine="480" w:firstLineChars="200"/>
              <w:rPr>
                <w:color w:val="FF0000"/>
                <w:kern w:val="0"/>
              </w:rPr>
            </w:pPr>
            <w:r>
              <w:rPr>
                <w:rFonts w:hint="eastAsia"/>
                <w:color w:val="auto"/>
              </w:rPr>
              <w:t>本项目主要为</w:t>
            </w:r>
            <w:r>
              <w:rPr>
                <w:rFonts w:hint="eastAsia" w:hAnsi="宋体"/>
                <w:color w:val="auto"/>
                <w:kern w:val="0"/>
                <w:lang w:val="fi-FI"/>
              </w:rPr>
              <w:t>特种陶瓷制品</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Pr>
                <w:color w:val="auto"/>
                <w:kern w:val="0"/>
              </w:rPr>
              <w:fldChar w:fldCharType="begin"/>
            </w:r>
            <w:r>
              <w:rPr>
                <w:color w:val="auto"/>
                <w:kern w:val="0"/>
              </w:rPr>
              <w:instrText xml:space="preserve"> = 3 \* ROMAN </w:instrText>
            </w:r>
            <w:r>
              <w:rPr>
                <w:color w:val="auto"/>
                <w:kern w:val="0"/>
              </w:rPr>
              <w:fldChar w:fldCharType="separate"/>
            </w:r>
            <w:r>
              <w:rPr>
                <w:color w:val="auto"/>
                <w:kern w:val="0"/>
              </w:rPr>
              <w:t>III</w:t>
            </w:r>
            <w:r>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pPr>
              <w:adjustRightInd w:val="0"/>
              <w:snapToGrid w:val="0"/>
              <w:spacing w:line="360" w:lineRule="auto"/>
              <w:ind w:firstLine="482" w:firstLineChars="200"/>
              <w:rPr>
                <w:b/>
                <w:bCs/>
                <w:sz w:val="24"/>
                <w:szCs w:val="24"/>
              </w:rPr>
            </w:pPr>
            <w:r>
              <w:rPr>
                <w:b/>
                <w:kern w:val="0"/>
                <w:sz w:val="24"/>
                <w:szCs w:val="24"/>
              </w:rPr>
              <w:t>5</w:t>
            </w:r>
            <w:r>
              <w:rPr>
                <w:rFonts w:hint="eastAsia"/>
                <w:b/>
                <w:bCs/>
                <w:sz w:val="24"/>
                <w:szCs w:val="24"/>
              </w:rPr>
              <w:t>、地下水环境影响分析</w:t>
            </w:r>
          </w:p>
          <w:p>
            <w:pPr>
              <w:adjustRightInd w:val="0"/>
              <w:snapToGrid w:val="0"/>
              <w:spacing w:line="360" w:lineRule="auto"/>
              <w:ind w:firstLine="480" w:firstLineChars="200"/>
              <w:rPr>
                <w:sz w:val="24"/>
                <w:szCs w:val="24"/>
              </w:rPr>
            </w:pPr>
            <w:r>
              <w:rPr>
                <w:rFonts w:hint="eastAsia"/>
                <w:sz w:val="24"/>
                <w:szCs w:val="24"/>
              </w:rPr>
              <w:t>根据建设项目对地下水环境的影响程度，结合《建设项目环境影响评价分类管理名录》，将建设项目分为四类。参照《环境影响评价技术导则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54陶瓷制品</w:t>
            </w:r>
            <w:r>
              <w:rPr>
                <w:rFonts w:hint="eastAsia"/>
                <w:sz w:val="24"/>
                <w:szCs w:val="24"/>
              </w:rPr>
              <w:t>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pPr>
              <w:spacing w:line="360" w:lineRule="auto"/>
              <w:ind w:firstLine="482" w:firstLineChars="200"/>
              <w:rPr>
                <w:b/>
                <w:bCs/>
                <w:sz w:val="24"/>
                <w:szCs w:val="24"/>
                <w:lang w:bidi="zh-CN"/>
              </w:rPr>
            </w:pPr>
            <w:r>
              <w:rPr>
                <w:b/>
                <w:kern w:val="0"/>
                <w:sz w:val="24"/>
                <w:szCs w:val="24"/>
              </w:rPr>
              <w:t>6</w:t>
            </w:r>
            <w:r>
              <w:rPr>
                <w:rFonts w:hint="eastAsia"/>
                <w:b/>
                <w:bCs/>
                <w:sz w:val="24"/>
                <w:szCs w:val="24"/>
              </w:rPr>
              <w:t>、</w:t>
            </w:r>
            <w:r>
              <w:rPr>
                <w:rFonts w:hint="eastAsia"/>
                <w:b/>
                <w:bCs/>
                <w:sz w:val="24"/>
                <w:szCs w:val="24"/>
                <w:lang w:bidi="zh-CN"/>
              </w:rPr>
              <w:t>环境风险评价</w:t>
            </w:r>
          </w:p>
          <w:p>
            <w:pPr>
              <w:snapToGrid w:val="0"/>
              <w:spacing w:line="360" w:lineRule="auto"/>
              <w:ind w:firstLine="482" w:firstLineChars="200"/>
              <w:jc w:val="left"/>
              <w:rPr>
                <w:b/>
                <w:sz w:val="24"/>
                <w:szCs w:val="24"/>
              </w:rPr>
            </w:pPr>
            <w:r>
              <w:rPr>
                <w:b/>
                <w:bCs/>
                <w:kern w:val="0"/>
                <w:sz w:val="24"/>
                <w:szCs w:val="24"/>
              </w:rPr>
              <w:t>(1)</w:t>
            </w:r>
            <w:r>
              <w:rPr>
                <w:rFonts w:hint="eastAsia"/>
                <w:b/>
                <w:sz w:val="24"/>
                <w:szCs w:val="24"/>
              </w:rPr>
              <w:t>风险识别</w:t>
            </w:r>
          </w:p>
          <w:p>
            <w:pPr>
              <w:adjustRightInd w:val="0"/>
              <w:snapToGrid w:val="0"/>
              <w:spacing w:line="360" w:lineRule="auto"/>
              <w:ind w:firstLine="480" w:firstLineChars="200"/>
              <w:jc w:val="left"/>
              <w:rPr>
                <w:sz w:val="24"/>
                <w:szCs w:val="24"/>
              </w:rPr>
            </w:pPr>
            <w:r>
              <w:rPr>
                <w:rFonts w:hint="eastAsia"/>
                <w:sz w:val="24"/>
                <w:szCs w:val="24"/>
              </w:rPr>
              <w:t>对照《建设项目环境风险评价技术导则》</w:t>
            </w:r>
            <w:r>
              <w:rPr>
                <w:sz w:val="24"/>
                <w:szCs w:val="24"/>
              </w:rPr>
              <w:t>(HJ169-2018)</w:t>
            </w:r>
            <w:r>
              <w:rPr>
                <w:rFonts w:hint="eastAsia"/>
                <w:sz w:val="24"/>
                <w:szCs w:val="24"/>
              </w:rPr>
              <w:t>附录中</w:t>
            </w:r>
            <w:r>
              <w:rPr>
                <w:sz w:val="24"/>
                <w:szCs w:val="24"/>
              </w:rPr>
              <w:t>B</w:t>
            </w:r>
            <w:r>
              <w:rPr>
                <w:rFonts w:hint="eastAsia"/>
                <w:sz w:val="24"/>
                <w:szCs w:val="24"/>
              </w:rPr>
              <w:t>，本项目涉及的风险物质识别见下表：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b/>
                <w:sz w:val="24"/>
                <w:szCs w:val="24"/>
              </w:rPr>
            </w:pPr>
            <w:r>
              <w:rPr>
                <w:b/>
                <w:sz w:val="24"/>
                <w:szCs w:val="24"/>
              </w:rPr>
              <w:t>表7-</w:t>
            </w:r>
            <w:r>
              <w:rPr>
                <w:rFonts w:hint="eastAsia"/>
                <w:b/>
                <w:sz w:val="24"/>
                <w:szCs w:val="24"/>
                <w:lang w:val="en-US"/>
              </w:rPr>
              <w:t>1</w:t>
            </w:r>
            <w:r>
              <w:rPr>
                <w:rFonts w:hint="eastAsia"/>
                <w:b/>
                <w:sz w:val="24"/>
                <w:szCs w:val="24"/>
                <w:lang w:val="en-US" w:eastAsia="zh-CN"/>
              </w:rPr>
              <w:t>8</w:t>
            </w:r>
            <w:r>
              <w:rPr>
                <w:rFonts w:hint="eastAsia"/>
                <w:b/>
                <w:sz w:val="24"/>
                <w:szCs w:val="24"/>
              </w:rPr>
              <w:t xml:space="preserve">  </w:t>
            </w:r>
            <w:r>
              <w:rPr>
                <w:b/>
                <w:sz w:val="24"/>
                <w:szCs w:val="24"/>
              </w:rPr>
              <w:t>本项目涉及的危险物料最大使用量及储存方式</w:t>
            </w:r>
          </w:p>
          <w:tbl>
            <w:tblPr>
              <w:tblStyle w:val="75"/>
              <w:tblW w:w="8313"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44"/>
              <w:gridCol w:w="3468"/>
              <w:gridCol w:w="2375"/>
              <w:gridCol w:w="152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944" w:type="dxa"/>
                  <w:tcBorders>
                    <w:tl2br w:val="nil"/>
                    <w:tr2bl w:val="nil"/>
                  </w:tcBorders>
                  <w:vAlign w:val="center"/>
                </w:tcPr>
                <w:p>
                  <w:pPr>
                    <w:jc w:val="center"/>
                    <w:rPr>
                      <w:b/>
                      <w:szCs w:val="21"/>
                    </w:rPr>
                  </w:pPr>
                  <w:r>
                    <w:rPr>
                      <w:rFonts w:hint="eastAsia"/>
                      <w:b/>
                      <w:szCs w:val="21"/>
                    </w:rPr>
                    <w:t>序号</w:t>
                  </w:r>
                </w:p>
              </w:tc>
              <w:tc>
                <w:tcPr>
                  <w:tcW w:w="3468" w:type="dxa"/>
                  <w:tcBorders>
                    <w:tl2br w:val="nil"/>
                    <w:tr2bl w:val="nil"/>
                  </w:tcBorders>
                  <w:vAlign w:val="center"/>
                </w:tcPr>
                <w:p>
                  <w:pPr>
                    <w:jc w:val="center"/>
                    <w:rPr>
                      <w:b/>
                      <w:szCs w:val="21"/>
                    </w:rPr>
                  </w:pPr>
                  <w:r>
                    <w:rPr>
                      <w:rFonts w:hint="eastAsia"/>
                      <w:b/>
                      <w:szCs w:val="21"/>
                    </w:rPr>
                    <w:t>名称</w:t>
                  </w:r>
                </w:p>
              </w:tc>
              <w:tc>
                <w:tcPr>
                  <w:tcW w:w="2375" w:type="dxa"/>
                  <w:tcBorders>
                    <w:tl2br w:val="nil"/>
                    <w:tr2bl w:val="nil"/>
                  </w:tcBorders>
                  <w:vAlign w:val="center"/>
                </w:tcPr>
                <w:p>
                  <w:pPr>
                    <w:jc w:val="center"/>
                    <w:rPr>
                      <w:b/>
                      <w:szCs w:val="21"/>
                    </w:rPr>
                  </w:pPr>
                  <w:r>
                    <w:rPr>
                      <w:rFonts w:hint="eastAsia"/>
                      <w:b/>
                      <w:szCs w:val="21"/>
                    </w:rPr>
                    <w:t>最大储存量</w:t>
                  </w:r>
                  <w:r>
                    <w:rPr>
                      <w:b/>
                      <w:szCs w:val="21"/>
                    </w:rPr>
                    <w:t>(t/a)</w:t>
                  </w:r>
                </w:p>
              </w:tc>
              <w:tc>
                <w:tcPr>
                  <w:tcW w:w="1526" w:type="dxa"/>
                  <w:tcBorders>
                    <w:tl2br w:val="nil"/>
                    <w:tr2bl w:val="nil"/>
                  </w:tcBorders>
                  <w:vAlign w:val="center"/>
                </w:tcPr>
                <w:p>
                  <w:pPr>
                    <w:jc w:val="center"/>
                    <w:rPr>
                      <w:b/>
                      <w:szCs w:val="21"/>
                    </w:rPr>
                  </w:pPr>
                  <w:r>
                    <w:rPr>
                      <w:rFonts w:hint="eastAsia"/>
                      <w:b/>
                      <w:szCs w:val="21"/>
                    </w:rPr>
                    <w:t>储存方式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944" w:type="dxa"/>
                  <w:tcBorders>
                    <w:tl2br w:val="nil"/>
                    <w:tr2bl w:val="nil"/>
                  </w:tcBorders>
                  <w:vAlign w:val="center"/>
                </w:tcPr>
                <w:p>
                  <w:pPr>
                    <w:jc w:val="center"/>
                    <w:rPr>
                      <w:szCs w:val="21"/>
                    </w:rPr>
                  </w:pPr>
                  <w:r>
                    <w:rPr>
                      <w:szCs w:val="21"/>
                    </w:rPr>
                    <w:t>1</w:t>
                  </w:r>
                </w:p>
              </w:tc>
              <w:tc>
                <w:tcPr>
                  <w:tcW w:w="3468" w:type="dxa"/>
                  <w:tcBorders>
                    <w:tl2br w:val="nil"/>
                    <w:tr2bl w:val="nil"/>
                  </w:tcBorders>
                  <w:vAlign w:val="center"/>
                </w:tcPr>
                <w:p>
                  <w:pPr>
                    <w:jc w:val="center"/>
                    <w:rPr>
                      <w:szCs w:val="21"/>
                    </w:rPr>
                  </w:pPr>
                  <w:r>
                    <w:rPr>
                      <w:rFonts w:hint="eastAsia"/>
                      <w:szCs w:val="21"/>
                    </w:rPr>
                    <w:t>天然气</w:t>
                  </w:r>
                </w:p>
              </w:tc>
              <w:tc>
                <w:tcPr>
                  <w:tcW w:w="2375" w:type="dxa"/>
                  <w:tcBorders>
                    <w:tl2br w:val="nil"/>
                    <w:tr2bl w:val="nil"/>
                  </w:tcBorders>
                  <w:vAlign w:val="center"/>
                </w:tcPr>
                <w:p>
                  <w:pPr>
                    <w:jc w:val="center"/>
                    <w:rPr>
                      <w:szCs w:val="21"/>
                      <w:lang w:val="en-US"/>
                    </w:rPr>
                  </w:pPr>
                  <w:r>
                    <w:rPr>
                      <w:szCs w:val="21"/>
                      <w:lang w:val="en-US"/>
                    </w:rPr>
                    <w:t>0</w:t>
                  </w:r>
                </w:p>
              </w:tc>
              <w:tc>
                <w:tcPr>
                  <w:tcW w:w="1526" w:type="dxa"/>
                  <w:tcBorders>
                    <w:tl2br w:val="nil"/>
                    <w:tr2bl w:val="nil"/>
                  </w:tcBorders>
                  <w:vAlign w:val="center"/>
                </w:tcPr>
                <w:p>
                  <w:pPr>
                    <w:jc w:val="center"/>
                    <w:rPr>
                      <w:szCs w:val="21"/>
                    </w:rPr>
                  </w:pPr>
                  <w:r>
                    <w:rPr>
                      <w:rFonts w:hint="eastAsia"/>
                      <w:szCs w:val="21"/>
                    </w:rPr>
                    <w:t>管道输送</w:t>
                  </w:r>
                </w:p>
              </w:tc>
            </w:tr>
          </w:tbl>
          <w:p>
            <w:pPr>
              <w:adjustRightInd w:val="0"/>
              <w:snapToGrid w:val="0"/>
              <w:spacing w:beforeLines="50" w:line="360" w:lineRule="auto"/>
              <w:ind w:firstLine="482" w:firstLineChars="200"/>
              <w:jc w:val="left"/>
              <w:rPr>
                <w:b/>
                <w:sz w:val="24"/>
                <w:szCs w:val="24"/>
              </w:rPr>
            </w:pPr>
            <w:r>
              <w:rPr>
                <w:b/>
                <w:sz w:val="24"/>
                <w:szCs w:val="24"/>
              </w:rPr>
              <w:t>(2)</w:t>
            </w:r>
            <w:r>
              <w:rPr>
                <w:rFonts w:hint="eastAsia"/>
                <w:b/>
                <w:sz w:val="24"/>
                <w:szCs w:val="24"/>
              </w:rPr>
              <w:t>环境风险辨识</w:t>
            </w:r>
          </w:p>
          <w:p>
            <w:pPr>
              <w:adjustRightInd w:val="0"/>
              <w:snapToGrid w:val="0"/>
              <w:spacing w:line="360" w:lineRule="auto"/>
              <w:ind w:firstLine="480" w:firstLineChars="200"/>
              <w:jc w:val="left"/>
              <w:rPr>
                <w:sz w:val="24"/>
                <w:szCs w:val="24"/>
              </w:rPr>
            </w:pPr>
            <w:r>
              <w:rPr>
                <w:rFonts w:hint="eastAsia"/>
                <w:sz w:val="24"/>
                <w:szCs w:val="24"/>
              </w:rPr>
              <w:t>计算所涉及的每种危险物质在厂界内的最大存在总量与其在《建设项目环境风险评价技术导则》</w:t>
            </w:r>
            <w:r>
              <w:rPr>
                <w:sz w:val="24"/>
                <w:szCs w:val="24"/>
              </w:rPr>
              <w:t>(HJ169-2018)</w:t>
            </w:r>
            <w:r>
              <w:rPr>
                <w:rFonts w:hint="eastAsia"/>
                <w:sz w:val="24"/>
                <w:szCs w:val="24"/>
              </w:rPr>
              <w:t>附录</w:t>
            </w:r>
            <w:r>
              <w:rPr>
                <w:sz w:val="24"/>
                <w:szCs w:val="24"/>
              </w:rPr>
              <w:t>B</w:t>
            </w:r>
            <w:r>
              <w:rPr>
                <w:rFonts w:hint="eastAsia"/>
                <w:sz w:val="24"/>
                <w:szCs w:val="24"/>
              </w:rPr>
              <w:t>中对应临界量的比值</w:t>
            </w:r>
            <w:r>
              <w:rPr>
                <w:sz w:val="24"/>
                <w:szCs w:val="24"/>
              </w:rPr>
              <w:t>Q</w:t>
            </w:r>
            <w:r>
              <w:rPr>
                <w:rFonts w:hint="eastAsia"/>
                <w:sz w:val="24"/>
                <w:szCs w:val="24"/>
              </w:rPr>
              <w:t>。当只涉及种危险物质时，计算该物质的总量与其临界量比值，即为</w:t>
            </w:r>
            <w:r>
              <w:rPr>
                <w:sz w:val="24"/>
                <w:szCs w:val="24"/>
              </w:rPr>
              <w:t>L:</w:t>
            </w:r>
            <w:r>
              <w:rPr>
                <w:rFonts w:hint="eastAsia"/>
                <w:sz w:val="24"/>
                <w:szCs w:val="24"/>
              </w:rPr>
              <w:t>当存在多种危险物质时，则按一下公式计算物质总量与其临界量比值</w:t>
            </w:r>
            <w:r>
              <w:rPr>
                <w:sz w:val="24"/>
                <w:szCs w:val="24"/>
              </w:rPr>
              <w:t>(Q)</w:t>
            </w:r>
            <w:r>
              <w:rPr>
                <w:rFonts w:hint="eastAsia"/>
                <w:sz w:val="24"/>
                <w:szCs w:val="24"/>
              </w:rPr>
              <w:t>：</w:t>
            </w:r>
          </w:p>
          <w:p>
            <w:pPr>
              <w:adjustRightInd w:val="0"/>
              <w:snapToGrid w:val="0"/>
              <w:spacing w:line="360" w:lineRule="auto"/>
              <w:ind w:firstLine="480" w:firstLineChars="200"/>
              <w:jc w:val="left"/>
              <w:rPr>
                <w:sz w:val="24"/>
                <w:szCs w:val="24"/>
              </w:rPr>
            </w:pPr>
            <w:r>
              <w:rPr>
                <w:sz w:val="24"/>
                <w:szCs w:val="24"/>
              </w:rPr>
              <w:t>Q=q1/Q1+q2/Q2+q3/Q3+ ······+qn/Qn</w:t>
            </w:r>
          </w:p>
          <w:p>
            <w:pPr>
              <w:adjustRightInd w:val="0"/>
              <w:snapToGrid w:val="0"/>
              <w:spacing w:line="360" w:lineRule="auto"/>
              <w:ind w:firstLine="480" w:firstLineChars="200"/>
              <w:jc w:val="left"/>
              <w:rPr>
                <w:sz w:val="24"/>
                <w:szCs w:val="24"/>
              </w:rPr>
            </w:pPr>
            <w:r>
              <w:rPr>
                <w:rFonts w:hint="eastAsia"/>
                <w:sz w:val="24"/>
                <w:szCs w:val="24"/>
              </w:rPr>
              <w:t>式中</w:t>
            </w: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每种危险物质的最大存在总量，</w:t>
            </w:r>
            <w:r>
              <w:rPr>
                <w:sz w:val="24"/>
                <w:szCs w:val="24"/>
              </w:rPr>
              <w:t>t</w:t>
            </w:r>
            <w:r>
              <w:rPr>
                <w:rFonts w:hint="eastAsia"/>
                <w:sz w:val="24"/>
                <w:szCs w:val="24"/>
              </w:rPr>
              <w:t>；</w:t>
            </w:r>
          </w:p>
          <w:p>
            <w:pPr>
              <w:adjustRightInd w:val="0"/>
              <w:snapToGrid w:val="0"/>
              <w:spacing w:line="360" w:lineRule="auto"/>
              <w:ind w:firstLine="480" w:firstLineChars="200"/>
              <w:jc w:val="left"/>
              <w:rPr>
                <w:sz w:val="24"/>
                <w:szCs w:val="24"/>
              </w:rPr>
            </w:pP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每种危险物质的临界量，</w:t>
            </w:r>
            <w:r>
              <w:rPr>
                <w:sz w:val="24"/>
                <w:szCs w:val="24"/>
              </w:rPr>
              <w:t>t</w:t>
            </w:r>
            <w:r>
              <w:rPr>
                <w:rFonts w:hint="eastAsia"/>
                <w:sz w:val="24"/>
                <w:szCs w:val="24"/>
              </w:rPr>
              <w:t>。</w:t>
            </w:r>
          </w:p>
          <w:p>
            <w:pPr>
              <w:adjustRightInd w:val="0"/>
              <w:snapToGrid w:val="0"/>
              <w:spacing w:line="360" w:lineRule="auto"/>
              <w:ind w:firstLine="480" w:firstLineChars="200"/>
              <w:jc w:val="left"/>
              <w:rPr>
                <w:sz w:val="24"/>
                <w:szCs w:val="24"/>
              </w:rPr>
            </w:pPr>
            <w:r>
              <w:rPr>
                <w:rFonts w:hint="eastAsia"/>
                <w:sz w:val="24"/>
                <w:szCs w:val="24"/>
              </w:rPr>
              <w:t>当</w:t>
            </w:r>
            <w:r>
              <w:rPr>
                <w:sz w:val="24"/>
                <w:szCs w:val="24"/>
              </w:rPr>
              <w:t>Q&lt;1</w:t>
            </w:r>
            <w:r>
              <w:rPr>
                <w:rFonts w:hint="eastAsia"/>
                <w:sz w:val="24"/>
                <w:szCs w:val="24"/>
              </w:rPr>
              <w:t>时，该项目环境风险潜势为Ⅰ。</w:t>
            </w:r>
          </w:p>
          <w:p>
            <w:pPr>
              <w:adjustRightInd w:val="0"/>
              <w:snapToGrid w:val="0"/>
              <w:spacing w:line="360" w:lineRule="auto"/>
              <w:ind w:firstLine="480" w:firstLineChars="200"/>
              <w:jc w:val="left"/>
              <w:rPr>
                <w:sz w:val="24"/>
                <w:szCs w:val="24"/>
              </w:rPr>
            </w:pPr>
            <w:r>
              <w:rPr>
                <w:rFonts w:hint="eastAsia"/>
                <w:sz w:val="24"/>
                <w:szCs w:val="24"/>
              </w:rPr>
              <w:t>当</w:t>
            </w:r>
            <w:r>
              <w:rPr>
                <w:sz w:val="24"/>
                <w:szCs w:val="24"/>
              </w:rPr>
              <w:t>Q</w:t>
            </w:r>
            <w:r>
              <w:rPr>
                <w:rFonts w:hint="eastAsia"/>
                <w:sz w:val="24"/>
                <w:szCs w:val="24"/>
              </w:rPr>
              <w:t>≥</w:t>
            </w:r>
            <w:r>
              <w:rPr>
                <w:sz w:val="24"/>
                <w:szCs w:val="24"/>
              </w:rPr>
              <w:t>1</w:t>
            </w:r>
            <w:r>
              <w:rPr>
                <w:rFonts w:hint="eastAsia"/>
                <w:sz w:val="24"/>
                <w:szCs w:val="24"/>
              </w:rPr>
              <w:t>时，将</w:t>
            </w:r>
            <w:r>
              <w:rPr>
                <w:sz w:val="24"/>
                <w:szCs w:val="24"/>
              </w:rPr>
              <w:t>Q</w:t>
            </w:r>
            <w:r>
              <w:rPr>
                <w:rFonts w:hint="eastAsia"/>
                <w:sz w:val="24"/>
                <w:szCs w:val="24"/>
              </w:rPr>
              <w:t>值划分为：（</w:t>
            </w:r>
            <w:r>
              <w:rPr>
                <w:sz w:val="24"/>
                <w:szCs w:val="24"/>
              </w:rPr>
              <w:t>1</w:t>
            </w:r>
            <w:r>
              <w:rPr>
                <w:rFonts w:hint="eastAsia"/>
                <w:sz w:val="24"/>
                <w:szCs w:val="24"/>
              </w:rPr>
              <w:t>）</w:t>
            </w:r>
            <w:r>
              <w:rPr>
                <w:sz w:val="24"/>
                <w:szCs w:val="24"/>
              </w:rPr>
              <w:t>1</w:t>
            </w:r>
            <w:r>
              <w:rPr>
                <w:rFonts w:hint="eastAsia"/>
                <w:sz w:val="24"/>
                <w:szCs w:val="24"/>
              </w:rPr>
              <w:t>≤</w:t>
            </w:r>
            <w:r>
              <w:rPr>
                <w:sz w:val="24"/>
                <w:szCs w:val="24"/>
              </w:rPr>
              <w:t>Q&lt;10</w:t>
            </w:r>
            <w:r>
              <w:rPr>
                <w:rFonts w:hint="eastAsia"/>
                <w:sz w:val="24"/>
                <w:szCs w:val="24"/>
              </w:rPr>
              <w:t>；（</w:t>
            </w:r>
            <w:r>
              <w:rPr>
                <w:sz w:val="24"/>
                <w:szCs w:val="24"/>
              </w:rPr>
              <w:t>2</w:t>
            </w:r>
            <w:r>
              <w:rPr>
                <w:rFonts w:hint="eastAsia"/>
                <w:sz w:val="24"/>
                <w:szCs w:val="24"/>
              </w:rPr>
              <w:t>）</w:t>
            </w:r>
            <w:r>
              <w:rPr>
                <w:sz w:val="24"/>
                <w:szCs w:val="24"/>
              </w:rPr>
              <w:t>10</w:t>
            </w:r>
            <w:r>
              <w:rPr>
                <w:rFonts w:hint="eastAsia"/>
                <w:sz w:val="24"/>
                <w:szCs w:val="24"/>
              </w:rPr>
              <w:t>≤</w:t>
            </w:r>
            <w:r>
              <w:rPr>
                <w:sz w:val="24"/>
                <w:szCs w:val="24"/>
              </w:rPr>
              <w:t>Q&lt;100</w:t>
            </w:r>
            <w:r>
              <w:rPr>
                <w:rFonts w:hint="eastAsia"/>
                <w:sz w:val="24"/>
                <w:szCs w:val="24"/>
              </w:rPr>
              <w:t>；（</w:t>
            </w:r>
            <w:r>
              <w:rPr>
                <w:sz w:val="24"/>
                <w:szCs w:val="24"/>
              </w:rPr>
              <w:t>3</w:t>
            </w:r>
            <w:r>
              <w:rPr>
                <w:rFonts w:hint="eastAsia"/>
                <w:sz w:val="24"/>
                <w:szCs w:val="24"/>
              </w:rPr>
              <w:t>）</w:t>
            </w:r>
            <w:r>
              <w:rPr>
                <w:sz w:val="24"/>
                <w:szCs w:val="24"/>
              </w:rPr>
              <w:t>Q</w:t>
            </w:r>
            <w:r>
              <w:rPr>
                <w:rFonts w:hint="eastAsia"/>
                <w:sz w:val="24"/>
                <w:szCs w:val="24"/>
              </w:rPr>
              <w:t>≥</w:t>
            </w:r>
            <w:r>
              <w:rPr>
                <w:sz w:val="24"/>
                <w:szCs w:val="24"/>
              </w:rPr>
              <w:t>10</w:t>
            </w:r>
          </w:p>
          <w:p>
            <w:pPr>
              <w:adjustRightInd w:val="0"/>
              <w:snapToGrid w:val="0"/>
              <w:spacing w:line="360" w:lineRule="auto"/>
              <w:ind w:firstLine="480" w:firstLineChars="200"/>
              <w:jc w:val="left"/>
              <w:rPr>
                <w:sz w:val="24"/>
                <w:szCs w:val="24"/>
              </w:rPr>
            </w:pPr>
            <w:r>
              <w:rPr>
                <w:rFonts w:hint="eastAsia"/>
                <w:sz w:val="24"/>
                <w:szCs w:val="24"/>
              </w:rPr>
              <w:t>本项目危险物质数量与临界量比值（</w:t>
            </w:r>
            <w:r>
              <w:rPr>
                <w:sz w:val="24"/>
                <w:szCs w:val="24"/>
              </w:rPr>
              <w:t>Q</w:t>
            </w:r>
            <w:r>
              <w:rPr>
                <w:rFonts w:hint="eastAsia"/>
                <w:sz w:val="24"/>
                <w:szCs w:val="24"/>
              </w:rPr>
              <w:t>）见下表。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b/>
                <w:sz w:val="24"/>
                <w:szCs w:val="24"/>
              </w:rPr>
            </w:pPr>
            <w:r>
              <w:rPr>
                <w:rFonts w:hint="eastAsia"/>
                <w:b/>
                <w:sz w:val="24"/>
                <w:szCs w:val="24"/>
              </w:rPr>
              <w:t>表</w:t>
            </w:r>
            <w:r>
              <w:rPr>
                <w:b/>
                <w:sz w:val="24"/>
                <w:szCs w:val="24"/>
              </w:rPr>
              <w:t>7-</w:t>
            </w:r>
            <w:r>
              <w:rPr>
                <w:rFonts w:hint="eastAsia"/>
                <w:b/>
                <w:sz w:val="24"/>
                <w:szCs w:val="24"/>
                <w:lang w:val="en-US" w:eastAsia="zh-CN"/>
              </w:rPr>
              <w:t>19</w:t>
            </w:r>
            <w:r>
              <w:rPr>
                <w:rFonts w:hint="eastAsia"/>
                <w:b/>
                <w:sz w:val="24"/>
                <w:szCs w:val="24"/>
              </w:rPr>
              <w:t xml:space="preserve">  本项目涉及的危险物质比值</w:t>
            </w:r>
            <w:r>
              <w:rPr>
                <w:b/>
                <w:sz w:val="24"/>
                <w:szCs w:val="24"/>
              </w:rPr>
              <w:t>Q</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448"/>
              <w:gridCol w:w="2345"/>
              <w:gridCol w:w="746"/>
              <w:gridCol w:w="1557"/>
              <w:gridCol w:w="1769"/>
              <w:gridCol w:w="144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48" w:type="dxa"/>
                  <w:tcBorders>
                    <w:tl2br w:val="nil"/>
                    <w:tr2bl w:val="nil"/>
                  </w:tcBorders>
                  <w:vAlign w:val="center"/>
                </w:tcPr>
                <w:p>
                  <w:pPr>
                    <w:pStyle w:val="127"/>
                    <w:spacing w:line="240" w:lineRule="auto"/>
                    <w:rPr>
                      <w:rFonts w:ascii="Times New Roman" w:hAnsi="Times New Roman" w:cs="Times New Roman"/>
                      <w:b/>
                      <w:szCs w:val="21"/>
                    </w:rPr>
                  </w:pPr>
                  <w:r>
                    <w:rPr>
                      <w:rFonts w:hint="eastAsia" w:ascii="Times New Roman" w:hAnsi="Times New Roman" w:cs="Times New Roman"/>
                      <w:b/>
                      <w:szCs w:val="21"/>
                    </w:rPr>
                    <w:t>序号</w:t>
                  </w:r>
                </w:p>
              </w:tc>
              <w:tc>
                <w:tcPr>
                  <w:tcW w:w="2345" w:type="dxa"/>
                  <w:tcBorders>
                    <w:tl2br w:val="nil"/>
                    <w:tr2bl w:val="nil"/>
                  </w:tcBorders>
                  <w:vAlign w:val="center"/>
                </w:tcPr>
                <w:p>
                  <w:pPr>
                    <w:pStyle w:val="127"/>
                    <w:spacing w:line="240" w:lineRule="auto"/>
                    <w:rPr>
                      <w:rFonts w:ascii="Times New Roman" w:hAnsi="Times New Roman" w:cs="Times New Roman"/>
                      <w:b/>
                      <w:szCs w:val="21"/>
                    </w:rPr>
                  </w:pPr>
                  <w:r>
                    <w:rPr>
                      <w:rFonts w:hint="eastAsia" w:ascii="Times New Roman" w:hAnsi="Times New Roman" w:cs="Times New Roman"/>
                      <w:b/>
                      <w:szCs w:val="21"/>
                    </w:rPr>
                    <w:t>物质名称</w:t>
                  </w:r>
                </w:p>
              </w:tc>
              <w:tc>
                <w:tcPr>
                  <w:tcW w:w="746" w:type="dxa"/>
                  <w:tcBorders>
                    <w:tl2br w:val="nil"/>
                    <w:tr2bl w:val="nil"/>
                  </w:tcBorders>
                  <w:vAlign w:val="center"/>
                </w:tcPr>
                <w:p>
                  <w:pPr>
                    <w:pStyle w:val="127"/>
                    <w:spacing w:line="240" w:lineRule="auto"/>
                    <w:rPr>
                      <w:rFonts w:ascii="Times New Roman" w:hAnsi="Times New Roman" w:cs="Times New Roman"/>
                      <w:b/>
                      <w:szCs w:val="21"/>
                    </w:rPr>
                  </w:pPr>
                  <w:r>
                    <w:rPr>
                      <w:rFonts w:ascii="Times New Roman" w:hAnsi="Times New Roman" w:cs="Times New Roman"/>
                      <w:b/>
                      <w:szCs w:val="21"/>
                    </w:rPr>
                    <w:t>CAS</w:t>
                  </w:r>
                  <w:r>
                    <w:rPr>
                      <w:rFonts w:hint="eastAsia" w:ascii="Times New Roman" w:hAnsi="Times New Roman" w:cs="Times New Roman"/>
                      <w:b/>
                      <w:szCs w:val="21"/>
                    </w:rPr>
                    <w:t>号</w:t>
                  </w:r>
                </w:p>
              </w:tc>
              <w:tc>
                <w:tcPr>
                  <w:tcW w:w="1557" w:type="dxa"/>
                  <w:tcBorders>
                    <w:tl2br w:val="nil"/>
                    <w:tr2bl w:val="nil"/>
                  </w:tcBorders>
                  <w:vAlign w:val="center"/>
                </w:tcPr>
                <w:p>
                  <w:pPr>
                    <w:pStyle w:val="127"/>
                    <w:spacing w:line="240" w:lineRule="auto"/>
                    <w:rPr>
                      <w:rFonts w:ascii="Times New Roman" w:hAnsi="Times New Roman" w:cs="Times New Roman"/>
                      <w:b/>
                      <w:szCs w:val="21"/>
                    </w:rPr>
                  </w:pPr>
                  <w:r>
                    <w:rPr>
                      <w:rFonts w:hint="eastAsia" w:ascii="Times New Roman" w:hAnsi="Times New Roman" w:cs="Times New Roman"/>
                      <w:b/>
                      <w:szCs w:val="21"/>
                    </w:rPr>
                    <w:t>标准临界量</w:t>
                  </w:r>
                  <w:r>
                    <w:rPr>
                      <w:rFonts w:ascii="Times New Roman" w:hAnsi="Times New Roman" w:cs="Times New Roman"/>
                      <w:b/>
                      <w:szCs w:val="21"/>
                    </w:rPr>
                    <w:t>(t)</w:t>
                  </w:r>
                </w:p>
              </w:tc>
              <w:tc>
                <w:tcPr>
                  <w:tcW w:w="1769" w:type="dxa"/>
                  <w:tcBorders>
                    <w:tl2br w:val="nil"/>
                    <w:tr2bl w:val="nil"/>
                  </w:tcBorders>
                  <w:vAlign w:val="center"/>
                </w:tcPr>
                <w:p>
                  <w:pPr>
                    <w:pStyle w:val="127"/>
                    <w:spacing w:line="240" w:lineRule="auto"/>
                    <w:rPr>
                      <w:rFonts w:ascii="Times New Roman" w:hAnsi="Times New Roman" w:cs="Times New Roman"/>
                      <w:b/>
                      <w:szCs w:val="21"/>
                    </w:rPr>
                  </w:pPr>
                  <w:r>
                    <w:rPr>
                      <w:rFonts w:hint="eastAsia" w:ascii="Times New Roman" w:hAnsi="Times New Roman" w:cs="Times New Roman"/>
                      <w:b/>
                      <w:szCs w:val="21"/>
                    </w:rPr>
                    <w:t>最大储存总量</w:t>
                  </w:r>
                  <w:r>
                    <w:rPr>
                      <w:rFonts w:ascii="Times New Roman" w:hAnsi="Times New Roman" w:cs="Times New Roman"/>
                      <w:b/>
                      <w:szCs w:val="21"/>
                    </w:rPr>
                    <w:t>(t)</w:t>
                  </w:r>
                </w:p>
              </w:tc>
              <w:tc>
                <w:tcPr>
                  <w:tcW w:w="1448" w:type="dxa"/>
                  <w:tcBorders>
                    <w:tl2br w:val="nil"/>
                    <w:tr2bl w:val="nil"/>
                  </w:tcBorders>
                  <w:vAlign w:val="center"/>
                </w:tcPr>
                <w:p>
                  <w:pPr>
                    <w:pStyle w:val="127"/>
                    <w:spacing w:line="240" w:lineRule="auto"/>
                    <w:rPr>
                      <w:rFonts w:ascii="Times New Roman" w:hAnsi="Times New Roman" w:cs="Times New Roman"/>
                      <w:b/>
                      <w:szCs w:val="21"/>
                    </w:rPr>
                  </w:pPr>
                  <w:r>
                    <w:rPr>
                      <w:rFonts w:hint="eastAsia" w:ascii="Times New Roman" w:hAnsi="Times New Roman" w:cs="Times New Roman"/>
                      <w:b/>
                      <w:szCs w:val="21"/>
                    </w:rPr>
                    <w:t>辨识结果</w:t>
                  </w:r>
                  <w:r>
                    <w:rPr>
                      <w:rFonts w:ascii="Times New Roman" w:hAnsi="Times New Roman" w:cs="Times New Roman"/>
                      <w:b/>
                      <w:szCs w:val="21"/>
                    </w:rPr>
                    <w:t>(Q)</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8" w:type="dxa"/>
                  <w:tcBorders>
                    <w:tl2br w:val="nil"/>
                    <w:tr2bl w:val="nil"/>
                  </w:tcBorders>
                  <w:vAlign w:val="center"/>
                </w:tcPr>
                <w:p>
                  <w:pPr>
                    <w:pStyle w:val="127"/>
                    <w:spacing w:line="240" w:lineRule="auto"/>
                    <w:ind w:firstLine="210" w:firstLineChars="100"/>
                    <w:jc w:val="both"/>
                    <w:rPr>
                      <w:rFonts w:ascii="Times New Roman" w:hAnsi="Times New Roman" w:cs="Times New Roman"/>
                      <w:szCs w:val="21"/>
                    </w:rPr>
                  </w:pPr>
                  <w:r>
                    <w:rPr>
                      <w:rFonts w:ascii="Times New Roman" w:hAnsi="Times New Roman" w:cs="Times New Roman"/>
                      <w:szCs w:val="21"/>
                    </w:rPr>
                    <w:t>1</w:t>
                  </w:r>
                </w:p>
              </w:tc>
              <w:tc>
                <w:tcPr>
                  <w:tcW w:w="2345" w:type="dxa"/>
                  <w:tcBorders>
                    <w:tl2br w:val="nil"/>
                    <w:tr2bl w:val="nil"/>
                  </w:tcBorders>
                  <w:vAlign w:val="center"/>
                </w:tcPr>
                <w:p>
                  <w:pPr>
                    <w:pStyle w:val="127"/>
                    <w:spacing w:line="240" w:lineRule="auto"/>
                    <w:rPr>
                      <w:rFonts w:ascii="Times New Roman" w:hAnsi="Times New Roman" w:cs="Times New Roman"/>
                      <w:szCs w:val="21"/>
                    </w:rPr>
                  </w:pPr>
                  <w:r>
                    <w:rPr>
                      <w:rFonts w:hint="eastAsia" w:ascii="Times New Roman" w:hAnsi="Times New Roman" w:cs="Times New Roman"/>
                      <w:szCs w:val="21"/>
                    </w:rPr>
                    <w:t>天然气</w:t>
                  </w:r>
                </w:p>
              </w:tc>
              <w:tc>
                <w:tcPr>
                  <w:tcW w:w="746" w:type="dxa"/>
                  <w:tcBorders>
                    <w:tl2br w:val="nil"/>
                    <w:tr2bl w:val="nil"/>
                  </w:tcBorders>
                  <w:vAlign w:val="center"/>
                </w:tcPr>
                <w:p>
                  <w:pPr>
                    <w:pStyle w:val="127"/>
                    <w:spacing w:line="240" w:lineRule="auto"/>
                    <w:rPr>
                      <w:rFonts w:ascii="Times New Roman" w:hAnsi="Times New Roman" w:cs="Times New Roman"/>
                      <w:szCs w:val="21"/>
                    </w:rPr>
                  </w:pPr>
                  <w:r>
                    <w:rPr>
                      <w:rFonts w:ascii="Times New Roman" w:hAnsi="Times New Roman" w:cs="Times New Roman"/>
                      <w:szCs w:val="21"/>
                    </w:rPr>
                    <w:t>/</w:t>
                  </w:r>
                </w:p>
              </w:tc>
              <w:tc>
                <w:tcPr>
                  <w:tcW w:w="1557" w:type="dxa"/>
                  <w:tcBorders>
                    <w:tl2br w:val="nil"/>
                    <w:tr2bl w:val="nil"/>
                  </w:tcBorders>
                  <w:vAlign w:val="center"/>
                </w:tcPr>
                <w:p>
                  <w:pPr>
                    <w:pStyle w:val="127"/>
                    <w:spacing w:line="240" w:lineRule="auto"/>
                    <w:rPr>
                      <w:rFonts w:ascii="Times New Roman" w:hAnsi="Times New Roman" w:cs="Times New Roman"/>
                      <w:szCs w:val="21"/>
                    </w:rPr>
                  </w:pPr>
                  <w:r>
                    <w:rPr>
                      <w:rFonts w:ascii="Times New Roman" w:hAnsi="Times New Roman" w:cs="Times New Roman"/>
                      <w:szCs w:val="21"/>
                    </w:rPr>
                    <w:t>50</w:t>
                  </w:r>
                </w:p>
              </w:tc>
              <w:tc>
                <w:tcPr>
                  <w:tcW w:w="1769" w:type="dxa"/>
                  <w:tcBorders>
                    <w:tl2br w:val="nil"/>
                    <w:tr2bl w:val="nil"/>
                  </w:tcBorders>
                  <w:vAlign w:val="center"/>
                </w:tcPr>
                <w:p>
                  <w:pPr>
                    <w:pStyle w:val="127"/>
                    <w:spacing w:line="240" w:lineRule="auto"/>
                    <w:rPr>
                      <w:rFonts w:ascii="Times New Roman" w:hAnsi="Times New Roman" w:cs="Times New Roman"/>
                      <w:szCs w:val="21"/>
                    </w:rPr>
                  </w:pPr>
                  <w:r>
                    <w:rPr>
                      <w:rFonts w:ascii="Times New Roman" w:hAnsi="Times New Roman" w:cs="Times New Roman"/>
                      <w:szCs w:val="21"/>
                    </w:rPr>
                    <w:t>0</w:t>
                  </w:r>
                </w:p>
              </w:tc>
              <w:tc>
                <w:tcPr>
                  <w:tcW w:w="1448" w:type="dxa"/>
                  <w:tcBorders>
                    <w:tl2br w:val="nil"/>
                    <w:tr2bl w:val="nil"/>
                  </w:tcBorders>
                  <w:vAlign w:val="center"/>
                </w:tcPr>
                <w:p>
                  <w:pPr>
                    <w:pStyle w:val="127"/>
                    <w:spacing w:line="240" w:lineRule="auto"/>
                    <w:rPr>
                      <w:rFonts w:ascii="Times New Roman" w:hAnsi="Times New Roman" w:cs="Times New Roman"/>
                      <w:szCs w:val="21"/>
                    </w:rPr>
                  </w:pPr>
                  <w:r>
                    <w:rPr>
                      <w:rFonts w:ascii="Times New Roman" w:hAnsi="Times New Roman" w:cs="Times New Roman"/>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865" w:type="dxa"/>
                  <w:gridSpan w:val="5"/>
                  <w:tcBorders>
                    <w:tl2br w:val="nil"/>
                    <w:tr2bl w:val="nil"/>
                  </w:tcBorders>
                  <w:vAlign w:val="center"/>
                </w:tcPr>
                <w:p>
                  <w:pPr>
                    <w:pStyle w:val="127"/>
                    <w:spacing w:line="240" w:lineRule="auto"/>
                    <w:rPr>
                      <w:rFonts w:ascii="Times New Roman" w:hAnsi="Times New Roman" w:cs="Times New Roman"/>
                      <w:szCs w:val="21"/>
                    </w:rPr>
                  </w:pPr>
                  <w:r>
                    <w:rPr>
                      <w:rFonts w:hint="eastAsia" w:ascii="Times New Roman" w:hAnsi="Times New Roman" w:cs="Times New Roman"/>
                      <w:szCs w:val="21"/>
                    </w:rPr>
                    <w:t>项目</w:t>
                  </w:r>
                  <w:r>
                    <w:rPr>
                      <w:rFonts w:ascii="Times New Roman" w:hAnsi="Times New Roman" w:cs="Times New Roman"/>
                      <w:szCs w:val="21"/>
                    </w:rPr>
                    <w:t>Q</w:t>
                  </w:r>
                  <w:r>
                    <w:rPr>
                      <w:rFonts w:hint="eastAsia" w:ascii="Times New Roman" w:hAnsi="Times New Roman" w:cs="Times New Roman"/>
                      <w:szCs w:val="21"/>
                    </w:rPr>
                    <w:t>值</w:t>
                  </w:r>
                  <w:r>
                    <w:rPr>
                      <w:rFonts w:ascii="Times New Roman" w:hAnsi="Times New Roman" w:cs="Times New Roman"/>
                      <w:szCs w:val="21"/>
                    </w:rPr>
                    <w:t>Σ</w:t>
                  </w:r>
                </w:p>
              </w:tc>
              <w:tc>
                <w:tcPr>
                  <w:tcW w:w="1448" w:type="dxa"/>
                  <w:tcBorders>
                    <w:tl2br w:val="nil"/>
                    <w:tr2bl w:val="nil"/>
                  </w:tcBorders>
                  <w:vAlign w:val="center"/>
                </w:tcPr>
                <w:p>
                  <w:pPr>
                    <w:pStyle w:val="127"/>
                    <w:spacing w:line="240" w:lineRule="auto"/>
                    <w:rPr>
                      <w:rFonts w:ascii="Times New Roman" w:hAnsi="Times New Roman" w:cs="Times New Roman"/>
                      <w:szCs w:val="21"/>
                    </w:rPr>
                  </w:pPr>
                  <w:r>
                    <w:rPr>
                      <w:rFonts w:ascii="Times New Roman" w:hAnsi="Times New Roman" w:cs="Times New Roman"/>
                      <w:szCs w:val="21"/>
                    </w:rPr>
                    <w:t>0</w:t>
                  </w:r>
                </w:p>
              </w:tc>
            </w:tr>
          </w:tbl>
          <w:p>
            <w:pPr>
              <w:adjustRightInd w:val="0"/>
              <w:snapToGrid w:val="0"/>
              <w:spacing w:line="360" w:lineRule="auto"/>
              <w:ind w:firstLine="480" w:firstLineChars="200"/>
              <w:rPr>
                <w:bCs/>
                <w:kern w:val="0"/>
                <w:sz w:val="24"/>
              </w:rPr>
            </w:pPr>
            <w:r>
              <w:rPr>
                <w:rFonts w:hint="eastAsia"/>
                <w:bCs/>
                <w:kern w:val="0"/>
                <w:sz w:val="24"/>
              </w:rPr>
              <w:t>终上所述，</w:t>
            </w:r>
            <w:r>
              <w:rPr>
                <w:bCs/>
                <w:kern w:val="0"/>
                <w:sz w:val="24"/>
              </w:rPr>
              <w:t>Q</w:t>
            </w:r>
            <w:r>
              <w:rPr>
                <w:rFonts w:hint="eastAsia"/>
                <w:bCs/>
                <w:kern w:val="0"/>
                <w:sz w:val="24"/>
              </w:rPr>
              <w:t>值为</w:t>
            </w:r>
            <w:r>
              <w:rPr>
                <w:bCs/>
                <w:kern w:val="0"/>
                <w:sz w:val="24"/>
                <w:lang w:val="en-US"/>
              </w:rPr>
              <w:t>0</w:t>
            </w:r>
            <w:r>
              <w:rPr>
                <w:rFonts w:hint="eastAsia"/>
                <w:bCs/>
                <w:kern w:val="0"/>
                <w:sz w:val="24"/>
              </w:rPr>
              <w:t>，</w:t>
            </w:r>
            <w:r>
              <w:rPr>
                <w:bCs/>
                <w:kern w:val="0"/>
                <w:sz w:val="24"/>
              </w:rPr>
              <w:t>Q</w:t>
            </w:r>
            <w:r>
              <w:rPr>
                <w:rFonts w:hint="eastAsia"/>
                <w:bCs/>
                <w:kern w:val="0"/>
                <w:sz w:val="24"/>
              </w:rPr>
              <w:t>＜</w:t>
            </w:r>
            <w:r>
              <w:rPr>
                <w:bCs/>
                <w:kern w:val="0"/>
                <w:sz w:val="24"/>
              </w:rPr>
              <w:t>1</w:t>
            </w:r>
            <w:r>
              <w:rPr>
                <w:rFonts w:hint="eastAsia"/>
                <w:bCs/>
                <w:kern w:val="0"/>
                <w:sz w:val="24"/>
              </w:rPr>
              <w:t>评价。根据《建设项目环境风险评价技术导则》</w:t>
            </w:r>
            <w:r>
              <w:rPr>
                <w:bCs/>
                <w:kern w:val="0"/>
                <w:sz w:val="24"/>
              </w:rPr>
              <w:t>(HJ169-2018)</w:t>
            </w:r>
            <w:r>
              <w:rPr>
                <w:rFonts w:hint="eastAsia"/>
                <w:bCs/>
                <w:kern w:val="0"/>
                <w:sz w:val="24"/>
              </w:rPr>
              <w:t>附录</w:t>
            </w:r>
            <w:r>
              <w:rPr>
                <w:bCs/>
                <w:kern w:val="0"/>
                <w:sz w:val="24"/>
              </w:rPr>
              <w:t>C</w:t>
            </w:r>
            <w:r>
              <w:rPr>
                <w:rFonts w:hint="eastAsia"/>
                <w:bCs/>
                <w:kern w:val="0"/>
                <w:sz w:val="24"/>
              </w:rPr>
              <w:t>，当</w:t>
            </w:r>
            <w:r>
              <w:rPr>
                <w:bCs/>
                <w:kern w:val="0"/>
                <w:sz w:val="24"/>
              </w:rPr>
              <w:t>Q</w:t>
            </w:r>
            <w:r>
              <w:rPr>
                <w:rFonts w:hint="eastAsia"/>
                <w:bCs/>
                <w:kern w:val="0"/>
                <w:sz w:val="24"/>
              </w:rPr>
              <w:t>＜</w:t>
            </w:r>
            <w:r>
              <w:rPr>
                <w:bCs/>
                <w:kern w:val="0"/>
                <w:sz w:val="24"/>
              </w:rPr>
              <w:t>1</w:t>
            </w:r>
            <w:r>
              <w:rPr>
                <w:rFonts w:hint="eastAsia"/>
                <w:bCs/>
                <w:kern w:val="0"/>
                <w:sz w:val="24"/>
              </w:rPr>
              <w:t>时，该项目环境风险潜势为</w:t>
            </w:r>
            <w:r>
              <w:rPr>
                <w:rFonts w:eastAsia="MS Mincho"/>
                <w:bCs/>
                <w:kern w:val="0"/>
                <w:sz w:val="24"/>
              </w:rPr>
              <w:t>І</w:t>
            </w:r>
            <w:r>
              <w:rPr>
                <w:rFonts w:hint="eastAsia"/>
                <w:bCs/>
                <w:kern w:val="0"/>
                <w:sz w:val="24"/>
              </w:rPr>
              <w:t>。</w:t>
            </w:r>
          </w:p>
          <w:p>
            <w:pPr>
              <w:adjustRightInd w:val="0"/>
              <w:snapToGrid w:val="0"/>
              <w:spacing w:line="360" w:lineRule="auto"/>
              <w:ind w:firstLine="482" w:firstLineChars="200"/>
              <w:rPr>
                <w:b/>
                <w:bCs/>
                <w:kern w:val="0"/>
                <w:sz w:val="24"/>
              </w:rPr>
            </w:pPr>
            <w:r>
              <w:rPr>
                <w:b/>
                <w:bCs/>
                <w:kern w:val="0"/>
                <w:sz w:val="24"/>
              </w:rPr>
              <w:t>(3)</w:t>
            </w:r>
            <w:r>
              <w:rPr>
                <w:b/>
                <w:sz w:val="24"/>
              </w:rPr>
              <w:t>评价等级判定</w:t>
            </w:r>
          </w:p>
          <w:p>
            <w:pPr>
              <w:adjustRightInd w:val="0"/>
              <w:snapToGrid w:val="0"/>
              <w:spacing w:line="360" w:lineRule="auto"/>
              <w:ind w:firstLine="480" w:firstLineChars="200"/>
              <w:rPr>
                <w:bCs/>
                <w:kern w:val="0"/>
                <w:sz w:val="24"/>
              </w:rPr>
            </w:pPr>
            <w:r>
              <w:rPr>
                <w:bCs/>
                <w:kern w:val="0"/>
                <w:sz w:val="24"/>
              </w:rPr>
              <w:t>根据《建设项目环境风险评价技术导则》(HJ169-2018)，环境风险评价工作等级划分见表7-</w:t>
            </w:r>
            <w:r>
              <w:rPr>
                <w:rFonts w:hint="eastAsia"/>
                <w:bCs/>
                <w:kern w:val="0"/>
                <w:sz w:val="24"/>
                <w:lang w:val="en-US"/>
              </w:rPr>
              <w:t>2</w:t>
            </w:r>
            <w:r>
              <w:rPr>
                <w:rFonts w:hint="eastAsia"/>
                <w:bCs/>
                <w:kern w:val="0"/>
                <w:sz w:val="24"/>
                <w:lang w:val="en-US" w:eastAsia="zh-CN"/>
              </w:rPr>
              <w:t>0</w:t>
            </w:r>
            <w:r>
              <w:rPr>
                <w:bCs/>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eastAsia"/>
                <w:b/>
                <w:sz w:val="24"/>
                <w:szCs w:val="24"/>
              </w:rPr>
            </w:pPr>
            <w:r>
              <w:rPr>
                <w:rFonts w:hint="eastAsia"/>
                <w:b/>
                <w:sz w:val="24"/>
                <w:szCs w:val="24"/>
              </w:rPr>
              <w:t>表</w:t>
            </w:r>
            <w:r>
              <w:rPr>
                <w:rFonts w:hint="eastAsia"/>
                <w:b/>
                <w:sz w:val="24"/>
                <w:szCs w:val="24"/>
                <w:lang w:val="en-US"/>
              </w:rPr>
              <w:t>7-2</w:t>
            </w:r>
            <w:r>
              <w:rPr>
                <w:rFonts w:hint="eastAsia"/>
                <w:b/>
                <w:sz w:val="24"/>
                <w:szCs w:val="24"/>
                <w:lang w:val="en-US" w:eastAsia="zh-CN"/>
              </w:rPr>
              <w:t>0</w:t>
            </w:r>
            <w:r>
              <w:rPr>
                <w:rFonts w:hint="eastAsia"/>
                <w:b/>
                <w:sz w:val="24"/>
                <w:szCs w:val="24"/>
              </w:rPr>
              <w:t xml:space="preserve">  评价工作等级划分表</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03"/>
              <w:gridCol w:w="2468"/>
              <w:gridCol w:w="1292"/>
              <w:gridCol w:w="1287"/>
              <w:gridCol w:w="1263"/>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003" w:type="dxa"/>
                  <w:tcBorders>
                    <w:tl2br w:val="nil"/>
                    <w:tr2bl w:val="nil"/>
                  </w:tcBorders>
                  <w:vAlign w:val="center"/>
                </w:tcPr>
                <w:p>
                  <w:pPr>
                    <w:snapToGrid w:val="0"/>
                    <w:spacing w:line="320" w:lineRule="exact"/>
                    <w:jc w:val="center"/>
                    <w:rPr>
                      <w:szCs w:val="21"/>
                    </w:rPr>
                  </w:pPr>
                  <w:r>
                    <w:rPr>
                      <w:szCs w:val="21"/>
                    </w:rPr>
                    <w:t>环境风险潜势</w:t>
                  </w:r>
                </w:p>
              </w:tc>
              <w:tc>
                <w:tcPr>
                  <w:tcW w:w="2468" w:type="dxa"/>
                  <w:tcBorders>
                    <w:tl2br w:val="nil"/>
                    <w:tr2bl w:val="nil"/>
                  </w:tcBorders>
                  <w:vAlign w:val="center"/>
                </w:tcPr>
                <w:p>
                  <w:pPr>
                    <w:snapToGrid w:val="0"/>
                    <w:spacing w:line="320" w:lineRule="exact"/>
                    <w:jc w:val="center"/>
                    <w:rPr>
                      <w:szCs w:val="21"/>
                    </w:rPr>
                  </w:pPr>
                  <w:r>
                    <w:rPr>
                      <w:szCs w:val="21"/>
                    </w:rPr>
                    <w:fldChar w:fldCharType="begin"/>
                  </w:r>
                  <w:r>
                    <w:rPr>
                      <w:szCs w:val="21"/>
                    </w:rPr>
                    <w:instrText xml:space="preserve"> = 4 \* ROMAN </w:instrText>
                  </w:r>
                  <w:r>
                    <w:rPr>
                      <w:szCs w:val="21"/>
                    </w:rPr>
                    <w:fldChar w:fldCharType="separate"/>
                  </w:r>
                  <w:r>
                    <w:rPr>
                      <w:szCs w:val="21"/>
                    </w:rPr>
                    <w:t>IV</w:t>
                  </w:r>
                  <w:r>
                    <w:rPr>
                      <w:szCs w:val="21"/>
                    </w:rPr>
                    <w:fldChar w:fldCharType="end"/>
                  </w:r>
                  <w:r>
                    <w:rPr>
                      <w:szCs w:val="21"/>
                    </w:rPr>
                    <w:t>、</w:t>
                  </w:r>
                  <w:r>
                    <w:rPr>
                      <w:szCs w:val="21"/>
                    </w:rPr>
                    <w:fldChar w:fldCharType="begin"/>
                  </w:r>
                  <w:r>
                    <w:rPr>
                      <w:szCs w:val="21"/>
                    </w:rPr>
                    <w:instrText xml:space="preserve"> = 4 \* ROMAN </w:instrText>
                  </w:r>
                  <w:r>
                    <w:rPr>
                      <w:szCs w:val="21"/>
                    </w:rPr>
                    <w:fldChar w:fldCharType="separate"/>
                  </w:r>
                  <w:r>
                    <w:rPr>
                      <w:szCs w:val="21"/>
                    </w:rPr>
                    <w:t>IV</w:t>
                  </w:r>
                  <w:r>
                    <w:rPr>
                      <w:szCs w:val="21"/>
                    </w:rPr>
                    <w:fldChar w:fldCharType="end"/>
                  </w:r>
                  <w:r>
                    <w:rPr>
                      <w:szCs w:val="21"/>
                      <w:vertAlign w:val="superscript"/>
                    </w:rPr>
                    <w:t>+</w:t>
                  </w:r>
                </w:p>
              </w:tc>
              <w:tc>
                <w:tcPr>
                  <w:tcW w:w="1292" w:type="dxa"/>
                  <w:tcBorders>
                    <w:tl2br w:val="nil"/>
                    <w:tr2bl w:val="nil"/>
                  </w:tcBorders>
                  <w:vAlign w:val="center"/>
                </w:tcPr>
                <w:p>
                  <w:pPr>
                    <w:snapToGrid w:val="0"/>
                    <w:spacing w:line="320" w:lineRule="exact"/>
                    <w:jc w:val="center"/>
                    <w:rPr>
                      <w:szCs w:val="21"/>
                    </w:rPr>
                  </w:pPr>
                  <w:r>
                    <w:rPr>
                      <w:szCs w:val="21"/>
                    </w:rPr>
                    <w:fldChar w:fldCharType="begin"/>
                  </w:r>
                  <w:r>
                    <w:rPr>
                      <w:szCs w:val="21"/>
                    </w:rPr>
                    <w:instrText xml:space="preserve"> = 3 \* ROMAN </w:instrText>
                  </w:r>
                  <w:r>
                    <w:rPr>
                      <w:szCs w:val="21"/>
                    </w:rPr>
                    <w:fldChar w:fldCharType="separate"/>
                  </w:r>
                  <w:r>
                    <w:rPr>
                      <w:szCs w:val="21"/>
                    </w:rPr>
                    <w:t>III</w:t>
                  </w:r>
                  <w:r>
                    <w:rPr>
                      <w:szCs w:val="21"/>
                    </w:rPr>
                    <w:fldChar w:fldCharType="end"/>
                  </w:r>
                </w:p>
              </w:tc>
              <w:tc>
                <w:tcPr>
                  <w:tcW w:w="1287" w:type="dxa"/>
                  <w:tcBorders>
                    <w:tl2br w:val="nil"/>
                    <w:tr2bl w:val="nil"/>
                  </w:tcBorders>
                  <w:vAlign w:val="center"/>
                </w:tcPr>
                <w:p>
                  <w:pPr>
                    <w:snapToGrid w:val="0"/>
                    <w:spacing w:line="320" w:lineRule="exact"/>
                    <w:jc w:val="center"/>
                    <w:rPr>
                      <w:szCs w:val="21"/>
                    </w:rPr>
                  </w:pPr>
                  <w:r>
                    <w:rPr>
                      <w:szCs w:val="21"/>
                    </w:rPr>
                    <w:fldChar w:fldCharType="begin"/>
                  </w:r>
                  <w:r>
                    <w:rPr>
                      <w:szCs w:val="21"/>
                    </w:rPr>
                    <w:instrText xml:space="preserve"> = 2 \* ROMAN </w:instrText>
                  </w:r>
                  <w:r>
                    <w:rPr>
                      <w:szCs w:val="21"/>
                    </w:rPr>
                    <w:fldChar w:fldCharType="separate"/>
                  </w:r>
                  <w:r>
                    <w:rPr>
                      <w:szCs w:val="21"/>
                    </w:rPr>
                    <w:t>II</w:t>
                  </w:r>
                  <w:r>
                    <w:rPr>
                      <w:szCs w:val="21"/>
                    </w:rPr>
                    <w:fldChar w:fldCharType="end"/>
                  </w:r>
                </w:p>
              </w:tc>
              <w:tc>
                <w:tcPr>
                  <w:tcW w:w="1263" w:type="dxa"/>
                  <w:tcBorders>
                    <w:tl2br w:val="nil"/>
                    <w:tr2bl w:val="nil"/>
                  </w:tcBorders>
                </w:tcPr>
                <w:p>
                  <w:pPr>
                    <w:snapToGrid w:val="0"/>
                    <w:spacing w:line="320" w:lineRule="exact"/>
                    <w:jc w:val="center"/>
                    <w:rPr>
                      <w:szCs w:val="21"/>
                    </w:rPr>
                  </w:pPr>
                  <w:r>
                    <w:rPr>
                      <w:szCs w:val="21"/>
                    </w:rPr>
                    <w:fldChar w:fldCharType="begin"/>
                  </w:r>
                  <w:r>
                    <w:rPr>
                      <w:szCs w:val="21"/>
                    </w:rPr>
                    <w:instrText xml:space="preserve"> = 1 \* ROMAN </w:instrText>
                  </w:r>
                  <w:r>
                    <w:rPr>
                      <w:szCs w:val="21"/>
                    </w:rPr>
                    <w:fldChar w:fldCharType="separate"/>
                  </w:r>
                  <w:r>
                    <w:rPr>
                      <w:szCs w:val="21"/>
                    </w:rPr>
                    <w:t>I</w:t>
                  </w:r>
                  <w:r>
                    <w:rPr>
                      <w:szCs w:val="21"/>
                    </w:rPr>
                    <w:fldChar w:fldCharType="end"/>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003" w:type="dxa"/>
                  <w:tcBorders>
                    <w:tl2br w:val="nil"/>
                    <w:tr2bl w:val="nil"/>
                  </w:tcBorders>
                  <w:vAlign w:val="center"/>
                </w:tcPr>
                <w:p>
                  <w:pPr>
                    <w:snapToGrid w:val="0"/>
                    <w:spacing w:line="320" w:lineRule="exact"/>
                    <w:jc w:val="center"/>
                    <w:rPr>
                      <w:szCs w:val="21"/>
                    </w:rPr>
                  </w:pPr>
                  <w:r>
                    <w:rPr>
                      <w:szCs w:val="21"/>
                    </w:rPr>
                    <w:t>评价工作等级</w:t>
                  </w:r>
                </w:p>
              </w:tc>
              <w:tc>
                <w:tcPr>
                  <w:tcW w:w="2468" w:type="dxa"/>
                  <w:tcBorders>
                    <w:tl2br w:val="nil"/>
                    <w:tr2bl w:val="nil"/>
                  </w:tcBorders>
                  <w:vAlign w:val="center"/>
                </w:tcPr>
                <w:p>
                  <w:pPr>
                    <w:snapToGrid w:val="0"/>
                    <w:spacing w:line="320" w:lineRule="exact"/>
                    <w:jc w:val="center"/>
                    <w:rPr>
                      <w:szCs w:val="21"/>
                    </w:rPr>
                  </w:pPr>
                  <w:r>
                    <w:rPr>
                      <w:szCs w:val="21"/>
                    </w:rPr>
                    <w:t>一</w:t>
                  </w:r>
                </w:p>
              </w:tc>
              <w:tc>
                <w:tcPr>
                  <w:tcW w:w="1292" w:type="dxa"/>
                  <w:tcBorders>
                    <w:tl2br w:val="nil"/>
                    <w:tr2bl w:val="nil"/>
                  </w:tcBorders>
                  <w:vAlign w:val="center"/>
                </w:tcPr>
                <w:p>
                  <w:pPr>
                    <w:snapToGrid w:val="0"/>
                    <w:spacing w:line="320" w:lineRule="exact"/>
                    <w:jc w:val="center"/>
                    <w:rPr>
                      <w:szCs w:val="21"/>
                    </w:rPr>
                  </w:pPr>
                  <w:r>
                    <w:rPr>
                      <w:szCs w:val="21"/>
                    </w:rPr>
                    <w:t>二</w:t>
                  </w:r>
                </w:p>
              </w:tc>
              <w:tc>
                <w:tcPr>
                  <w:tcW w:w="1287" w:type="dxa"/>
                  <w:tcBorders>
                    <w:tl2br w:val="nil"/>
                    <w:tr2bl w:val="nil"/>
                  </w:tcBorders>
                  <w:vAlign w:val="center"/>
                </w:tcPr>
                <w:p>
                  <w:pPr>
                    <w:snapToGrid w:val="0"/>
                    <w:spacing w:line="320" w:lineRule="exact"/>
                    <w:jc w:val="center"/>
                    <w:rPr>
                      <w:szCs w:val="21"/>
                    </w:rPr>
                  </w:pPr>
                  <w:r>
                    <w:rPr>
                      <w:szCs w:val="21"/>
                    </w:rPr>
                    <w:t>三</w:t>
                  </w:r>
                </w:p>
              </w:tc>
              <w:tc>
                <w:tcPr>
                  <w:tcW w:w="1263" w:type="dxa"/>
                  <w:tcBorders>
                    <w:tl2br w:val="nil"/>
                    <w:tr2bl w:val="nil"/>
                  </w:tcBorders>
                </w:tcPr>
                <w:p>
                  <w:pPr>
                    <w:snapToGrid w:val="0"/>
                    <w:spacing w:line="320" w:lineRule="exact"/>
                    <w:jc w:val="center"/>
                    <w:rPr>
                      <w:szCs w:val="21"/>
                    </w:rPr>
                  </w:pPr>
                  <w:r>
                    <w:rPr>
                      <w:szCs w:val="21"/>
                    </w:rPr>
                    <w:t>简单分析a</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313" w:type="dxa"/>
                  <w:gridSpan w:val="5"/>
                  <w:tcBorders>
                    <w:tl2br w:val="nil"/>
                    <w:tr2bl w:val="nil"/>
                  </w:tcBorders>
                  <w:vAlign w:val="center"/>
                </w:tcPr>
                <w:p>
                  <w:pPr>
                    <w:snapToGrid w:val="0"/>
                    <w:spacing w:line="320" w:lineRule="exact"/>
                    <w:rPr>
                      <w:szCs w:val="21"/>
                    </w:rPr>
                  </w:pPr>
                  <w:r>
                    <w:rPr>
                      <w:szCs w:val="21"/>
                    </w:rPr>
                    <w:t>a 是相对于详细评价工作内容而言，在描述危险物质、环境影响途径、环境危害后果、风险防范措施等方面给出定性的说明。见附录A。</w:t>
                  </w:r>
                </w:p>
              </w:tc>
            </w:tr>
          </w:tbl>
          <w:p>
            <w:pPr>
              <w:adjustRightInd w:val="0"/>
              <w:snapToGrid w:val="0"/>
              <w:spacing w:line="360" w:lineRule="auto"/>
              <w:ind w:firstLine="480" w:firstLineChars="200"/>
              <w:rPr>
                <w:bCs/>
                <w:kern w:val="0"/>
                <w:sz w:val="24"/>
                <w:szCs w:val="24"/>
              </w:rPr>
            </w:pPr>
            <w:r>
              <w:rPr>
                <w:bCs/>
                <w:kern w:val="0"/>
                <w:sz w:val="24"/>
                <w:szCs w:val="24"/>
              </w:rPr>
              <w:t>本项目环境风险潜势为</w:t>
            </w:r>
            <w:r>
              <w:rPr>
                <w:rFonts w:eastAsia="MS Mincho"/>
                <w:bCs/>
                <w:kern w:val="0"/>
                <w:sz w:val="24"/>
                <w:szCs w:val="24"/>
              </w:rPr>
              <w:t>І</w:t>
            </w:r>
            <w:r>
              <w:rPr>
                <w:bCs/>
                <w:kern w:val="0"/>
                <w:sz w:val="24"/>
                <w:szCs w:val="24"/>
              </w:rPr>
              <w:t>，环境风险评价等级为：简单分析。</w:t>
            </w:r>
          </w:p>
          <w:p>
            <w:pPr>
              <w:tabs>
                <w:tab w:val="left" w:pos="4775"/>
              </w:tabs>
              <w:adjustRightInd w:val="0"/>
              <w:snapToGrid w:val="0"/>
              <w:spacing w:line="360" w:lineRule="auto"/>
              <w:ind w:firstLine="482" w:firstLineChars="200"/>
              <w:rPr>
                <w:b/>
                <w:spacing w:val="-4"/>
                <w:sz w:val="24"/>
                <w:szCs w:val="24"/>
              </w:rPr>
            </w:pPr>
            <w:r>
              <w:rPr>
                <w:rFonts w:hint="eastAsia"/>
                <w:b/>
                <w:bCs/>
                <w:sz w:val="24"/>
                <w:szCs w:val="24"/>
              </w:rPr>
              <w:t>（</w:t>
            </w:r>
            <w:r>
              <w:rPr>
                <w:b/>
                <w:bCs/>
                <w:sz w:val="24"/>
                <w:szCs w:val="24"/>
                <w:lang w:val="en-US"/>
              </w:rPr>
              <w:t>4</w:t>
            </w:r>
            <w:r>
              <w:rPr>
                <w:rFonts w:hint="eastAsia"/>
                <w:b/>
                <w:bCs/>
                <w:sz w:val="24"/>
                <w:szCs w:val="24"/>
              </w:rPr>
              <w:t>）</w:t>
            </w:r>
            <w:r>
              <w:rPr>
                <w:rFonts w:hint="eastAsia"/>
                <w:b/>
                <w:spacing w:val="-4"/>
                <w:sz w:val="24"/>
                <w:szCs w:val="24"/>
              </w:rPr>
              <w:t>环境风险分析</w:t>
            </w:r>
          </w:p>
          <w:p>
            <w:pPr>
              <w:widowControl/>
              <w:spacing w:line="360" w:lineRule="auto"/>
              <w:ind w:firstLine="480" w:firstLineChars="200"/>
              <w:rPr>
                <w:bCs/>
                <w:kern w:val="0"/>
                <w:sz w:val="24"/>
              </w:rPr>
            </w:pPr>
            <w:bookmarkStart w:id="57" w:name="_Toc133826382"/>
            <w:bookmarkStart w:id="58" w:name="_Toc141950463"/>
            <w:bookmarkStart w:id="59" w:name="_Toc132111701"/>
            <w:bookmarkStart w:id="60" w:name="_Toc141948810"/>
            <w:bookmarkStart w:id="61" w:name="_Toc141952408"/>
            <w:r>
              <w:rPr>
                <w:rFonts w:hint="eastAsia"/>
                <w:bCs/>
                <w:kern w:val="0"/>
                <w:sz w:val="24"/>
              </w:rPr>
              <w:t>①泄漏风险分析</w:t>
            </w:r>
          </w:p>
          <w:p>
            <w:pPr>
              <w:widowControl/>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kern w:val="0"/>
                <w:sz w:val="24"/>
              </w:rPr>
              <w:t>环境风险原因分析</w:t>
            </w:r>
            <w:r>
              <w:rPr>
                <w:rFonts w:asciiTheme="minorEastAsia" w:hAnsiTheme="minorEastAsia" w:eastAsiaTheme="minorEastAsia"/>
                <w:bCs/>
                <w:kern w:val="0"/>
                <w:sz w:val="24"/>
              </w:rPr>
              <w:t>:本项目为</w:t>
            </w:r>
            <w:r>
              <w:rPr>
                <w:rFonts w:hint="eastAsia" w:asciiTheme="minorEastAsia" w:hAnsiTheme="minorEastAsia" w:eastAsiaTheme="minorEastAsia"/>
                <w:bCs/>
                <w:kern w:val="0"/>
                <w:sz w:val="24"/>
                <w:lang w:eastAsia="zh-CN"/>
              </w:rPr>
              <w:t>陶瓷制品的制造</w:t>
            </w:r>
            <w:r>
              <w:rPr>
                <w:rFonts w:asciiTheme="minorEastAsia" w:hAnsiTheme="minorEastAsia" w:eastAsiaTheme="minorEastAsia"/>
                <w:bCs/>
                <w:kern w:val="0"/>
                <w:sz w:val="24"/>
              </w:rPr>
              <w:t>，其环境风险本身具有不确定性，主要是管道天然气可能发生的泄漏风险，主要原因是管线缺陷、焊缝开裂基础工程不合格、管道腐蚀违规操作、自然灾害等，若有上述事故发生，则会危及人身安全、污染周围空气等影响，最好的办法就是采取预防措施。</w:t>
            </w:r>
          </w:p>
          <w:bookmarkEnd w:id="57"/>
          <w:bookmarkEnd w:id="58"/>
          <w:bookmarkEnd w:id="59"/>
          <w:bookmarkEnd w:id="60"/>
          <w:bookmarkEnd w:id="61"/>
          <w:p>
            <w:pPr>
              <w:snapToGrid w:val="0"/>
              <w:spacing w:line="360" w:lineRule="auto"/>
              <w:ind w:firstLine="482" w:firstLineChars="200"/>
              <w:rPr>
                <w:b/>
                <w:sz w:val="24"/>
              </w:rPr>
            </w:pPr>
            <w:r>
              <w:rPr>
                <w:rFonts w:hint="eastAsia"/>
                <w:b/>
                <w:sz w:val="24"/>
              </w:rPr>
              <w:t>（</w:t>
            </w:r>
            <w:r>
              <w:rPr>
                <w:rFonts w:hint="eastAsia"/>
                <w:b/>
                <w:sz w:val="24"/>
                <w:lang w:val="en-US"/>
              </w:rPr>
              <w:t>5</w:t>
            </w:r>
            <w:r>
              <w:rPr>
                <w:rFonts w:hint="eastAsia"/>
                <w:b/>
                <w:sz w:val="24"/>
              </w:rPr>
              <w:t>）</w:t>
            </w:r>
            <w:r>
              <w:rPr>
                <w:b/>
                <w:sz w:val="24"/>
              </w:rPr>
              <w:t>环境风险防范措施及应急要求</w:t>
            </w:r>
          </w:p>
          <w:p>
            <w:pPr>
              <w:widowControl/>
              <w:spacing w:line="360" w:lineRule="auto"/>
              <w:ind w:firstLine="480" w:firstLineChars="200"/>
              <w:rPr>
                <w:bCs/>
                <w:kern w:val="0"/>
                <w:sz w:val="24"/>
              </w:rPr>
            </w:pPr>
            <w:r>
              <w:rPr>
                <w:rFonts w:hint="eastAsia"/>
                <w:bCs/>
                <w:kern w:val="0"/>
                <w:sz w:val="24"/>
              </w:rPr>
              <w:t>①</w:t>
            </w:r>
            <w:r>
              <w:rPr>
                <w:bCs/>
                <w:kern w:val="0"/>
                <w:sz w:val="24"/>
              </w:rPr>
              <w:t>物料泄露事故防范措施</w:t>
            </w:r>
          </w:p>
          <w:p>
            <w:pPr>
              <w:widowControl/>
              <w:spacing w:line="360" w:lineRule="auto"/>
              <w:ind w:firstLine="480" w:firstLineChars="200"/>
              <w:rPr>
                <w:bCs/>
                <w:kern w:val="0"/>
                <w:sz w:val="24"/>
              </w:rPr>
            </w:pPr>
            <w:r>
              <w:rPr>
                <w:bCs/>
                <w:kern w:val="0"/>
                <w:sz w:val="24"/>
              </w:rPr>
              <w:t>1.</w:t>
            </w:r>
            <w:r>
              <w:rPr>
                <w:rFonts w:hint="eastAsia"/>
                <w:bCs/>
                <w:kern w:val="0"/>
                <w:sz w:val="24"/>
              </w:rPr>
              <w:t>加强管理工作，建立完善安全管理规章制度和安全操作规程，严格执行安全和消防规范。车间内设置消防通道，以利于消防和疏散；</w:t>
            </w:r>
          </w:p>
          <w:p>
            <w:pPr>
              <w:widowControl/>
              <w:spacing w:line="360" w:lineRule="auto"/>
              <w:ind w:firstLine="480" w:firstLineChars="200"/>
              <w:rPr>
                <w:bCs/>
                <w:kern w:val="0"/>
                <w:sz w:val="24"/>
              </w:rPr>
            </w:pPr>
            <w:r>
              <w:rPr>
                <w:bCs/>
                <w:kern w:val="0"/>
                <w:sz w:val="24"/>
              </w:rPr>
              <w:t>2.</w:t>
            </w:r>
            <w:r>
              <w:rPr>
                <w:rFonts w:hint="eastAsia"/>
                <w:bCs/>
                <w:kern w:val="0"/>
                <w:sz w:val="24"/>
              </w:rPr>
              <w:t>厂区加强通风，避免死角造成有害物质的聚集；</w:t>
            </w:r>
          </w:p>
          <w:p>
            <w:pPr>
              <w:widowControl/>
              <w:spacing w:line="360" w:lineRule="auto"/>
              <w:ind w:firstLine="480" w:firstLineChars="200"/>
              <w:rPr>
                <w:bCs/>
                <w:kern w:val="0"/>
                <w:sz w:val="24"/>
              </w:rPr>
            </w:pPr>
            <w:r>
              <w:rPr>
                <w:bCs/>
                <w:kern w:val="0"/>
                <w:sz w:val="24"/>
              </w:rPr>
              <w:t>3.</w:t>
            </w:r>
            <w:r>
              <w:rPr>
                <w:rFonts w:hint="eastAsia"/>
                <w:bCs/>
                <w:kern w:val="0"/>
                <w:sz w:val="24"/>
              </w:rPr>
              <w:t>针对天然气使用制定安全条例，严禁靠近明火；</w:t>
            </w:r>
          </w:p>
          <w:p>
            <w:pPr>
              <w:widowControl/>
              <w:spacing w:line="360" w:lineRule="auto"/>
              <w:ind w:firstLine="480" w:firstLineChars="200"/>
              <w:rPr>
                <w:bCs/>
                <w:kern w:val="0"/>
                <w:sz w:val="24"/>
                <w:lang w:val="en-US"/>
              </w:rPr>
            </w:pPr>
            <w:r>
              <w:rPr>
                <w:bCs/>
                <w:kern w:val="0"/>
                <w:sz w:val="24"/>
                <w:lang w:val="en-US"/>
              </w:rPr>
              <w:t>4.</w:t>
            </w:r>
            <w:r>
              <w:rPr>
                <w:rFonts w:hint="eastAsia"/>
                <w:bCs/>
                <w:kern w:val="0"/>
                <w:sz w:val="24"/>
                <w:lang w:val="en-US"/>
              </w:rPr>
              <w:t>设置可燃气体泄漏检测报警装置，厂区配备灭火器以及消防栓等消防设备，以利于自动预警和给湿组装灭火扑救；</w:t>
            </w:r>
          </w:p>
          <w:p>
            <w:pPr>
              <w:adjustRightInd w:val="0"/>
              <w:snapToGrid w:val="0"/>
              <w:spacing w:line="360" w:lineRule="auto"/>
              <w:ind w:firstLine="480" w:firstLineChars="200"/>
              <w:rPr>
                <w:b/>
                <w:sz w:val="24"/>
              </w:rPr>
            </w:pPr>
            <w:r>
              <w:rPr>
                <w:bCs/>
                <w:kern w:val="0"/>
                <w:sz w:val="24"/>
              </w:rPr>
              <w:t>5.</w:t>
            </w:r>
            <w:r>
              <w:rPr>
                <w:rFonts w:hint="eastAsia"/>
                <w:bCs/>
                <w:kern w:val="0"/>
                <w:sz w:val="24"/>
              </w:rPr>
              <w:t>结合消防等专业制定事故应急预案，一旦发生事故后能够及时采取有效措施进行科学处置，将事故破坏降至最低限度。同时考虑各种处置方案的科学合理性以及有效性。</w:t>
            </w:r>
          </w:p>
          <w:p>
            <w:pPr>
              <w:adjustRightInd w:val="0"/>
              <w:snapToGrid w:val="0"/>
              <w:spacing w:line="360" w:lineRule="auto"/>
              <w:ind w:firstLine="482" w:firstLineChars="200"/>
              <w:rPr>
                <w:b/>
                <w:sz w:val="24"/>
              </w:rPr>
            </w:pPr>
            <w:r>
              <w:rPr>
                <w:rFonts w:hint="eastAsia"/>
                <w:b/>
                <w:sz w:val="24"/>
              </w:rPr>
              <w:t>（</w:t>
            </w:r>
            <w:r>
              <w:rPr>
                <w:rFonts w:hint="eastAsia"/>
                <w:b/>
                <w:sz w:val="24"/>
                <w:lang w:val="en-US"/>
              </w:rPr>
              <w:t>6</w:t>
            </w:r>
            <w:r>
              <w:rPr>
                <w:rFonts w:hint="eastAsia"/>
                <w:b/>
                <w:sz w:val="24"/>
              </w:rPr>
              <w:t>）</w:t>
            </w:r>
            <w:r>
              <w:rPr>
                <w:b/>
                <w:sz w:val="24"/>
              </w:rPr>
              <w:t>分析结论</w:t>
            </w:r>
          </w:p>
          <w:p>
            <w:pPr>
              <w:pStyle w:val="268"/>
              <w:ind w:firstLine="480"/>
              <w:rPr>
                <w:rFonts w:ascii="Times New Roman" w:hAnsi="Times New Roman"/>
              </w:rPr>
            </w:pPr>
            <w:r>
              <w:rPr>
                <w:rFonts w:hint="eastAsia" w:ascii="Times New Roman" w:hAnsi="Times New Roman"/>
              </w:rPr>
              <w:t>本项目通过制定风险防范措施，制定安全生产规范，通过加强员工的安全、环保知识和风险事故安全教育，提高职工的风险意识，以减少风险发生的概率。其次通过加强对环保处理设施的维护，确保降低天然气输送管道设施故障降低。</w:t>
            </w:r>
          </w:p>
          <w:p>
            <w:pPr>
              <w:spacing w:line="360" w:lineRule="auto"/>
              <w:ind w:firstLine="480" w:firstLineChars="200"/>
              <w:rPr>
                <w:b/>
                <w:sz w:val="24"/>
              </w:rPr>
            </w:pPr>
            <w:r>
              <w:rPr>
                <w:rFonts w:hint="eastAsia"/>
                <w:sz w:val="24"/>
                <w:szCs w:val="24"/>
              </w:rPr>
              <w:t>因此，本项目通过落实上述风险防范措施，其发生概率可进一步降低，其影响可以进一步减轻，环境风险是可以承受的。建设项目环境风险简单分析内</w:t>
            </w:r>
            <w:r>
              <w:rPr>
                <w:sz w:val="24"/>
                <w:szCs w:val="24"/>
              </w:rPr>
              <w:t>容表见表</w:t>
            </w:r>
            <w:r>
              <w:rPr>
                <w:rFonts w:hint="eastAsia"/>
                <w:sz w:val="24"/>
                <w:szCs w:val="24"/>
              </w:rPr>
              <w:t>7-2</w:t>
            </w:r>
            <w:r>
              <w:rPr>
                <w:rFonts w:hint="eastAsia"/>
                <w:sz w:val="24"/>
                <w:szCs w:val="24"/>
                <w:lang w:val="en-US" w:eastAsia="zh-CN"/>
              </w:rPr>
              <w:t>1</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eastAsia"/>
                <w:b/>
                <w:sz w:val="24"/>
                <w:szCs w:val="24"/>
                <w:lang w:val="en-US"/>
              </w:rPr>
            </w:pPr>
            <w:r>
              <w:rPr>
                <w:rFonts w:hint="eastAsia"/>
                <w:b/>
                <w:sz w:val="24"/>
                <w:szCs w:val="24"/>
                <w:lang w:val="en-US"/>
              </w:rPr>
              <w:t>表7-2</w:t>
            </w:r>
            <w:r>
              <w:rPr>
                <w:rFonts w:hint="eastAsia"/>
                <w:b/>
                <w:sz w:val="24"/>
                <w:szCs w:val="24"/>
                <w:lang w:val="en-US" w:eastAsia="zh-CN"/>
              </w:rPr>
              <w:t>1</w:t>
            </w:r>
            <w:r>
              <w:rPr>
                <w:rFonts w:hint="eastAsia"/>
                <w:b/>
                <w:sz w:val="24"/>
                <w:szCs w:val="24"/>
                <w:lang w:val="en-US"/>
              </w:rPr>
              <w:t xml:space="preserve">  建设项目环境风险简单分析内容表</w:t>
            </w:r>
          </w:p>
          <w:tbl>
            <w:tblPr>
              <w:tblStyle w:val="75"/>
              <w:tblW w:w="8282"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2537"/>
              <w:gridCol w:w="632"/>
              <w:gridCol w:w="1704"/>
              <w:gridCol w:w="1008"/>
              <w:gridCol w:w="876"/>
              <w:gridCol w:w="1525"/>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2537" w:type="dxa"/>
                  <w:tcBorders>
                    <w:tl2br w:val="nil"/>
                    <w:tr2bl w:val="nil"/>
                  </w:tcBorders>
                  <w:vAlign w:val="center"/>
                </w:tcPr>
                <w:p>
                  <w:pPr>
                    <w:widowControl/>
                    <w:jc w:val="center"/>
                    <w:rPr>
                      <w:bCs/>
                      <w:kern w:val="0"/>
                      <w:szCs w:val="21"/>
                    </w:rPr>
                  </w:pPr>
                  <w:r>
                    <w:rPr>
                      <w:bCs/>
                      <w:kern w:val="0"/>
                      <w:szCs w:val="21"/>
                    </w:rPr>
                    <w:t>建设项目名称</w:t>
                  </w:r>
                </w:p>
              </w:tc>
              <w:tc>
                <w:tcPr>
                  <w:tcW w:w="5745" w:type="dxa"/>
                  <w:gridSpan w:val="5"/>
                  <w:tcBorders>
                    <w:tl2br w:val="nil"/>
                    <w:tr2bl w:val="nil"/>
                  </w:tcBorders>
                  <w:vAlign w:val="center"/>
                </w:tcPr>
                <w:p>
                  <w:pPr>
                    <w:widowControl/>
                    <w:jc w:val="center"/>
                    <w:rPr>
                      <w:rFonts w:hint="eastAsia" w:eastAsia="宋体"/>
                      <w:szCs w:val="21"/>
                      <w:lang w:eastAsia="zh-CN"/>
                    </w:rPr>
                  </w:pPr>
                  <w:r>
                    <w:rPr>
                      <w:rFonts w:hint="eastAsia"/>
                      <w:szCs w:val="21"/>
                      <w:lang w:val="en-US" w:eastAsia="zh-CN"/>
                    </w:rPr>
                    <w:t>陶瓷制品的制造</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2537" w:type="dxa"/>
                  <w:tcBorders>
                    <w:tl2br w:val="nil"/>
                    <w:tr2bl w:val="nil"/>
                  </w:tcBorders>
                  <w:vAlign w:val="center"/>
                </w:tcPr>
                <w:p>
                  <w:pPr>
                    <w:widowControl/>
                    <w:jc w:val="center"/>
                    <w:rPr>
                      <w:bCs/>
                      <w:kern w:val="0"/>
                      <w:szCs w:val="21"/>
                    </w:rPr>
                  </w:pPr>
                  <w:r>
                    <w:rPr>
                      <w:bCs/>
                      <w:kern w:val="0"/>
                      <w:szCs w:val="21"/>
                    </w:rPr>
                    <w:t>建设地点</w:t>
                  </w:r>
                </w:p>
              </w:tc>
              <w:tc>
                <w:tcPr>
                  <w:tcW w:w="632" w:type="dxa"/>
                  <w:tcBorders>
                    <w:tl2br w:val="nil"/>
                    <w:tr2bl w:val="nil"/>
                  </w:tcBorders>
                  <w:vAlign w:val="center"/>
                </w:tcPr>
                <w:p>
                  <w:pPr>
                    <w:widowControl/>
                    <w:jc w:val="center"/>
                    <w:rPr>
                      <w:bCs/>
                      <w:kern w:val="0"/>
                      <w:szCs w:val="21"/>
                    </w:rPr>
                  </w:pPr>
                  <w:r>
                    <w:rPr>
                      <w:bCs/>
                      <w:kern w:val="0"/>
                      <w:szCs w:val="21"/>
                    </w:rPr>
                    <w:t>(江苏)省</w:t>
                  </w:r>
                </w:p>
              </w:tc>
              <w:tc>
                <w:tcPr>
                  <w:tcW w:w="1704" w:type="dxa"/>
                  <w:tcBorders>
                    <w:tl2br w:val="nil"/>
                    <w:tr2bl w:val="nil"/>
                  </w:tcBorders>
                  <w:vAlign w:val="center"/>
                </w:tcPr>
                <w:p>
                  <w:pPr>
                    <w:widowControl/>
                    <w:jc w:val="center"/>
                    <w:rPr>
                      <w:bCs/>
                      <w:kern w:val="0"/>
                      <w:szCs w:val="21"/>
                    </w:rPr>
                  </w:pPr>
                  <w:r>
                    <w:rPr>
                      <w:bCs/>
                      <w:kern w:val="0"/>
                      <w:szCs w:val="21"/>
                    </w:rPr>
                    <w:t>(无锡)市</w:t>
                  </w:r>
                </w:p>
              </w:tc>
              <w:tc>
                <w:tcPr>
                  <w:tcW w:w="1008" w:type="dxa"/>
                  <w:tcBorders>
                    <w:tl2br w:val="nil"/>
                    <w:tr2bl w:val="nil"/>
                  </w:tcBorders>
                  <w:vAlign w:val="center"/>
                </w:tcPr>
                <w:p>
                  <w:pPr>
                    <w:widowControl/>
                    <w:jc w:val="center"/>
                    <w:rPr>
                      <w:bCs/>
                      <w:kern w:val="0"/>
                      <w:szCs w:val="21"/>
                    </w:rPr>
                  </w:pPr>
                  <w:r>
                    <w:rPr>
                      <w:bCs/>
                      <w:kern w:val="0"/>
                      <w:szCs w:val="21"/>
                    </w:rPr>
                    <w:t>(</w:t>
                  </w:r>
                  <w:r>
                    <w:rPr>
                      <w:rFonts w:hint="eastAsia"/>
                      <w:bCs/>
                      <w:kern w:val="0"/>
                      <w:szCs w:val="21"/>
                      <w:lang w:val="en-US"/>
                    </w:rPr>
                    <w:t>/</w:t>
                  </w:r>
                  <w:r>
                    <w:rPr>
                      <w:bCs/>
                      <w:kern w:val="0"/>
                      <w:szCs w:val="21"/>
                    </w:rPr>
                    <w:t>)区</w:t>
                  </w:r>
                </w:p>
              </w:tc>
              <w:tc>
                <w:tcPr>
                  <w:tcW w:w="876" w:type="dxa"/>
                  <w:tcBorders>
                    <w:tl2br w:val="nil"/>
                    <w:tr2bl w:val="nil"/>
                  </w:tcBorders>
                  <w:vAlign w:val="center"/>
                </w:tcPr>
                <w:p>
                  <w:pPr>
                    <w:widowControl/>
                    <w:jc w:val="center"/>
                    <w:rPr>
                      <w:bCs/>
                      <w:kern w:val="0"/>
                      <w:szCs w:val="21"/>
                    </w:rPr>
                  </w:pPr>
                  <w:r>
                    <w:rPr>
                      <w:rFonts w:hint="eastAsia"/>
                      <w:bCs/>
                      <w:kern w:val="0"/>
                      <w:szCs w:val="21"/>
                    </w:rPr>
                    <w:t>（宜兴</w:t>
                  </w:r>
                  <w:r>
                    <w:rPr>
                      <w:bCs/>
                      <w:kern w:val="0"/>
                      <w:szCs w:val="21"/>
                    </w:rPr>
                    <w:t>)县</w:t>
                  </w:r>
                </w:p>
              </w:tc>
              <w:tc>
                <w:tcPr>
                  <w:tcW w:w="1525" w:type="dxa"/>
                  <w:tcBorders>
                    <w:tl2br w:val="nil"/>
                    <w:tr2bl w:val="nil"/>
                  </w:tcBorders>
                  <w:vAlign w:val="center"/>
                </w:tcPr>
                <w:p>
                  <w:pPr>
                    <w:widowControl/>
                    <w:jc w:val="center"/>
                    <w:rPr>
                      <w:bCs/>
                      <w:kern w:val="0"/>
                      <w:szCs w:val="21"/>
                    </w:rPr>
                  </w:pPr>
                  <w:r>
                    <w:rPr>
                      <w:bCs/>
                      <w:kern w:val="0"/>
                      <w:szCs w:val="21"/>
                    </w:rPr>
                    <w:t>(</w:t>
                  </w:r>
                  <w:r>
                    <w:rPr>
                      <w:rFonts w:hint="eastAsia"/>
                      <w:bCs/>
                      <w:kern w:val="0"/>
                      <w:szCs w:val="21"/>
                      <w:lang w:val="en-US"/>
                    </w:rPr>
                    <w:t>陶瓷产业</w:t>
                  </w:r>
                  <w:r>
                    <w:rPr>
                      <w:rFonts w:hint="eastAsia"/>
                      <w:bCs/>
                      <w:kern w:val="0"/>
                      <w:szCs w:val="21"/>
                    </w:rPr>
                    <w:t>）</w:t>
                  </w:r>
                  <w:r>
                    <w:rPr>
                      <w:bCs/>
                      <w:kern w:val="0"/>
                      <w:szCs w:val="21"/>
                    </w:rPr>
                    <w:t>园区</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2537" w:type="dxa"/>
                  <w:tcBorders>
                    <w:tl2br w:val="nil"/>
                    <w:tr2bl w:val="nil"/>
                  </w:tcBorders>
                  <w:vAlign w:val="center"/>
                </w:tcPr>
                <w:p>
                  <w:pPr>
                    <w:widowControl/>
                    <w:jc w:val="center"/>
                    <w:rPr>
                      <w:bCs/>
                      <w:kern w:val="0"/>
                      <w:szCs w:val="21"/>
                    </w:rPr>
                  </w:pPr>
                  <w:r>
                    <w:rPr>
                      <w:bCs/>
                      <w:kern w:val="0"/>
                      <w:szCs w:val="21"/>
                    </w:rPr>
                    <w:t>地理坐标</w:t>
                  </w:r>
                </w:p>
              </w:tc>
              <w:tc>
                <w:tcPr>
                  <w:tcW w:w="632" w:type="dxa"/>
                  <w:tcBorders>
                    <w:tl2br w:val="nil"/>
                    <w:tr2bl w:val="nil"/>
                  </w:tcBorders>
                  <w:vAlign w:val="center"/>
                </w:tcPr>
                <w:p>
                  <w:pPr>
                    <w:widowControl/>
                    <w:jc w:val="center"/>
                    <w:rPr>
                      <w:bCs/>
                      <w:kern w:val="0"/>
                      <w:szCs w:val="21"/>
                    </w:rPr>
                  </w:pPr>
                  <w:r>
                    <w:rPr>
                      <w:bCs/>
                      <w:kern w:val="0"/>
                      <w:szCs w:val="21"/>
                    </w:rPr>
                    <w:t>经度</w:t>
                  </w:r>
                </w:p>
              </w:tc>
              <w:tc>
                <w:tcPr>
                  <w:tcW w:w="1704" w:type="dxa"/>
                  <w:tcBorders>
                    <w:tl2br w:val="nil"/>
                    <w:tr2bl w:val="nil"/>
                  </w:tcBorders>
                  <w:vAlign w:val="center"/>
                </w:tcPr>
                <w:p>
                  <w:pPr>
                    <w:widowControl/>
                    <w:jc w:val="center"/>
                    <w:rPr>
                      <w:rFonts w:hint="default" w:eastAsia="宋体"/>
                      <w:bCs/>
                      <w:kern w:val="0"/>
                      <w:szCs w:val="21"/>
                      <w:lang w:val="en-US" w:eastAsia="zh-CN"/>
                    </w:rPr>
                  </w:pPr>
                  <w:r>
                    <w:rPr>
                      <w:rFonts w:hint="eastAsia"/>
                      <w:bCs/>
                      <w:kern w:val="0"/>
                      <w:szCs w:val="21"/>
                    </w:rPr>
                    <w:t>E</w:t>
                  </w:r>
                  <w:r>
                    <w:t xml:space="preserve"> 119.</w:t>
                  </w:r>
                  <w:r>
                    <w:rPr>
                      <w:rFonts w:hint="eastAsia"/>
                      <w:lang w:val="en-US" w:eastAsia="zh-CN"/>
                    </w:rPr>
                    <w:t>8177</w:t>
                  </w:r>
                </w:p>
              </w:tc>
              <w:tc>
                <w:tcPr>
                  <w:tcW w:w="1008" w:type="dxa"/>
                  <w:tcBorders>
                    <w:tl2br w:val="nil"/>
                    <w:tr2bl w:val="nil"/>
                  </w:tcBorders>
                  <w:vAlign w:val="center"/>
                </w:tcPr>
                <w:p>
                  <w:pPr>
                    <w:widowControl/>
                    <w:jc w:val="center"/>
                    <w:rPr>
                      <w:bCs/>
                      <w:kern w:val="0"/>
                      <w:szCs w:val="21"/>
                    </w:rPr>
                  </w:pPr>
                  <w:r>
                    <w:rPr>
                      <w:bCs/>
                      <w:kern w:val="0"/>
                      <w:szCs w:val="21"/>
                    </w:rPr>
                    <w:t>纬度</w:t>
                  </w:r>
                </w:p>
              </w:tc>
              <w:tc>
                <w:tcPr>
                  <w:tcW w:w="2401" w:type="dxa"/>
                  <w:gridSpan w:val="2"/>
                  <w:tcBorders>
                    <w:tl2br w:val="nil"/>
                    <w:tr2bl w:val="nil"/>
                  </w:tcBorders>
                  <w:vAlign w:val="center"/>
                </w:tcPr>
                <w:p>
                  <w:pPr>
                    <w:widowControl/>
                    <w:jc w:val="center"/>
                    <w:rPr>
                      <w:rFonts w:hint="default" w:eastAsia="宋体"/>
                      <w:bCs/>
                      <w:kern w:val="0"/>
                      <w:szCs w:val="21"/>
                      <w:lang w:val="en-US" w:eastAsia="zh-CN"/>
                    </w:rPr>
                  </w:pPr>
                  <w:r>
                    <w:rPr>
                      <w:rFonts w:hint="eastAsia"/>
                      <w:bCs/>
                      <w:kern w:val="0"/>
                      <w:szCs w:val="21"/>
                      <w:lang w:val="en-US"/>
                    </w:rPr>
                    <w:t>N</w:t>
                  </w:r>
                  <w:r>
                    <w:t xml:space="preserve"> </w:t>
                  </w:r>
                  <w:r>
                    <w:rPr>
                      <w:bCs/>
                      <w:kern w:val="0"/>
                      <w:szCs w:val="21"/>
                    </w:rPr>
                    <w:t>31.29</w:t>
                  </w:r>
                  <w:r>
                    <w:rPr>
                      <w:rFonts w:hint="eastAsia"/>
                      <w:bCs/>
                      <w:kern w:val="0"/>
                      <w:szCs w:val="21"/>
                      <w:lang w:val="en-US" w:eastAsia="zh-CN"/>
                    </w:rPr>
                    <w:t>81</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2537" w:type="dxa"/>
                  <w:tcBorders>
                    <w:tl2br w:val="nil"/>
                    <w:tr2bl w:val="nil"/>
                  </w:tcBorders>
                  <w:vAlign w:val="center"/>
                </w:tcPr>
                <w:p>
                  <w:pPr>
                    <w:widowControl/>
                    <w:jc w:val="center"/>
                    <w:rPr>
                      <w:bCs/>
                      <w:kern w:val="0"/>
                      <w:szCs w:val="21"/>
                    </w:rPr>
                  </w:pPr>
                  <w:r>
                    <w:rPr>
                      <w:bCs/>
                      <w:kern w:val="0"/>
                      <w:szCs w:val="21"/>
                    </w:rPr>
                    <w:t>主要危险物质及分布</w:t>
                  </w:r>
                </w:p>
              </w:tc>
              <w:tc>
                <w:tcPr>
                  <w:tcW w:w="5745" w:type="dxa"/>
                  <w:gridSpan w:val="5"/>
                  <w:tcBorders>
                    <w:tl2br w:val="nil"/>
                    <w:tr2bl w:val="nil"/>
                  </w:tcBorders>
                  <w:vAlign w:val="center"/>
                </w:tcPr>
                <w:p>
                  <w:pPr>
                    <w:widowControl/>
                    <w:rPr>
                      <w:bCs/>
                      <w:kern w:val="0"/>
                      <w:szCs w:val="21"/>
                      <w:lang w:val="en-US"/>
                    </w:rPr>
                  </w:pPr>
                  <w:r>
                    <w:rPr>
                      <w:rFonts w:hint="eastAsia"/>
                      <w:szCs w:val="21"/>
                    </w:rPr>
                    <w:t>本项目主要危险物质为</w:t>
                  </w:r>
                  <w:r>
                    <w:rPr>
                      <w:rFonts w:hint="eastAsia"/>
                      <w:bCs/>
                      <w:kern w:val="0"/>
                      <w:szCs w:val="21"/>
                    </w:rPr>
                    <w:t>天然气</w:t>
                  </w:r>
                  <w:r>
                    <w:rPr>
                      <w:rFonts w:hint="eastAsia"/>
                      <w:szCs w:val="21"/>
                    </w:rPr>
                    <w:t>，分布在生产车间。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2537" w:type="dxa"/>
                  <w:tcBorders>
                    <w:tl2br w:val="nil"/>
                    <w:tr2bl w:val="nil"/>
                  </w:tcBorders>
                  <w:vAlign w:val="center"/>
                </w:tcPr>
                <w:p>
                  <w:pPr>
                    <w:widowControl/>
                    <w:jc w:val="center"/>
                    <w:rPr>
                      <w:bCs/>
                      <w:kern w:val="0"/>
                      <w:szCs w:val="21"/>
                    </w:rPr>
                  </w:pPr>
                  <w:r>
                    <w:rPr>
                      <w:bCs/>
                      <w:kern w:val="0"/>
                      <w:szCs w:val="21"/>
                    </w:rPr>
                    <w:t>环境影响途径及危害后果</w:t>
                  </w:r>
                </w:p>
                <w:p>
                  <w:pPr>
                    <w:widowControl/>
                    <w:jc w:val="center"/>
                    <w:rPr>
                      <w:bCs/>
                      <w:kern w:val="0"/>
                      <w:szCs w:val="21"/>
                    </w:rPr>
                  </w:pPr>
                  <w:r>
                    <w:rPr>
                      <w:bCs/>
                      <w:kern w:val="0"/>
                      <w:szCs w:val="21"/>
                    </w:rPr>
                    <w:t>(大气、地表水、地下水等)</w:t>
                  </w:r>
                </w:p>
              </w:tc>
              <w:tc>
                <w:tcPr>
                  <w:tcW w:w="5745" w:type="dxa"/>
                  <w:gridSpan w:val="5"/>
                  <w:tcBorders>
                    <w:tl2br w:val="nil"/>
                    <w:tr2bl w:val="nil"/>
                  </w:tcBorders>
                  <w:vAlign w:val="center"/>
                </w:tcPr>
                <w:p>
                  <w:pPr>
                    <w:widowControl/>
                    <w:rPr>
                      <w:bCs/>
                      <w:kern w:val="0"/>
                      <w:szCs w:val="21"/>
                      <w:lang w:val="en-US"/>
                    </w:rPr>
                  </w:pPr>
                  <w:r>
                    <w:rPr>
                      <w:rFonts w:hint="eastAsia"/>
                      <w:szCs w:val="21"/>
                    </w:rPr>
                    <w:t>向环境转移的主要途径为：天然气为气态，即使发生泄漏，也将迅速挥发。</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2537" w:type="dxa"/>
                  <w:tcBorders>
                    <w:tl2br w:val="nil"/>
                    <w:tr2bl w:val="nil"/>
                  </w:tcBorders>
                  <w:vAlign w:val="center"/>
                </w:tcPr>
                <w:p>
                  <w:pPr>
                    <w:widowControl/>
                    <w:jc w:val="center"/>
                    <w:rPr>
                      <w:bCs/>
                      <w:kern w:val="0"/>
                      <w:szCs w:val="21"/>
                    </w:rPr>
                  </w:pPr>
                  <w:r>
                    <w:rPr>
                      <w:bCs/>
                      <w:kern w:val="0"/>
                      <w:szCs w:val="21"/>
                    </w:rPr>
                    <w:t>风险防范措施要求</w:t>
                  </w:r>
                </w:p>
              </w:tc>
              <w:tc>
                <w:tcPr>
                  <w:tcW w:w="5745" w:type="dxa"/>
                  <w:gridSpan w:val="5"/>
                  <w:tcBorders>
                    <w:tl2br w:val="nil"/>
                    <w:tr2bl w:val="nil"/>
                  </w:tcBorders>
                  <w:vAlign w:val="center"/>
                </w:tcPr>
                <w:p>
                  <w:pPr>
                    <w:adjustRightInd w:val="0"/>
                    <w:snapToGrid w:val="0"/>
                    <w:jc w:val="left"/>
                    <w:rPr>
                      <w:szCs w:val="21"/>
                    </w:rPr>
                  </w:pPr>
                  <w:r>
                    <w:rPr>
                      <w:szCs w:val="21"/>
                    </w:rPr>
                    <w:t>1.</w:t>
                  </w:r>
                  <w:r>
                    <w:rPr>
                      <w:rFonts w:hint="eastAsia"/>
                      <w:szCs w:val="21"/>
                    </w:rPr>
                    <w:t>加强管理工作，建立完善安全管理规章制度和安全操作规程，严格执行安全和消防规范。车间内设置消防通道，以利于消防和疏散；</w:t>
                  </w:r>
                </w:p>
                <w:p>
                  <w:pPr>
                    <w:pStyle w:val="73"/>
                    <w:adjustRightInd w:val="0"/>
                    <w:snapToGrid w:val="0"/>
                    <w:spacing w:after="0"/>
                    <w:ind w:firstLine="0" w:firstLineChars="0"/>
                    <w:rPr>
                      <w:szCs w:val="21"/>
                    </w:rPr>
                  </w:pPr>
                  <w:r>
                    <w:rPr>
                      <w:szCs w:val="21"/>
                    </w:rPr>
                    <w:t>2.</w:t>
                  </w:r>
                  <w:r>
                    <w:rPr>
                      <w:rFonts w:hint="eastAsia"/>
                      <w:szCs w:val="21"/>
                    </w:rPr>
                    <w:t>厂区加强通风，避免死角造成有害物质的聚集；</w:t>
                  </w:r>
                </w:p>
                <w:p>
                  <w:pPr>
                    <w:adjustRightInd w:val="0"/>
                    <w:snapToGrid w:val="0"/>
                    <w:rPr>
                      <w:szCs w:val="21"/>
                    </w:rPr>
                  </w:pPr>
                  <w:r>
                    <w:rPr>
                      <w:szCs w:val="21"/>
                    </w:rPr>
                    <w:t>3.</w:t>
                  </w:r>
                  <w:r>
                    <w:rPr>
                      <w:rFonts w:hint="eastAsia"/>
                      <w:szCs w:val="21"/>
                    </w:rPr>
                    <w:t>针对天然气使用制定安全条例，严禁靠近明火；</w:t>
                  </w:r>
                </w:p>
                <w:p>
                  <w:pPr>
                    <w:pStyle w:val="74"/>
                    <w:adjustRightInd w:val="0"/>
                    <w:snapToGrid w:val="0"/>
                    <w:spacing w:line="240" w:lineRule="auto"/>
                    <w:ind w:firstLine="0" w:firstLineChars="0"/>
                    <w:rPr>
                      <w:sz w:val="21"/>
                      <w:szCs w:val="21"/>
                    </w:rPr>
                  </w:pPr>
                  <w:r>
                    <w:rPr>
                      <w:sz w:val="21"/>
                      <w:szCs w:val="21"/>
                    </w:rPr>
                    <w:t>4.</w:t>
                  </w:r>
                  <w:r>
                    <w:rPr>
                      <w:rFonts w:hint="eastAsia"/>
                      <w:sz w:val="21"/>
                      <w:szCs w:val="21"/>
                    </w:rPr>
                    <w:t>设置可燃气体泄漏检测报警装置，厂区配备灭火器以及消防栓等消防设备，以利于自动预警和给湿组装灭火扑救；</w:t>
                  </w:r>
                </w:p>
                <w:p>
                  <w:pPr>
                    <w:widowControl/>
                    <w:rPr>
                      <w:bCs/>
                      <w:kern w:val="0"/>
                      <w:szCs w:val="21"/>
                      <w:lang w:val="en-US"/>
                    </w:rPr>
                  </w:pPr>
                  <w:r>
                    <w:rPr>
                      <w:szCs w:val="21"/>
                    </w:rPr>
                    <w:t>5.</w:t>
                  </w:r>
                  <w:r>
                    <w:rPr>
                      <w:rFonts w:hint="eastAsia"/>
                      <w:szCs w:val="21"/>
                    </w:rPr>
                    <w:t>结合消防等专业制定事故应急预案，一旦发生事故后能够及时采取有效措施进行科学处置，将事故破坏降至最低限度。同时考虑各种处置方案的科学合理性以及有效性。</w:t>
                  </w:r>
                </w:p>
              </w:tc>
            </w:tr>
          </w:tbl>
          <w:p>
            <w:pPr>
              <w:spacing w:beforeLines="50" w:line="360" w:lineRule="auto"/>
              <w:ind w:firstLine="482" w:firstLineChars="200"/>
              <w:rPr>
                <w:b/>
                <w:kern w:val="0"/>
                <w:sz w:val="24"/>
              </w:rPr>
            </w:pPr>
            <w:r>
              <w:rPr>
                <w:b/>
                <w:sz w:val="24"/>
              </w:rPr>
              <w:t>7</w:t>
            </w:r>
            <w:r>
              <w:rPr>
                <w:rFonts w:hint="eastAsia"/>
                <w:b/>
                <w:kern w:val="0"/>
                <w:sz w:val="24"/>
                <w:lang w:val="en-US"/>
              </w:rPr>
              <w:t>、</w:t>
            </w:r>
            <w:r>
              <w:rPr>
                <w:rFonts w:hint="eastAsia"/>
                <w:b/>
                <w:kern w:val="0"/>
                <w:sz w:val="24"/>
              </w:rPr>
              <w:t>声环境影响分析</w:t>
            </w:r>
          </w:p>
          <w:p>
            <w:pPr>
              <w:adjustRightInd w:val="0"/>
              <w:snapToGrid w:val="0"/>
              <w:spacing w:line="360" w:lineRule="auto"/>
              <w:ind w:firstLine="480" w:firstLineChars="200"/>
              <w:rPr>
                <w:sz w:val="24"/>
              </w:rPr>
            </w:pPr>
            <w:r>
              <w:rPr>
                <w:rFonts w:hint="eastAsia"/>
                <w:sz w:val="24"/>
              </w:rPr>
              <w:t>本项目设备噪声源强在70~85dB之间，生产车间平均噪声级约为8</w:t>
            </w:r>
            <w:r>
              <w:rPr>
                <w:rFonts w:hint="eastAsia"/>
                <w:sz w:val="24"/>
                <w:lang w:val="en-US" w:eastAsia="zh-CN"/>
              </w:rPr>
              <w:t>2</w:t>
            </w:r>
            <w:r>
              <w:rPr>
                <w:rFonts w:hint="eastAsia"/>
                <w:sz w:val="24"/>
              </w:rPr>
              <w:t>dB(A)。</w:t>
            </w:r>
            <w:r>
              <w:rPr>
                <w:sz w:val="24"/>
              </w:rPr>
              <w:t>根据《环境影响评价技术导则</w:t>
            </w:r>
            <w:r>
              <w:rPr>
                <w:rFonts w:hint="eastAsia"/>
                <w:sz w:val="24"/>
              </w:rPr>
              <w:t xml:space="preserve">  </w:t>
            </w:r>
            <w:r>
              <w:rPr>
                <w:sz w:val="24"/>
              </w:rPr>
              <w:t>声环境》（HJ2.4-2009），本次环评采用工业噪声预测计算模式预测本项目厂界噪声及影响程度。</w:t>
            </w:r>
          </w:p>
          <w:p>
            <w:pPr>
              <w:adjustRightInd w:val="0"/>
              <w:snapToGrid w:val="0"/>
              <w:spacing w:line="360" w:lineRule="auto"/>
              <w:ind w:firstLine="480" w:firstLineChars="200"/>
              <w:rPr>
                <w:sz w:val="24"/>
              </w:rPr>
            </w:pPr>
            <w:r>
              <w:rPr>
                <w:rFonts w:hint="eastAsia" w:hAnsi="宋体"/>
                <w:sz w:val="24"/>
              </w:rPr>
              <w:t>（1）单个室外的点声源在预测点产生的声级计算</w:t>
            </w:r>
          </w:p>
          <w:p>
            <w:pPr>
              <w:adjustRightInd w:val="0"/>
              <w:snapToGrid w:val="0"/>
              <w:spacing w:line="360" w:lineRule="auto"/>
              <w:ind w:firstLine="480" w:firstLineChars="200"/>
              <w:rPr>
                <w:sz w:val="24"/>
              </w:rPr>
            </w:pPr>
            <w:r>
              <w:rPr>
                <w:sz w:val="24"/>
                <w:lang w:val="en-US"/>
              </w:rPr>
              <w:pict>
                <v:rect id="_x0000_s7496" o:spid="_x0000_s7496" o:spt="1" style="position:absolute;left:0pt;margin-left:118.8pt;margin-top:44.85pt;height:20.1pt;width:120pt;z-index:251815936;mso-width-relative:page;mso-height-relative:page;" filled="f" stroked="f" coordsize="21600,21600">
                  <v:path/>
                  <v:fill on="f" focussize="0,0"/>
                  <v:stroke on="f" weight="0.25pt"/>
                  <v:imagedata o:title=""/>
                  <o:lock v:ext="edit"/>
                  <v:textbox inset="0mm,0mm,0mm,0mm">
                    <w:txbxContent>
                      <w:p/>
                    </w:txbxContent>
                  </v:textbox>
                </v:rect>
              </w:pict>
            </w:r>
            <w:r>
              <w:rPr>
                <w:sz w:val="24"/>
              </w:rPr>
              <w:t>如已知声源的倍频带声功率级（从63Hz到8KHz标称频带中心频率的8个倍频带），预测点位置的倍频带声压级L</w:t>
            </w:r>
            <w:r>
              <w:rPr>
                <w:sz w:val="24"/>
                <w:vertAlign w:val="subscript"/>
              </w:rPr>
              <w:t>P</w:t>
            </w:r>
            <w:r>
              <w:rPr>
                <w:sz w:val="24"/>
              </w:rPr>
              <w:t>（r）可按公式（A.1）计算：</w:t>
            </w:r>
          </w:p>
          <w:p>
            <w:pPr>
              <w:adjustRightInd w:val="0"/>
              <w:snapToGrid w:val="0"/>
              <w:spacing w:line="360" w:lineRule="auto"/>
              <w:ind w:firstLine="480" w:firstLineChars="200"/>
              <w:jc w:val="right"/>
              <w:rPr>
                <w:sz w:val="24"/>
              </w:rPr>
            </w:pPr>
            <w:r>
              <w:rPr>
                <w:sz w:val="24"/>
              </w:rPr>
              <w:t xml:space="preserve">         </w:t>
            </w:r>
            <w:r>
              <w:rPr>
                <w:lang w:val="en-US"/>
              </w:rPr>
              <w:drawing>
                <wp:inline distT="0" distB="0" distL="0" distR="0">
                  <wp:extent cx="1400175" cy="209550"/>
                  <wp:effectExtent l="0" t="0" r="9525" b="0"/>
                  <wp:docPr id="516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 name="图片 17"/>
                          <pic:cNvPicPr>
                            <a:picLocks noChangeAspect="1" noChangeArrowheads="1"/>
                          </pic:cNvPicPr>
                        </pic:nvPicPr>
                        <pic:blipFill>
                          <a:blip r:embed="rId14" cstate="print"/>
                          <a:srcRect/>
                          <a:stretch>
                            <a:fillRect/>
                          </a:stretch>
                        </pic:blipFill>
                        <pic:spPr>
                          <a:xfrm>
                            <a:off x="0" y="0"/>
                            <a:ext cx="1400175" cy="209550"/>
                          </a:xfrm>
                          <a:prstGeom prst="rect">
                            <a:avLst/>
                          </a:prstGeom>
                          <a:noFill/>
                          <a:ln w="9525">
                            <a:noFill/>
                            <a:miter lim="800000"/>
                            <a:headEnd/>
                            <a:tailEnd/>
                          </a:ln>
                        </pic:spPr>
                      </pic:pic>
                    </a:graphicData>
                  </a:graphic>
                </wp:inline>
              </w:drawing>
            </w:r>
            <w:r>
              <w:rPr>
                <w:sz w:val="24"/>
              </w:rPr>
              <w:t xml:space="preserve">                       （A.1）</w:t>
            </w:r>
          </w:p>
          <w:p>
            <w:pPr>
              <w:adjustRightInd w:val="0"/>
              <w:snapToGrid w:val="0"/>
              <w:spacing w:line="360" w:lineRule="auto"/>
              <w:ind w:firstLine="480" w:firstLineChars="200"/>
              <w:rPr>
                <w:sz w:val="24"/>
              </w:rPr>
            </w:pPr>
            <w:r>
              <w:rPr>
                <w:sz w:val="24"/>
              </w:rPr>
              <w:t>式中：L</w:t>
            </w:r>
            <w:r>
              <w:rPr>
                <w:sz w:val="24"/>
                <w:vertAlign w:val="subscript"/>
              </w:rPr>
              <w:t>w</w:t>
            </w:r>
            <w:r>
              <w:rPr>
                <w:sz w:val="24"/>
              </w:rPr>
              <w:t>—倍频带声功率级，dB；</w:t>
            </w:r>
          </w:p>
          <w:p>
            <w:pPr>
              <w:adjustRightInd w:val="0"/>
              <w:snapToGrid w:val="0"/>
              <w:spacing w:line="360" w:lineRule="auto"/>
              <w:ind w:firstLine="480" w:firstLineChars="200"/>
              <w:rPr>
                <w:sz w:val="24"/>
              </w:rPr>
            </w:pPr>
            <w:r>
              <w:rPr>
                <w:sz w:val="24"/>
              </w:rPr>
              <w:t>D</w:t>
            </w:r>
            <w:r>
              <w:rPr>
                <w:sz w:val="24"/>
                <w:vertAlign w:val="subscript"/>
              </w:rPr>
              <w:t>c</w:t>
            </w:r>
            <w:r>
              <w:rPr>
                <w:sz w:val="24"/>
              </w:rPr>
              <w:t>—指向性校正，dB；</w:t>
            </w:r>
          </w:p>
          <w:p>
            <w:pPr>
              <w:adjustRightInd w:val="0"/>
              <w:snapToGrid w:val="0"/>
              <w:spacing w:line="360" w:lineRule="auto"/>
              <w:ind w:firstLine="480" w:firstLineChars="200"/>
              <w:rPr>
                <w:sz w:val="24"/>
              </w:rPr>
            </w:pPr>
            <w:r>
              <w:rPr>
                <w:sz w:val="24"/>
              </w:rPr>
              <w:t>A —倍频带衰减，dB；</w:t>
            </w:r>
          </w:p>
          <w:p>
            <w:pPr>
              <w:adjustRightInd w:val="0"/>
              <w:snapToGrid w:val="0"/>
              <w:spacing w:line="360" w:lineRule="auto"/>
              <w:ind w:firstLine="480" w:firstLineChars="200"/>
              <w:rPr>
                <w:sz w:val="24"/>
              </w:rPr>
            </w:pPr>
            <w:r>
              <w:rPr>
                <w:sz w:val="24"/>
              </w:rPr>
              <w:t>A</w:t>
            </w:r>
            <w:r>
              <w:rPr>
                <w:sz w:val="24"/>
                <w:vertAlign w:val="subscript"/>
              </w:rPr>
              <w:t>div</w:t>
            </w:r>
            <w:r>
              <w:rPr>
                <w:sz w:val="24"/>
              </w:rPr>
              <w:t>—几何发散引起的倍频带衰减，dB；</w:t>
            </w:r>
          </w:p>
          <w:p>
            <w:pPr>
              <w:adjustRightInd w:val="0"/>
              <w:snapToGrid w:val="0"/>
              <w:spacing w:line="360" w:lineRule="auto"/>
              <w:ind w:firstLine="480" w:firstLineChars="200"/>
              <w:rPr>
                <w:sz w:val="24"/>
              </w:rPr>
            </w:pPr>
            <w:r>
              <w:rPr>
                <w:sz w:val="24"/>
              </w:rPr>
              <w:t>A</w:t>
            </w:r>
            <w:r>
              <w:rPr>
                <w:sz w:val="24"/>
                <w:vertAlign w:val="subscript"/>
              </w:rPr>
              <w:t>atm</w:t>
            </w:r>
            <w:r>
              <w:rPr>
                <w:sz w:val="24"/>
              </w:rPr>
              <w:t>—大气吸收引起的倍频带衰减，dB；</w:t>
            </w:r>
          </w:p>
          <w:p>
            <w:pPr>
              <w:adjustRightInd w:val="0"/>
              <w:snapToGrid w:val="0"/>
              <w:spacing w:line="360" w:lineRule="auto"/>
              <w:ind w:firstLine="480" w:firstLineChars="200"/>
              <w:rPr>
                <w:sz w:val="24"/>
              </w:rPr>
            </w:pPr>
            <w:r>
              <w:rPr>
                <w:sz w:val="24"/>
              </w:rPr>
              <w:t>A</w:t>
            </w:r>
            <w:r>
              <w:rPr>
                <w:sz w:val="24"/>
                <w:vertAlign w:val="subscript"/>
              </w:rPr>
              <w:t xml:space="preserve">gr </w:t>
            </w:r>
            <w:r>
              <w:rPr>
                <w:sz w:val="24"/>
              </w:rPr>
              <w:t>—地面效应引起的倍频带衰减，dB；</w:t>
            </w:r>
          </w:p>
          <w:p>
            <w:pPr>
              <w:adjustRightInd w:val="0"/>
              <w:snapToGrid w:val="0"/>
              <w:spacing w:line="360" w:lineRule="auto"/>
              <w:ind w:firstLine="480" w:firstLineChars="200"/>
              <w:rPr>
                <w:sz w:val="24"/>
              </w:rPr>
            </w:pPr>
            <w:r>
              <w:rPr>
                <w:sz w:val="24"/>
              </w:rPr>
              <w:t>A</w:t>
            </w:r>
            <w:r>
              <w:rPr>
                <w:sz w:val="24"/>
                <w:vertAlign w:val="subscript"/>
              </w:rPr>
              <w:t xml:space="preserve">bar </w:t>
            </w:r>
            <w:r>
              <w:rPr>
                <w:sz w:val="24"/>
              </w:rPr>
              <w:t>—声屏障引起的倍频带衰减，dB；</w:t>
            </w:r>
          </w:p>
          <w:p>
            <w:pPr>
              <w:adjustRightInd w:val="0"/>
              <w:snapToGrid w:val="0"/>
              <w:spacing w:line="360" w:lineRule="auto"/>
              <w:ind w:firstLine="480" w:firstLineChars="200"/>
              <w:rPr>
                <w:sz w:val="24"/>
              </w:rPr>
            </w:pPr>
            <w:r>
              <w:rPr>
                <w:sz w:val="24"/>
              </w:rPr>
              <w:t>A</w:t>
            </w:r>
            <w:r>
              <w:rPr>
                <w:sz w:val="24"/>
                <w:vertAlign w:val="subscript"/>
              </w:rPr>
              <w:t>misc</w:t>
            </w:r>
            <w:r>
              <w:rPr>
                <w:sz w:val="24"/>
              </w:rPr>
              <w:t>—其他多方面效应引起的倍频带衰减，dB。</w:t>
            </w:r>
          </w:p>
          <w:p>
            <w:pPr>
              <w:adjustRightInd w:val="0"/>
              <w:snapToGrid w:val="0"/>
              <w:spacing w:line="360" w:lineRule="auto"/>
              <w:ind w:firstLine="480" w:firstLineChars="200"/>
              <w:rPr>
                <w:sz w:val="24"/>
              </w:rPr>
            </w:pPr>
            <w:r>
              <w:rPr>
                <w:sz w:val="24"/>
                <w:lang w:val="en-US"/>
              </w:rPr>
              <w:pict>
                <v:rect id="_x0000_s7497" o:spid="_x0000_s7497" o:spt="1" style="position:absolute;left:0pt;margin-left:100.2pt;margin-top:17.15pt;height:22.7pt;width:181.5pt;z-index:251816960;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2036445" cy="372110"/>
                              <wp:effectExtent l="19050" t="0" r="1905" b="0"/>
                              <wp:docPr id="516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 name="图片 13"/>
                                      <pic:cNvPicPr>
                                        <a:picLocks noChangeAspect="1" noChangeArrowheads="1"/>
                                      </pic:cNvPicPr>
                                    </pic:nvPicPr>
                                    <pic:blipFill>
                                      <a:blip r:embed="rId15" cstate="print"/>
                                      <a:srcRect/>
                                      <a:stretch>
                                        <a:fillRect/>
                                      </a:stretch>
                                    </pic:blipFill>
                                    <pic:spPr>
                                      <a:xfrm>
                                        <a:off x="0" y="0"/>
                                        <a:ext cx="2036445" cy="372110"/>
                                      </a:xfrm>
                                      <a:prstGeom prst="rect">
                                        <a:avLst/>
                                      </a:prstGeom>
                                      <a:noFill/>
                                      <a:ln w="9525">
                                        <a:noFill/>
                                        <a:miter lim="800000"/>
                                        <a:headEnd/>
                                        <a:tailEnd/>
                                      </a:ln>
                                      <a:effectLst/>
                                    </pic:spPr>
                                  </pic:pic>
                                </a:graphicData>
                              </a:graphic>
                            </wp:inline>
                          </w:drawing>
                        </w:r>
                      </w:p>
                    </w:txbxContent>
                  </v:textbox>
                </v:rect>
              </w:pict>
            </w:r>
            <w:r>
              <w:rPr>
                <w:sz w:val="24"/>
              </w:rPr>
              <w:t>预测点的 A声级，可利用8个倍频带的声压级按公式（A.</w:t>
            </w:r>
            <w:r>
              <w:rPr>
                <w:rFonts w:hint="eastAsia"/>
                <w:sz w:val="24"/>
              </w:rPr>
              <w:t>2</w:t>
            </w:r>
            <w:r>
              <w:rPr>
                <w:sz w:val="24"/>
              </w:rPr>
              <w:t>）计算：</w:t>
            </w:r>
          </w:p>
          <w:p>
            <w:pPr>
              <w:adjustRightInd w:val="0"/>
              <w:snapToGrid w:val="0"/>
              <w:spacing w:line="360" w:lineRule="auto"/>
              <w:ind w:firstLine="480" w:firstLineChars="200"/>
              <w:rPr>
                <w:sz w:val="24"/>
              </w:rPr>
            </w:pPr>
            <w:r>
              <w:rPr>
                <w:sz w:val="24"/>
              </w:rPr>
              <w:t xml:space="preserve">                               </w:t>
            </w:r>
            <w:r>
              <w:rPr>
                <w:rFonts w:hint="eastAsia"/>
                <w:sz w:val="24"/>
              </w:rPr>
              <w:t xml:space="preserve">                           </w:t>
            </w:r>
            <w:r>
              <w:rPr>
                <w:sz w:val="24"/>
              </w:rPr>
              <w:t>（A.</w:t>
            </w:r>
            <w:r>
              <w:rPr>
                <w:rFonts w:hint="eastAsia"/>
                <w:sz w:val="24"/>
              </w:rPr>
              <w:t>2</w:t>
            </w:r>
            <w:r>
              <w:rPr>
                <w:sz w:val="24"/>
              </w:rPr>
              <w:t>）</w:t>
            </w:r>
          </w:p>
          <w:p>
            <w:pPr>
              <w:adjustRightInd w:val="0"/>
              <w:snapToGrid w:val="0"/>
              <w:spacing w:line="360" w:lineRule="auto"/>
              <w:ind w:firstLine="480" w:firstLineChars="200"/>
              <w:rPr>
                <w:sz w:val="24"/>
              </w:rPr>
            </w:pPr>
            <w:r>
              <w:rPr>
                <w:sz w:val="24"/>
              </w:rPr>
              <w:t>式中：L</w:t>
            </w:r>
            <w:r>
              <w:rPr>
                <w:sz w:val="24"/>
                <w:vertAlign w:val="subscript"/>
              </w:rPr>
              <w:t>Pi</w:t>
            </w:r>
            <w:r>
              <w:rPr>
                <w:sz w:val="24"/>
              </w:rPr>
              <w:t>(r)—预测点（r）处，第i倍频带声压级，dB；</w:t>
            </w:r>
          </w:p>
          <w:p>
            <w:pPr>
              <w:adjustRightInd w:val="0"/>
              <w:snapToGrid w:val="0"/>
              <w:spacing w:line="360" w:lineRule="auto"/>
              <w:ind w:firstLine="480" w:firstLineChars="200"/>
              <w:rPr>
                <w:sz w:val="24"/>
              </w:rPr>
            </w:pPr>
            <w:r>
              <w:rPr>
                <w:sz w:val="24"/>
              </w:rPr>
              <w:t>ΔLi—i倍频带A计权网络修正值，dB（见附录B）。</w:t>
            </w:r>
          </w:p>
          <w:p>
            <w:pPr>
              <w:adjustRightInd w:val="0"/>
              <w:snapToGrid w:val="0"/>
              <w:spacing w:line="360" w:lineRule="auto"/>
              <w:ind w:firstLine="480" w:firstLineChars="200"/>
              <w:rPr>
                <w:sz w:val="24"/>
              </w:rPr>
            </w:pPr>
            <w:r>
              <w:rPr>
                <w:sz w:val="24"/>
                <w:lang w:val="en-US"/>
              </w:rPr>
              <w:pict>
                <v:rect id="_x0000_s7498" o:spid="_x0000_s7498" o:spt="1" style="position:absolute;left:0pt;margin-left:122.5pt;margin-top:41.45pt;height:24.75pt;width:135pt;z-index:251817984;mso-width-relative:page;mso-height-relative:page;" stroked="f" coordsize="21600,21600">
                  <v:path/>
                  <v:fill opacity="0f" focussize="0,0"/>
                  <v:stroke on="f" weight="0.25pt"/>
                  <v:imagedata o:title=""/>
                  <o:lock v:ext="edit"/>
                  <v:textbox inset="0mm,0mm,0mm,0mm">
                    <w:txbxContent>
                      <w:p/>
                    </w:txbxContent>
                  </v:textbox>
                </v:rect>
              </w:pict>
            </w:r>
            <w:r>
              <w:rPr>
                <w:sz w:val="24"/>
              </w:rPr>
              <w:t>在不能取得声源倍频带声功率级或倍频带声压级，只能获得A声功率级或某点的A声级时，可按公式（A.</w:t>
            </w:r>
            <w:r>
              <w:rPr>
                <w:rFonts w:hint="eastAsia"/>
                <w:sz w:val="24"/>
              </w:rPr>
              <w:t>3</w:t>
            </w:r>
            <w:r>
              <w:rPr>
                <w:sz w:val="24"/>
              </w:rPr>
              <w:t>）或（A.</w:t>
            </w:r>
            <w:r>
              <w:rPr>
                <w:rFonts w:hint="eastAsia"/>
                <w:sz w:val="24"/>
              </w:rPr>
              <w:t>4</w:t>
            </w:r>
            <w:r>
              <w:rPr>
                <w:sz w:val="24"/>
              </w:rPr>
              <w:t>）作近似计算：</w:t>
            </w:r>
          </w:p>
          <w:p>
            <w:pPr>
              <w:adjustRightInd w:val="0"/>
              <w:snapToGrid w:val="0"/>
              <w:spacing w:line="360" w:lineRule="auto"/>
              <w:ind w:firstLine="480" w:firstLineChars="200"/>
              <w:jc w:val="right"/>
              <w:rPr>
                <w:sz w:val="24"/>
              </w:rPr>
            </w:pPr>
            <w:r>
              <w:rPr>
                <w:sz w:val="24"/>
              </w:rPr>
              <w:t xml:space="preserve">            </w:t>
            </w:r>
            <w:r>
              <w:rPr>
                <w:lang w:val="en-US"/>
              </w:rPr>
              <w:drawing>
                <wp:inline distT="0" distB="0" distL="0" distR="0">
                  <wp:extent cx="1628775" cy="190500"/>
                  <wp:effectExtent l="0" t="0" r="0"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16" cstate="print"/>
                          <a:srcRect/>
                          <a:stretch>
                            <a:fillRect/>
                          </a:stretch>
                        </pic:blipFill>
                        <pic:spPr>
                          <a:xfrm>
                            <a:off x="0" y="0"/>
                            <a:ext cx="1625600" cy="186690"/>
                          </a:xfrm>
                          <a:prstGeom prst="rect">
                            <a:avLst/>
                          </a:prstGeom>
                          <a:noFill/>
                          <a:ln w="9525">
                            <a:noFill/>
                            <a:miter lim="800000"/>
                            <a:headEnd/>
                            <a:tailEnd/>
                          </a:ln>
                        </pic:spPr>
                      </pic:pic>
                    </a:graphicData>
                  </a:graphic>
                </wp:inline>
              </w:drawing>
            </w:r>
            <w:r>
              <w:rPr>
                <w:sz w:val="24"/>
              </w:rPr>
              <w:t xml:space="preserve">                       （A.</w:t>
            </w:r>
            <w:r>
              <w:rPr>
                <w:rFonts w:hint="eastAsia"/>
                <w:sz w:val="24"/>
              </w:rPr>
              <w:t>3</w:t>
            </w:r>
            <w:r>
              <w:rPr>
                <w:sz w:val="24"/>
              </w:rPr>
              <w:t>）</w:t>
            </w:r>
          </w:p>
          <w:p>
            <w:pPr>
              <w:adjustRightInd w:val="0"/>
              <w:snapToGrid w:val="0"/>
              <w:spacing w:line="360" w:lineRule="auto"/>
              <w:ind w:firstLine="480" w:firstLineChars="200"/>
              <w:jc w:val="right"/>
              <w:rPr>
                <w:sz w:val="24"/>
              </w:rPr>
            </w:pPr>
            <w:r>
              <w:rPr>
                <w:sz w:val="24"/>
                <w:lang w:val="en-US"/>
              </w:rPr>
              <w:pict>
                <v:rect id="_x0000_s7499" o:spid="_x0000_s7499" o:spt="1" style="position:absolute;left:0pt;margin-left:126.9pt;margin-top:3.4pt;height:21.6pt;width:137.25pt;z-index:251819008;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1247775" cy="228600"/>
                              <wp:effectExtent l="0" t="0" r="0" b="0"/>
                              <wp:docPr id="51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 name="图片 15"/>
                                      <pic:cNvPicPr>
                                        <a:picLocks noChangeAspect="1" noChangeArrowheads="1"/>
                                      </pic:cNvPicPr>
                                    </pic:nvPicPr>
                                    <pic:blipFill>
                                      <a:blip r:embed="rId17" cstate="print"/>
                                      <a:srcRect/>
                                      <a:stretch>
                                        <a:fillRect/>
                                      </a:stretch>
                                    </pic:blipFill>
                                    <pic:spPr>
                                      <a:xfrm>
                                        <a:off x="0" y="0"/>
                                        <a:ext cx="1247775" cy="228600"/>
                                      </a:xfrm>
                                      <a:prstGeom prst="rect">
                                        <a:avLst/>
                                      </a:prstGeom>
                                      <a:noFill/>
                                      <a:ln w="9525">
                                        <a:noFill/>
                                        <a:miter lim="800000"/>
                                        <a:headEnd/>
                                        <a:tailEnd/>
                                      </a:ln>
                                    </pic:spPr>
                                  </pic:pic>
                                </a:graphicData>
                              </a:graphic>
                            </wp:inline>
                          </w:drawing>
                        </w:r>
                      </w:p>
                    </w:txbxContent>
                  </v:textbox>
                </v:rect>
              </w:pict>
            </w:r>
            <w:r>
              <w:rPr>
                <w:sz w:val="24"/>
              </w:rPr>
              <w:t xml:space="preserve">或                             </w:t>
            </w:r>
            <w:r>
              <w:rPr>
                <w:rFonts w:hint="eastAsia"/>
                <w:sz w:val="24"/>
              </w:rPr>
              <w:t xml:space="preserve">                         </w:t>
            </w:r>
            <w:r>
              <w:rPr>
                <w:sz w:val="24"/>
              </w:rPr>
              <w:t>（A.</w:t>
            </w:r>
            <w:r>
              <w:rPr>
                <w:rFonts w:hint="eastAsia"/>
                <w:sz w:val="24"/>
              </w:rPr>
              <w:t>4</w:t>
            </w:r>
            <w:r>
              <w:rPr>
                <w:sz w:val="24"/>
              </w:rPr>
              <w:t>）</w:t>
            </w:r>
          </w:p>
          <w:p>
            <w:pPr>
              <w:adjustRightInd w:val="0"/>
              <w:snapToGrid w:val="0"/>
              <w:spacing w:line="360" w:lineRule="auto"/>
              <w:ind w:firstLine="480" w:firstLineChars="200"/>
              <w:rPr>
                <w:sz w:val="24"/>
              </w:rPr>
            </w:pPr>
            <w:r>
              <w:rPr>
                <w:sz w:val="24"/>
              </w:rPr>
              <w:t>A可选择对A声级影响最大的倍频带计算，一般可选中心频率为500Hz的倍频带作估算。</w:t>
            </w:r>
          </w:p>
          <w:p>
            <w:pPr>
              <w:adjustRightInd w:val="0"/>
              <w:snapToGrid w:val="0"/>
              <w:spacing w:line="360" w:lineRule="auto"/>
              <w:ind w:firstLine="480" w:firstLineChars="200"/>
              <w:rPr>
                <w:sz w:val="24"/>
              </w:rPr>
            </w:pPr>
            <w:r>
              <w:rPr>
                <w:rFonts w:hint="eastAsia" w:hAnsi="宋体"/>
                <w:sz w:val="24"/>
              </w:rPr>
              <w:t>（2）</w:t>
            </w:r>
            <w:r>
              <w:rPr>
                <w:sz w:val="24"/>
              </w:rPr>
              <w:t>室内声源等效室外声源声功率级计算</w:t>
            </w:r>
          </w:p>
          <w:p>
            <w:pPr>
              <w:adjustRightInd w:val="0"/>
              <w:snapToGrid w:val="0"/>
              <w:spacing w:line="360" w:lineRule="auto"/>
              <w:ind w:firstLine="480" w:firstLineChars="200"/>
              <w:jc w:val="right"/>
              <w:rPr>
                <w:sz w:val="24"/>
              </w:rPr>
            </w:pPr>
            <w:r>
              <w:rPr>
                <w:sz w:val="24"/>
              </w:rPr>
              <w:t>如图7-1所示，声源位于室内，室内声源可采用等效室外声源声功率级法进行计算。设靠近开口处（或窗户）室内、室外某倍频带的声压级分别为L</w:t>
            </w:r>
            <w:r>
              <w:rPr>
                <w:sz w:val="24"/>
                <w:vertAlign w:val="subscript"/>
              </w:rPr>
              <w:t>p1</w:t>
            </w:r>
            <w:r>
              <w:rPr>
                <w:sz w:val="24"/>
              </w:rPr>
              <w:t>和L</w:t>
            </w:r>
            <w:r>
              <w:rPr>
                <w:sz w:val="24"/>
                <w:vertAlign w:val="subscript"/>
              </w:rPr>
              <w:t>p2</w:t>
            </w:r>
            <w:r>
              <w:rPr>
                <w:sz w:val="24"/>
              </w:rPr>
              <w:t>。若声源所在室内声场为近似扩散声场，则室外的倍频带声压级可按公式（A.</w:t>
            </w:r>
            <w:r>
              <w:rPr>
                <w:rFonts w:hint="eastAsia"/>
                <w:sz w:val="24"/>
              </w:rPr>
              <w:t>5</w:t>
            </w:r>
            <w:r>
              <w:rPr>
                <w:sz w:val="24"/>
              </w:rPr>
              <w:t>）</w:t>
            </w:r>
          </w:p>
          <w:p>
            <w:pPr>
              <w:adjustRightInd w:val="0"/>
              <w:snapToGrid w:val="0"/>
              <w:spacing w:line="360" w:lineRule="auto"/>
              <w:ind w:right="480"/>
              <w:rPr>
                <w:sz w:val="24"/>
              </w:rPr>
            </w:pPr>
            <w:r>
              <w:rPr>
                <w:sz w:val="24"/>
              </w:rPr>
              <w:t>近似求出：</w:t>
            </w:r>
          </w:p>
          <w:p>
            <w:pPr>
              <w:adjustRightInd w:val="0"/>
              <w:snapToGrid w:val="0"/>
              <w:spacing w:line="360" w:lineRule="auto"/>
              <w:ind w:firstLine="480" w:firstLineChars="200"/>
              <w:jc w:val="right"/>
              <w:rPr>
                <w:sz w:val="24"/>
              </w:rPr>
            </w:pPr>
            <w:r>
              <w:rPr>
                <w:sz w:val="24"/>
                <w:lang w:val="en-US"/>
              </w:rPr>
              <w:pict>
                <v:rect id="_x0000_s7533" o:spid="_x0000_s7533" o:spt="1" style="position:absolute;left:0pt;margin-left:110.95pt;margin-top:4.1pt;height:20.25pt;width:122.7pt;z-index:251833344;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1381125" cy="219075"/>
                              <wp:effectExtent l="0" t="0" r="0" b="0"/>
                              <wp:docPr id="51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 name="图片 16"/>
                                      <pic:cNvPicPr>
                                        <a:picLocks noChangeAspect="1" noChangeArrowheads="1"/>
                                      </pic:cNvPicPr>
                                    </pic:nvPicPr>
                                    <pic:blipFill>
                                      <a:blip r:embed="rId18" cstate="print"/>
                                      <a:srcRect/>
                                      <a:stretch>
                                        <a:fillRect/>
                                      </a:stretch>
                                    </pic:blipFill>
                                    <pic:spPr>
                                      <a:xfrm>
                                        <a:off x="0" y="0"/>
                                        <a:ext cx="1377315" cy="220345"/>
                                      </a:xfrm>
                                      <a:prstGeom prst="rect">
                                        <a:avLst/>
                                      </a:prstGeom>
                                      <a:noFill/>
                                      <a:ln w="9525">
                                        <a:noFill/>
                                        <a:miter lim="800000"/>
                                        <a:headEnd/>
                                        <a:tailEnd/>
                                      </a:ln>
                                      <a:effectLst/>
                                    </pic:spPr>
                                  </pic:pic>
                                </a:graphicData>
                              </a:graphic>
                            </wp:inline>
                          </w:drawing>
                        </w:r>
                      </w:p>
                    </w:txbxContent>
                  </v:textbox>
                </v:rect>
              </w:pict>
            </w:r>
            <w:r>
              <w:rPr>
                <w:sz w:val="24"/>
              </w:rPr>
              <w:t>（A.</w:t>
            </w:r>
            <w:r>
              <w:rPr>
                <w:rFonts w:hint="eastAsia"/>
                <w:sz w:val="24"/>
              </w:rPr>
              <w:t>5</w:t>
            </w:r>
            <w:r>
              <w:rPr>
                <w:sz w:val="24"/>
              </w:rPr>
              <w:t>）</w:t>
            </w:r>
          </w:p>
          <w:p>
            <w:pPr>
              <w:adjustRightInd w:val="0"/>
              <w:snapToGrid w:val="0"/>
              <w:spacing w:line="360" w:lineRule="auto"/>
              <w:ind w:firstLine="480" w:firstLineChars="200"/>
              <w:outlineLvl w:val="0"/>
              <w:rPr>
                <w:sz w:val="24"/>
              </w:rPr>
            </w:pPr>
            <w:r>
              <w:rPr>
                <w:sz w:val="24"/>
              </w:rPr>
              <w:t>式中：TL—隔墙（或窗户）倍频带的隔声量，dB。</w:t>
            </w:r>
          </w:p>
          <w:p>
            <w:pPr>
              <w:pStyle w:val="2"/>
              <w:rPr>
                <w:sz w:val="24"/>
              </w:rPr>
            </w:pPr>
          </w:p>
          <w:p>
            <w:pPr>
              <w:adjustRightInd w:val="0"/>
              <w:snapToGrid w:val="0"/>
              <w:spacing w:line="360" w:lineRule="auto"/>
              <w:jc w:val="center"/>
              <w:rPr>
                <w:sz w:val="24"/>
              </w:rPr>
            </w:pPr>
          </w:p>
          <w:p>
            <w:pPr>
              <w:adjustRightInd w:val="0"/>
              <w:snapToGrid w:val="0"/>
              <w:spacing w:line="360" w:lineRule="auto"/>
              <w:jc w:val="center"/>
              <w:rPr>
                <w:sz w:val="24"/>
              </w:rPr>
            </w:pPr>
            <w:r>
              <w:rPr>
                <w:sz w:val="24"/>
                <w:lang w:val="en-US"/>
              </w:rPr>
              <w:pict>
                <v:rect id="_x0000_s7534" o:spid="_x0000_s7534" o:spt="1" style="position:absolute;left:0pt;margin-left:110.05pt;margin-top:1.9pt;height:74.25pt;width:171.55pt;z-index:251835392;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1828165" cy="815975"/>
                              <wp:effectExtent l="19050" t="0" r="197" b="0"/>
                              <wp:docPr id="51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 name="图片 5"/>
                                      <pic:cNvPicPr>
                                        <a:picLocks noChangeAspect="1" noChangeArrowheads="1"/>
                                      </pic:cNvPicPr>
                                    </pic:nvPicPr>
                                    <pic:blipFill>
                                      <a:blip r:embed="rId19" cstate="print"/>
                                      <a:srcRect/>
                                      <a:stretch>
                                        <a:fillRect/>
                                      </a:stretch>
                                    </pic:blipFill>
                                    <pic:spPr>
                                      <a:xfrm>
                                        <a:off x="0" y="0"/>
                                        <a:ext cx="1830885" cy="817511"/>
                                      </a:xfrm>
                                      <a:prstGeom prst="rect">
                                        <a:avLst/>
                                      </a:prstGeom>
                                      <a:noFill/>
                                      <a:ln w="9525">
                                        <a:noFill/>
                                        <a:miter lim="800000"/>
                                        <a:headEnd/>
                                        <a:tailEnd/>
                                      </a:ln>
                                      <a:effectLst/>
                                    </pic:spPr>
                                  </pic:pic>
                                </a:graphicData>
                              </a:graphic>
                            </wp:inline>
                          </w:drawing>
                        </w:r>
                      </w:p>
                    </w:txbxContent>
                  </v:textbox>
                </v:rect>
              </w:pict>
            </w: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ind w:firstLine="2214" w:firstLineChars="1050"/>
              <w:rPr>
                <w:b/>
                <w:szCs w:val="21"/>
              </w:rPr>
            </w:pPr>
          </w:p>
          <w:p>
            <w:pPr>
              <w:adjustRightInd w:val="0"/>
              <w:snapToGrid w:val="0"/>
              <w:spacing w:line="360" w:lineRule="auto"/>
              <w:ind w:firstLine="2214" w:firstLineChars="1050"/>
              <w:rPr>
                <w:b/>
                <w:szCs w:val="21"/>
              </w:rPr>
            </w:pPr>
            <w:r>
              <w:rPr>
                <w:b/>
                <w:szCs w:val="21"/>
              </w:rPr>
              <w:t>图7-</w:t>
            </w:r>
            <w:r>
              <w:rPr>
                <w:rFonts w:hint="eastAsia"/>
                <w:b/>
                <w:szCs w:val="21"/>
                <w:lang w:val="en-US"/>
              </w:rPr>
              <w:t>1</w:t>
            </w:r>
            <w:r>
              <w:rPr>
                <w:rFonts w:hint="eastAsia"/>
                <w:b/>
                <w:szCs w:val="21"/>
              </w:rPr>
              <w:t xml:space="preserve"> </w:t>
            </w:r>
            <w:r>
              <w:rPr>
                <w:b/>
                <w:szCs w:val="21"/>
              </w:rPr>
              <w:t>室内声源等效为室外声源图例</w:t>
            </w:r>
          </w:p>
          <w:p>
            <w:pPr>
              <w:adjustRightInd w:val="0"/>
              <w:snapToGrid w:val="0"/>
              <w:spacing w:line="360" w:lineRule="auto"/>
              <w:ind w:firstLine="480" w:firstLineChars="200"/>
              <w:jc w:val="right"/>
              <w:rPr>
                <w:sz w:val="24"/>
              </w:rPr>
            </w:pPr>
            <w:r>
              <w:rPr>
                <w:sz w:val="24"/>
                <w:lang w:val="en-US"/>
              </w:rPr>
              <w:pict>
                <v:rect id="_x0000_s7556" o:spid="_x0000_s7556" o:spt="1" style="position:absolute;left:0pt;margin-left:86.7pt;margin-top:14.45pt;height:30.6pt;width:191.35pt;z-index:251846656;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1956435" cy="342900"/>
                              <wp:effectExtent l="19050" t="0" r="5285" b="0"/>
                              <wp:docPr id="517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图片 19"/>
                                      <pic:cNvPicPr>
                                        <a:picLocks noChangeAspect="1" noChangeArrowheads="1"/>
                                      </pic:cNvPicPr>
                                    </pic:nvPicPr>
                                    <pic:blipFill>
                                      <a:blip r:embed="rId20" cstate="print"/>
                                      <a:srcRect/>
                                      <a:stretch>
                                        <a:fillRect/>
                                      </a:stretch>
                                    </pic:blipFill>
                                    <pic:spPr>
                                      <a:xfrm>
                                        <a:off x="0" y="0"/>
                                        <a:ext cx="1961341" cy="343684"/>
                                      </a:xfrm>
                                      <a:prstGeom prst="rect">
                                        <a:avLst/>
                                      </a:prstGeom>
                                      <a:noFill/>
                                      <a:ln w="9525">
                                        <a:noFill/>
                                        <a:miter lim="800000"/>
                                        <a:headEnd/>
                                        <a:tailEnd/>
                                      </a:ln>
                                    </pic:spPr>
                                  </pic:pic>
                                </a:graphicData>
                              </a:graphic>
                            </wp:inline>
                          </w:drawing>
                        </w:r>
                      </w:p>
                    </w:txbxContent>
                  </v:textbox>
                </v:rect>
              </w:pict>
            </w:r>
            <w:r>
              <w:rPr>
                <w:sz w:val="24"/>
                <w:lang w:val="en-US"/>
              </w:rPr>
              <w:pict>
                <v:rect id="_x0000_s7537" o:spid="_x0000_s7537" o:spt="1" style="position:absolute;left:0pt;margin-left:91.3pt;margin-top:19.9pt;height:29.25pt;width:186.55pt;z-index:251658240;mso-width-relative:page;mso-height-relative:page;" stroked="f" coordsize="21600,21600">
                  <v:path/>
                  <v:fill opacity="0f" focussize="0,0"/>
                  <v:stroke on="f" weight="0.25pt"/>
                  <v:imagedata o:title=""/>
                  <o:lock v:ext="edit"/>
                  <v:textbox inset="0mm,0mm,0mm,0mm">
                    <w:txbxContent>
                      <w:p/>
                    </w:txbxContent>
                  </v:textbox>
                </v:rect>
              </w:pict>
            </w:r>
            <w:r>
              <w:rPr>
                <w:sz w:val="24"/>
              </w:rPr>
              <w:t>也可按公式（A.</w:t>
            </w:r>
            <w:r>
              <w:rPr>
                <w:rFonts w:hint="eastAsia"/>
                <w:sz w:val="24"/>
              </w:rPr>
              <w:t>6</w:t>
            </w:r>
            <w:r>
              <w:rPr>
                <w:sz w:val="24"/>
              </w:rPr>
              <w:t>）计算某一室内声源靠近围护结构处产生的倍频带声压级：</w:t>
            </w:r>
          </w:p>
          <w:p>
            <w:pPr>
              <w:adjustRightInd w:val="0"/>
              <w:snapToGrid w:val="0"/>
              <w:spacing w:line="360" w:lineRule="auto"/>
              <w:ind w:firstLine="480" w:firstLineChars="200"/>
              <w:jc w:val="right"/>
              <w:rPr>
                <w:sz w:val="24"/>
              </w:rPr>
            </w:pPr>
            <w:r>
              <w:rPr>
                <w:sz w:val="24"/>
              </w:rPr>
              <w:t xml:space="preserve">                                                 （A.</w:t>
            </w:r>
            <w:r>
              <w:rPr>
                <w:rFonts w:hint="eastAsia"/>
                <w:sz w:val="24"/>
              </w:rPr>
              <w:t>6</w:t>
            </w:r>
            <w:r>
              <w:rPr>
                <w:sz w:val="24"/>
              </w:rPr>
              <w:t>）</w:t>
            </w:r>
          </w:p>
          <w:p>
            <w:pPr>
              <w:adjustRightInd w:val="0"/>
              <w:snapToGrid w:val="0"/>
              <w:spacing w:line="360" w:lineRule="auto"/>
              <w:ind w:firstLine="480" w:firstLineChars="200"/>
              <w:rPr>
                <w:sz w:val="24"/>
              </w:rPr>
            </w:pPr>
            <w:r>
              <w:rPr>
                <w:sz w:val="24"/>
              </w:rPr>
              <w:t>式中：Q—指向性因数；通常对无指向性声源，当声源放在房间中心时，Q=1；当放在一面墙的中心时，Q=2；当放在两面墙夹角处时，Q=4；当放在三面墙夹角处时，Q=8。</w:t>
            </w:r>
          </w:p>
          <w:p>
            <w:pPr>
              <w:adjustRightInd w:val="0"/>
              <w:snapToGrid w:val="0"/>
              <w:spacing w:line="360" w:lineRule="auto"/>
              <w:ind w:firstLine="480" w:firstLineChars="200"/>
              <w:rPr>
                <w:sz w:val="24"/>
              </w:rPr>
            </w:pPr>
            <w:r>
              <w:rPr>
                <w:sz w:val="24"/>
              </w:rPr>
              <w:t>R—房间常数；R= Sα/(1−α)，S为房间内表面面积，m</w:t>
            </w:r>
            <w:r>
              <w:rPr>
                <w:sz w:val="24"/>
                <w:vertAlign w:val="superscript"/>
              </w:rPr>
              <w:t>2</w:t>
            </w:r>
            <w:r>
              <w:rPr>
                <w:sz w:val="24"/>
              </w:rPr>
              <w:t>；α为平均吸声系数。</w:t>
            </w:r>
          </w:p>
          <w:p>
            <w:pPr>
              <w:adjustRightInd w:val="0"/>
              <w:snapToGrid w:val="0"/>
              <w:spacing w:line="360" w:lineRule="auto"/>
              <w:ind w:firstLine="480" w:firstLineChars="200"/>
              <w:rPr>
                <w:sz w:val="24"/>
              </w:rPr>
            </w:pPr>
            <w:r>
              <w:rPr>
                <w:sz w:val="24"/>
              </w:rPr>
              <w:t>r—声源到靠近围护结构某点处的距离，m</w:t>
            </w:r>
          </w:p>
          <w:p>
            <w:pPr>
              <w:adjustRightInd w:val="0"/>
              <w:snapToGrid w:val="0"/>
              <w:spacing w:line="360" w:lineRule="auto"/>
              <w:ind w:right="720" w:firstLine="6720" w:firstLineChars="2800"/>
              <w:rPr>
                <w:sz w:val="24"/>
              </w:rPr>
            </w:pPr>
            <w:r>
              <w:rPr>
                <w:sz w:val="24"/>
                <w:lang w:val="en-US"/>
              </w:rPr>
              <w:pict>
                <v:rect id="_x0000_s7555" o:spid="_x0000_s7555" o:spt="1" style="position:absolute;left:0pt;margin-left:81.65pt;margin-top:4.9pt;height:26.25pt;width:192pt;z-index:251845632;v-text-anchor:middle;mso-width-relative:page;mso-height-relative:page;" stroked="f" coordsize="21600,21600">
                  <v:path/>
                  <v:fill opacity="0f" focussize="0,0"/>
                  <v:stroke on="f" weight="0.25pt"/>
                  <v:imagedata o:title=""/>
                  <o:lock v:ext="edit"/>
                  <v:textbox inset="0mm,0mm,0mm,0mm">
                    <w:txbxContent>
                      <w:p>
                        <w:r>
                          <w:rPr>
                            <w:lang w:val="en-US"/>
                          </w:rPr>
                          <w:drawing>
                            <wp:inline distT="0" distB="0" distL="0" distR="0">
                              <wp:extent cx="2114550" cy="371475"/>
                              <wp:effectExtent l="0" t="0" r="0" b="0"/>
                              <wp:docPr id="517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 name="图片 22"/>
                                      <pic:cNvPicPr>
                                        <a:picLocks noChangeAspect="1" noChangeArrowheads="1"/>
                                      </pic:cNvPicPr>
                                    </pic:nvPicPr>
                                    <pic:blipFill>
                                      <a:blip r:embed="rId21" cstate="print"/>
                                      <a:srcRect/>
                                      <a:stretch>
                                        <a:fillRect/>
                                      </a:stretch>
                                    </pic:blipFill>
                                    <pic:spPr>
                                      <a:xfrm>
                                        <a:off x="0" y="0"/>
                                        <a:ext cx="2114550" cy="371475"/>
                                      </a:xfrm>
                                      <a:prstGeom prst="rect">
                                        <a:avLst/>
                                      </a:prstGeom>
                                      <a:noFill/>
                                      <a:ln w="9525">
                                        <a:noFill/>
                                        <a:miter lim="800000"/>
                                        <a:headEnd/>
                                        <a:tailEnd/>
                                      </a:ln>
                                    </pic:spPr>
                                  </pic:pic>
                                </a:graphicData>
                              </a:graphic>
                            </wp:inline>
                          </w:drawing>
                        </w:r>
                      </w:p>
                    </w:txbxContent>
                  </v:textbox>
                </v:rect>
              </w:pict>
            </w:r>
            <w:r>
              <w:rPr>
                <w:sz w:val="24"/>
              </w:rPr>
              <w:t>（A.</w:t>
            </w:r>
            <w:r>
              <w:rPr>
                <w:rFonts w:hint="eastAsia"/>
                <w:sz w:val="24"/>
              </w:rPr>
              <w:t>7</w:t>
            </w:r>
            <w:r>
              <w:rPr>
                <w:sz w:val="24"/>
              </w:rPr>
              <w:t>）</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szCs w:val="24"/>
              </w:rPr>
            </w:pPr>
            <w:r>
              <w:rPr>
                <w:sz w:val="24"/>
              </w:rPr>
              <w:t>式中：L</w:t>
            </w:r>
            <w:r>
              <w:rPr>
                <w:sz w:val="24"/>
                <w:vertAlign w:val="subscript"/>
              </w:rPr>
              <w:t>Pli</w:t>
            </w:r>
            <w:r>
              <w:rPr>
                <w:sz w:val="24"/>
              </w:rPr>
              <w:t>(T) —靠近围护结构处室内 N个声源i倍频带的叠加声压级，dB；</w:t>
            </w:r>
          </w:p>
          <w:p>
            <w:pPr>
              <w:adjustRightInd w:val="0"/>
              <w:snapToGrid w:val="0"/>
              <w:spacing w:line="360" w:lineRule="auto"/>
              <w:ind w:firstLine="480" w:firstLineChars="200"/>
              <w:rPr>
                <w:sz w:val="24"/>
              </w:rPr>
            </w:pPr>
            <w:r>
              <w:rPr>
                <w:sz w:val="24"/>
              </w:rPr>
              <w:t>L</w:t>
            </w:r>
            <w:r>
              <w:rPr>
                <w:sz w:val="24"/>
                <w:vertAlign w:val="subscript"/>
              </w:rPr>
              <w:t>Plij</w:t>
            </w:r>
            <w:r>
              <w:rPr>
                <w:sz w:val="24"/>
              </w:rPr>
              <w:t>—室内 j声源i倍频带的声压级，dB；</w:t>
            </w:r>
          </w:p>
          <w:p>
            <w:pPr>
              <w:adjustRightInd w:val="0"/>
              <w:snapToGrid w:val="0"/>
              <w:spacing w:line="360" w:lineRule="auto"/>
              <w:ind w:firstLine="480" w:firstLineChars="200"/>
              <w:rPr>
                <w:sz w:val="24"/>
              </w:rPr>
            </w:pPr>
            <w:r>
              <w:rPr>
                <w:sz w:val="24"/>
              </w:rPr>
              <w:t>N—室内声源总数。</w:t>
            </w:r>
          </w:p>
          <w:p>
            <w:pPr>
              <w:adjustRightInd w:val="0"/>
              <w:snapToGrid w:val="0"/>
              <w:spacing w:line="360" w:lineRule="auto"/>
              <w:ind w:right="720" w:firstLine="480" w:firstLineChars="200"/>
              <w:rPr>
                <w:sz w:val="24"/>
              </w:rPr>
            </w:pPr>
            <w:r>
              <w:rPr>
                <w:sz w:val="24"/>
              </w:rPr>
              <w:t>在室内近似为扩散声场时，按公式（A.</w:t>
            </w:r>
            <w:r>
              <w:rPr>
                <w:rFonts w:hint="eastAsia"/>
                <w:sz w:val="24"/>
              </w:rPr>
              <w:t>8</w:t>
            </w:r>
            <w:r>
              <w:rPr>
                <w:sz w:val="24"/>
              </w:rPr>
              <w:t>）计算出靠近室外围护结构处的声压级：</w:t>
            </w:r>
          </w:p>
          <w:p>
            <w:pPr>
              <w:adjustRightInd w:val="0"/>
              <w:snapToGrid w:val="0"/>
              <w:spacing w:line="360" w:lineRule="auto"/>
              <w:ind w:right="720" w:firstLine="5760" w:firstLineChars="2400"/>
              <w:rPr>
                <w:sz w:val="24"/>
              </w:rPr>
            </w:pPr>
            <w:r>
              <w:rPr>
                <w:sz w:val="24"/>
                <w:lang w:val="en-US"/>
              </w:rPr>
              <w:pict>
                <v:rect id="_x0000_s7560" o:spid="_x0000_s7560" o:spt="1" style="position:absolute;left:0pt;margin-left:115.35pt;margin-top:1.65pt;height:19.35pt;width:156.75pt;z-index:251849728;mso-width-relative:page;mso-height-relative:page;" stroked="f" coordsize="21600,21600">
                  <v:path/>
                  <v:fill focussize="0,0"/>
                  <v:stroke on="f" weight="0.25pt"/>
                  <v:imagedata o:title=""/>
                  <o:lock v:ext="edit"/>
                  <v:textbox inset="0mm,0mm,0mm,0mm">
                    <w:txbxContent>
                      <w:p>
                        <w:r>
                          <w:rPr>
                            <w:lang w:val="en-US"/>
                          </w:rPr>
                          <w:drawing>
                            <wp:inline distT="0" distB="0" distL="0" distR="0">
                              <wp:extent cx="1655445" cy="200025"/>
                              <wp:effectExtent l="0" t="0" r="0" b="0"/>
                              <wp:docPr id="517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 name="图片 23"/>
                                      <pic:cNvPicPr>
                                        <a:picLocks noChangeAspect="1" noChangeArrowheads="1"/>
                                      </pic:cNvPicPr>
                                    </pic:nvPicPr>
                                    <pic:blipFill>
                                      <a:blip r:embed="rId22" cstate="print"/>
                                      <a:srcRect/>
                                      <a:stretch>
                                        <a:fillRect/>
                                      </a:stretch>
                                    </pic:blipFill>
                                    <pic:spPr>
                                      <a:xfrm>
                                        <a:off x="0" y="0"/>
                                        <a:ext cx="1655445" cy="200025"/>
                                      </a:xfrm>
                                      <a:prstGeom prst="rect">
                                        <a:avLst/>
                                      </a:prstGeom>
                                      <a:noFill/>
                                      <a:ln w="9525">
                                        <a:noFill/>
                                        <a:miter lim="800000"/>
                                        <a:headEnd/>
                                        <a:tailEnd/>
                                      </a:ln>
                                      <a:effectLst/>
                                    </pic:spPr>
                                  </pic:pic>
                                </a:graphicData>
                              </a:graphic>
                            </wp:inline>
                          </w:drawing>
                        </w:r>
                      </w:p>
                    </w:txbxContent>
                  </v:textbox>
                </v:rect>
              </w:pict>
            </w:r>
            <w:r>
              <w:rPr>
                <w:sz w:val="24"/>
              </w:rPr>
              <w:t>（A.</w:t>
            </w:r>
            <w:r>
              <w:rPr>
                <w:rFonts w:hint="eastAsia"/>
                <w:sz w:val="24"/>
              </w:rPr>
              <w:t>8</w:t>
            </w:r>
            <w:r>
              <w:rPr>
                <w:sz w:val="24"/>
              </w:rPr>
              <w:t>）</w:t>
            </w:r>
          </w:p>
          <w:p>
            <w:pPr>
              <w:adjustRightInd w:val="0"/>
              <w:snapToGrid w:val="0"/>
              <w:spacing w:line="360" w:lineRule="auto"/>
              <w:ind w:right="480" w:firstLine="480" w:firstLineChars="200"/>
              <w:rPr>
                <w:sz w:val="24"/>
              </w:rPr>
            </w:pPr>
            <w:r>
              <w:rPr>
                <w:sz w:val="24"/>
              </w:rPr>
              <w:t>式中：L</w:t>
            </w:r>
            <w:r>
              <w:rPr>
                <w:sz w:val="24"/>
                <w:vertAlign w:val="subscript"/>
              </w:rPr>
              <w:t>P2i</w:t>
            </w:r>
            <w:r>
              <w:rPr>
                <w:sz w:val="24"/>
              </w:rPr>
              <w:t xml:space="preserve">(T)—靠近围护结构处室外 N个声源i倍频带的叠加声压级，dB； </w:t>
            </w:r>
          </w:p>
          <w:p>
            <w:pPr>
              <w:adjustRightInd w:val="0"/>
              <w:snapToGrid w:val="0"/>
              <w:spacing w:line="360" w:lineRule="auto"/>
              <w:ind w:firstLine="480" w:firstLineChars="200"/>
              <w:rPr>
                <w:sz w:val="24"/>
              </w:rPr>
            </w:pPr>
            <w:r>
              <w:rPr>
                <w:sz w:val="24"/>
              </w:rPr>
              <w:t>TL</w:t>
            </w:r>
            <w:r>
              <w:rPr>
                <w:sz w:val="24"/>
                <w:vertAlign w:val="subscript"/>
              </w:rPr>
              <w:t>i</w:t>
            </w:r>
            <w:r>
              <w:rPr>
                <w:sz w:val="24"/>
              </w:rPr>
              <w:t>—围护结构i倍频带的隔声量，dB。</w:t>
            </w:r>
          </w:p>
          <w:p>
            <w:pPr>
              <w:adjustRightInd w:val="0"/>
              <w:snapToGrid w:val="0"/>
              <w:spacing w:line="360" w:lineRule="auto"/>
              <w:ind w:firstLine="480" w:firstLineChars="200"/>
              <w:rPr>
                <w:sz w:val="24"/>
              </w:rPr>
            </w:pPr>
            <w:r>
              <w:rPr>
                <w:sz w:val="24"/>
                <w:lang w:val="en-US"/>
              </w:rPr>
              <w:pict>
                <v:rect id="_x0000_s7505" o:spid="_x0000_s7505" o:spt="1" style="position:absolute;left:0pt;margin-left:123.25pt;margin-top:41pt;height:22.95pt;width:158.25pt;z-index:251825152;mso-width-relative:page;mso-height-relative:page;" stroked="f" coordsize="21600,21600">
                  <v:path/>
                  <v:fill focussize="0,0"/>
                  <v:stroke on="f" weight="0.25pt"/>
                  <v:imagedata o:title=""/>
                  <o:lock v:ext="edit"/>
                  <v:textbox inset="0mm,0mm,0mm,0mm">
                    <w:txbxContent>
                      <w:p>
                        <w:r>
                          <w:rPr>
                            <w:lang w:val="en-US"/>
                          </w:rPr>
                          <w:drawing>
                            <wp:inline distT="0" distB="0" distL="0" distR="0">
                              <wp:extent cx="1576705" cy="209550"/>
                              <wp:effectExtent l="0" t="0" r="0" b="0"/>
                              <wp:docPr id="51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 name="图片 24"/>
                                      <pic:cNvPicPr>
                                        <a:picLocks noChangeAspect="1" noChangeArrowheads="1"/>
                                      </pic:cNvPicPr>
                                    </pic:nvPicPr>
                                    <pic:blipFill>
                                      <a:blip r:embed="rId23" cstate="print"/>
                                      <a:srcRect/>
                                      <a:stretch>
                                        <a:fillRect/>
                                      </a:stretch>
                                    </pic:blipFill>
                                    <pic:spPr>
                                      <a:xfrm>
                                        <a:off x="0" y="0"/>
                                        <a:ext cx="1576705" cy="205740"/>
                                      </a:xfrm>
                                      <a:prstGeom prst="rect">
                                        <a:avLst/>
                                      </a:prstGeom>
                                      <a:noFill/>
                                      <a:ln w="9525">
                                        <a:noFill/>
                                        <a:miter lim="800000"/>
                                        <a:headEnd/>
                                        <a:tailEnd/>
                                      </a:ln>
                                    </pic:spPr>
                                  </pic:pic>
                                </a:graphicData>
                              </a:graphic>
                            </wp:inline>
                          </w:drawing>
                        </w:r>
                      </w:p>
                    </w:txbxContent>
                  </v:textbox>
                </v:rect>
              </w:pict>
            </w:r>
            <w:r>
              <w:rPr>
                <w:rFonts w:hint="eastAsia"/>
                <w:sz w:val="24"/>
              </w:rPr>
              <w:t xml:space="preserve">  </w:t>
            </w:r>
            <w:r>
              <w:rPr>
                <w:sz w:val="24"/>
              </w:rPr>
              <w:t>然后按公式（A.</w:t>
            </w:r>
            <w:r>
              <w:rPr>
                <w:rFonts w:hint="eastAsia"/>
                <w:sz w:val="24"/>
              </w:rPr>
              <w:t>9</w:t>
            </w:r>
            <w:r>
              <w:rPr>
                <w:sz w:val="24"/>
              </w:rPr>
              <w:t>）将室外声源的声压级和透过面积换算成等效的室外声源，计算出中心位置位于透声面积（S）处的等效声源的倍频带声功率级。</w:t>
            </w:r>
          </w:p>
          <w:p>
            <w:pPr>
              <w:adjustRightInd w:val="0"/>
              <w:snapToGrid w:val="0"/>
              <w:spacing w:line="360" w:lineRule="auto"/>
              <w:ind w:firstLine="480" w:firstLineChars="200"/>
              <w:rPr>
                <w:sz w:val="24"/>
              </w:rPr>
            </w:pPr>
            <w:r>
              <w:rPr>
                <w:rFonts w:hint="eastAsia"/>
                <w:sz w:val="24"/>
              </w:rPr>
              <w:t xml:space="preserve">                                                         </w:t>
            </w:r>
            <w:r>
              <w:rPr>
                <w:sz w:val="24"/>
              </w:rPr>
              <w:t>（A.</w:t>
            </w:r>
            <w:r>
              <w:rPr>
                <w:rFonts w:hint="eastAsia"/>
                <w:sz w:val="24"/>
              </w:rPr>
              <w:t>9</w:t>
            </w:r>
            <w:r>
              <w:rPr>
                <w:sz w:val="24"/>
              </w:rPr>
              <w:t>）</w:t>
            </w:r>
          </w:p>
          <w:p>
            <w:pPr>
              <w:adjustRightInd w:val="0"/>
              <w:snapToGrid w:val="0"/>
              <w:spacing w:line="360" w:lineRule="auto"/>
              <w:ind w:firstLine="480" w:firstLineChars="200"/>
              <w:rPr>
                <w:sz w:val="24"/>
              </w:rPr>
            </w:pPr>
            <w:r>
              <w:rPr>
                <w:sz w:val="24"/>
              </w:rPr>
              <w:t>然后按室外声源预测方法计算预测点处的 A声级。</w:t>
            </w:r>
          </w:p>
          <w:p>
            <w:pPr>
              <w:spacing w:line="360" w:lineRule="auto"/>
              <w:ind w:firstLine="480" w:firstLineChars="200"/>
              <w:rPr>
                <w:rFonts w:ascii="宋体" w:hAnsi="宋体"/>
                <w:sz w:val="23"/>
                <w:szCs w:val="23"/>
              </w:rPr>
            </w:pPr>
            <w:r>
              <w:rPr>
                <w:rFonts w:hint="eastAsia"/>
                <w:sz w:val="24"/>
                <w:szCs w:val="24"/>
              </w:rPr>
              <w:t>（</w:t>
            </w:r>
            <w:r>
              <w:rPr>
                <w:sz w:val="24"/>
                <w:szCs w:val="24"/>
              </w:rPr>
              <w:t>3</w:t>
            </w:r>
            <w:r>
              <w:rPr>
                <w:rFonts w:hint="eastAsia"/>
                <w:sz w:val="24"/>
                <w:szCs w:val="24"/>
              </w:rPr>
              <w:t>）</w:t>
            </w:r>
            <w:r>
              <w:rPr>
                <w:rFonts w:hint="eastAsia" w:ascii="宋体" w:hAnsi="宋体"/>
                <w:sz w:val="24"/>
                <w:szCs w:val="24"/>
              </w:rPr>
              <w:t>设备源强</w:t>
            </w:r>
          </w:p>
          <w:p>
            <w:pPr>
              <w:pStyle w:val="260"/>
              <w:widowControl/>
              <w:spacing w:line="360" w:lineRule="auto"/>
              <w:ind w:firstLine="480"/>
              <w:rPr>
                <w:rFonts w:ascii="宋体" w:hAnsi="宋体"/>
              </w:rPr>
            </w:pPr>
            <w:r>
              <w:rPr>
                <w:rFonts w:hint="eastAsia" w:ascii="宋体" w:hAnsi="宋体"/>
              </w:rPr>
              <w:t>本项目噪声源强噪声级</w:t>
            </w:r>
            <w:r>
              <w:rPr>
                <w:rFonts w:ascii="Times New Roman" w:hAnsi="Times New Roman" w:cs="Times New Roman"/>
              </w:rPr>
              <w:t>7</w:t>
            </w:r>
            <w:r>
              <w:rPr>
                <w:rFonts w:hint="eastAsia" w:ascii="Times New Roman" w:hAnsi="Times New Roman" w:cs="Times New Roman"/>
              </w:rPr>
              <w:t>0</w:t>
            </w:r>
            <w:r>
              <w:rPr>
                <w:rFonts w:ascii="Times New Roman" w:hAnsi="Times New Roman" w:cs="Times New Roman"/>
              </w:rPr>
              <w:t>~8</w:t>
            </w:r>
            <w:r>
              <w:rPr>
                <w:rFonts w:hint="eastAsia" w:ascii="Times New Roman" w:hAnsi="Times New Roman" w:cs="Times New Roman"/>
              </w:rPr>
              <w:t>5</w:t>
            </w:r>
            <w:r>
              <w:rPr>
                <w:rFonts w:ascii="Times New Roman" w:hAnsi="Times New Roman" w:cs="Times New Roman"/>
              </w:rPr>
              <w:t>dB</w:t>
            </w:r>
            <w:r>
              <w:rPr>
                <w:rFonts w:hint="eastAsia" w:ascii="Times New Roman" w:hAnsi="宋体" w:cs="Times New Roman"/>
              </w:rPr>
              <w:t>（</w:t>
            </w:r>
            <w:r>
              <w:rPr>
                <w:rFonts w:ascii="Times New Roman" w:hAnsi="Times New Roman" w:cs="Times New Roman"/>
              </w:rPr>
              <w:t>A</w:t>
            </w:r>
            <w:r>
              <w:rPr>
                <w:rFonts w:hint="eastAsia" w:ascii="Times New Roman" w:hAnsi="宋体" w:cs="Times New Roman"/>
              </w:rPr>
              <w:t>）</w:t>
            </w:r>
            <w:r>
              <w:rPr>
                <w:rFonts w:hint="eastAsia" w:ascii="宋体" w:hAnsi="宋体"/>
              </w:rPr>
              <w:t>，其生产设备噪声源强见表</w:t>
            </w:r>
            <w:r>
              <w:rPr>
                <w:rFonts w:ascii="Times New Roman" w:hAnsi="Times New Roman" w:cs="Times New Roman"/>
              </w:rPr>
              <w:t>5-</w:t>
            </w:r>
            <w:r>
              <w:rPr>
                <w:rFonts w:hint="eastAsia" w:ascii="Times New Roman" w:hAnsi="Times New Roman" w:cs="Times New Roman"/>
              </w:rPr>
              <w:t>3</w:t>
            </w:r>
            <w:r>
              <w:rPr>
                <w:rFonts w:hint="eastAsia" w:ascii="宋体" w:hAnsi="宋体"/>
              </w:rPr>
              <w:t xml:space="preserve">。 </w:t>
            </w:r>
          </w:p>
          <w:p>
            <w:pPr>
              <w:pStyle w:val="260"/>
              <w:widowControl/>
              <w:spacing w:line="360" w:lineRule="auto"/>
              <w:ind w:firstLine="480"/>
              <w:rPr>
                <w:rFonts w:ascii="宋体" w:hAnsi="宋体"/>
              </w:rPr>
            </w:pPr>
            <w:r>
              <w:rPr>
                <w:rFonts w:hint="eastAsia" w:ascii="Times New Roman" w:hAnsi="宋体" w:cs="Times New Roman"/>
              </w:rPr>
              <w:t>（</w:t>
            </w:r>
            <w:r>
              <w:rPr>
                <w:rFonts w:ascii="Times New Roman" w:hAnsi="Times New Roman" w:cs="Times New Roman"/>
              </w:rPr>
              <w:t>4</w:t>
            </w:r>
            <w:r>
              <w:rPr>
                <w:rFonts w:hint="eastAsia" w:ascii="Times New Roman" w:hAnsi="宋体" w:cs="Times New Roman"/>
              </w:rPr>
              <w:t>）</w:t>
            </w:r>
            <w:r>
              <w:rPr>
                <w:rFonts w:hint="eastAsia" w:ascii="宋体" w:hAnsi="宋体"/>
              </w:rPr>
              <w:t>影响分析及评价</w:t>
            </w:r>
          </w:p>
          <w:p>
            <w:pPr>
              <w:pStyle w:val="260"/>
              <w:widowControl/>
              <w:spacing w:line="360" w:lineRule="auto"/>
              <w:ind w:firstLine="480"/>
              <w:rPr>
                <w:rFonts w:ascii="宋体" w:hAnsi="宋体"/>
              </w:rPr>
            </w:pPr>
            <w:r>
              <w:rPr>
                <w:rFonts w:hint="eastAsia" w:ascii="宋体" w:hAnsi="宋体"/>
              </w:rPr>
              <w:t>本项目设计采取以下噪声防治措施：</w:t>
            </w:r>
          </w:p>
          <w:p>
            <w:pPr>
              <w:pStyle w:val="260"/>
              <w:widowControl/>
              <w:spacing w:line="360" w:lineRule="auto"/>
              <w:ind w:firstLine="480"/>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选择性能稳定，运转平稳、低噪声的设备，精心操作，减少设备空转；</w:t>
            </w:r>
          </w:p>
          <w:p>
            <w:pPr>
              <w:pStyle w:val="260"/>
              <w:widowControl/>
              <w:spacing w:line="360" w:lineRule="auto"/>
              <w:ind w:firstLine="480"/>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合理布局生产车间；</w:t>
            </w:r>
          </w:p>
          <w:p>
            <w:pPr>
              <w:pStyle w:val="260"/>
              <w:widowControl/>
              <w:spacing w:line="360" w:lineRule="auto"/>
              <w:ind w:firstLine="480"/>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加强设备的维护保养及日常管理，防止设备故障形成非正常生产噪声；</w:t>
            </w:r>
          </w:p>
          <w:p>
            <w:pPr>
              <w:adjustRightInd w:val="0"/>
              <w:snapToGrid w:val="0"/>
              <w:spacing w:beforeLines="50" w:line="360" w:lineRule="auto"/>
              <w:ind w:firstLine="480" w:firstLineChars="200"/>
              <w:rPr>
                <w:sz w:val="24"/>
                <w:szCs w:val="24"/>
              </w:rPr>
            </w:pPr>
            <w:r>
              <w:rPr>
                <w:rFonts w:ascii="宋体" w:hAnsi="宋体"/>
                <w:sz w:val="24"/>
                <w:szCs w:val="24"/>
              </w:rPr>
              <w:fldChar w:fldCharType="begin"/>
            </w:r>
            <w:r>
              <w:rPr>
                <w:rFonts w:ascii="宋体" w:hAnsi="宋体"/>
                <w:sz w:val="24"/>
                <w:szCs w:val="24"/>
              </w:rPr>
              <w:instrText xml:space="preserve"> = 4 \* GB3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根据噪声源特点，采取相应降噪隔声措施，设备在安装时采取加固减震措施，以防震减噪。</w:t>
            </w:r>
          </w:p>
          <w:p>
            <w:pPr>
              <w:adjustRightInd w:val="0"/>
              <w:snapToGrid w:val="0"/>
              <w:spacing w:line="360" w:lineRule="auto"/>
              <w:ind w:firstLine="480" w:firstLineChars="200"/>
              <w:rPr>
                <w:sz w:val="24"/>
              </w:rPr>
            </w:pPr>
            <w:r>
              <w:rPr>
                <w:sz w:val="24"/>
              </w:rPr>
              <w:t>经采取以上隔声降噪</w:t>
            </w:r>
            <w:r>
              <w:rPr>
                <w:rFonts w:hint="eastAsia"/>
                <w:sz w:val="24"/>
              </w:rPr>
              <w:t>及减震</w:t>
            </w:r>
            <w:r>
              <w:rPr>
                <w:sz w:val="24"/>
              </w:rPr>
              <w:t>措施后，本项目各厂界噪声预测结果见表7-</w:t>
            </w:r>
            <w:r>
              <w:rPr>
                <w:rFonts w:hint="eastAsia"/>
                <w:sz w:val="24"/>
              </w:rPr>
              <w:t>2</w:t>
            </w:r>
            <w:r>
              <w:rPr>
                <w:rFonts w:hint="eastAsia"/>
                <w:sz w:val="24"/>
                <w:lang w:val="en-US" w:eastAsia="zh-CN"/>
              </w:rPr>
              <w:t>2</w:t>
            </w:r>
            <w:r>
              <w:rPr>
                <w:rFonts w:hint="eastAsia"/>
                <w:sz w:val="24"/>
              </w:rPr>
              <w:t>。</w:t>
            </w:r>
          </w:p>
          <w:p>
            <w:pPr>
              <w:jc w:val="center"/>
              <w:rPr>
                <w:rFonts w:hint="eastAsia"/>
                <w:b/>
                <w:color w:val="0070C0"/>
                <w:sz w:val="24"/>
                <w:szCs w:val="24"/>
              </w:rPr>
            </w:pPr>
            <w:r>
              <w:rPr>
                <w:rFonts w:hint="eastAsia"/>
                <w:b/>
                <w:color w:val="0070C0"/>
                <w:sz w:val="24"/>
                <w:szCs w:val="24"/>
              </w:rPr>
              <w:t>表7-2</w:t>
            </w:r>
            <w:r>
              <w:rPr>
                <w:rFonts w:hint="eastAsia"/>
                <w:b/>
                <w:color w:val="0070C0"/>
                <w:sz w:val="24"/>
                <w:szCs w:val="24"/>
                <w:lang w:val="en-US" w:eastAsia="zh-CN"/>
              </w:rPr>
              <w:t xml:space="preserve">2 </w:t>
            </w:r>
            <w:r>
              <w:rPr>
                <w:rFonts w:hint="eastAsia"/>
                <w:b/>
                <w:color w:val="0070C0"/>
                <w:sz w:val="24"/>
                <w:szCs w:val="24"/>
              </w:rPr>
              <w:t xml:space="preserve"> 噪声预测  单位：dB（A）</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33"/>
              <w:gridCol w:w="1542"/>
              <w:gridCol w:w="1784"/>
              <w:gridCol w:w="1727"/>
              <w:gridCol w:w="1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restart"/>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预测点</w:t>
                  </w:r>
                </w:p>
              </w:tc>
              <w:tc>
                <w:tcPr>
                  <w:tcW w:w="6780" w:type="dxa"/>
                  <w:gridSpan w:val="4"/>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continue"/>
                  <w:vAlign w:val="center"/>
                </w:tcPr>
                <w:p>
                  <w:pPr>
                    <w:pStyle w:val="68"/>
                    <w:widowControl w:val="0"/>
                    <w:spacing w:before="0" w:beforeAutospacing="0" w:after="0" w:afterAutospacing="0"/>
                    <w:ind w:left="840" w:hanging="420"/>
                    <w:jc w:val="center"/>
                    <w:rPr>
                      <w:rFonts w:hAnsi="Times New Roman"/>
                      <w:b/>
                      <w:bCs/>
                      <w:color w:val="000000" w:themeColor="text1"/>
                      <w:sz w:val="21"/>
                      <w:szCs w:val="21"/>
                    </w:rPr>
                  </w:pPr>
                </w:p>
              </w:tc>
              <w:tc>
                <w:tcPr>
                  <w:tcW w:w="1542" w:type="dxa"/>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贡献值(dB)</w:t>
                  </w:r>
                </w:p>
              </w:tc>
              <w:tc>
                <w:tcPr>
                  <w:tcW w:w="1784" w:type="dxa"/>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叠加值(dB)</w:t>
                  </w:r>
                </w:p>
              </w:tc>
              <w:tc>
                <w:tcPr>
                  <w:tcW w:w="1727" w:type="dxa"/>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标准值(dB)</w:t>
                  </w:r>
                </w:p>
              </w:tc>
              <w:tc>
                <w:tcPr>
                  <w:tcW w:w="1727" w:type="dxa"/>
                  <w:vAlign w:val="center"/>
                </w:tcPr>
                <w:p>
                  <w:pPr>
                    <w:pStyle w:val="68"/>
                    <w:widowControl w:val="0"/>
                    <w:spacing w:before="0" w:beforeAutospacing="0" w:after="0" w:afterAutospacing="0"/>
                    <w:jc w:val="center"/>
                    <w:rPr>
                      <w:rFonts w:hAnsi="Times New Roman"/>
                      <w:b/>
                      <w:bCs/>
                      <w:color w:val="000000" w:themeColor="text1"/>
                      <w:sz w:val="21"/>
                      <w:szCs w:val="21"/>
                    </w:rPr>
                  </w:pPr>
                  <w:r>
                    <w:rPr>
                      <w:rFonts w:hAnsi="Times New Roman"/>
                      <w:b/>
                      <w:bCs/>
                      <w:color w:val="000000" w:themeColor="text1"/>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color w:val="000000" w:themeColor="text1"/>
                      <w:sz w:val="21"/>
                      <w:szCs w:val="21"/>
                    </w:rPr>
                  </w:pPr>
                  <w:r>
                    <w:rPr>
                      <w:color w:val="000000" w:themeColor="text1"/>
                      <w:sz w:val="21"/>
                      <w:szCs w:val="21"/>
                    </w:rPr>
                    <w:t>东厂界</w:t>
                  </w:r>
                </w:p>
              </w:tc>
              <w:tc>
                <w:tcPr>
                  <w:tcW w:w="1542" w:type="dxa"/>
                  <w:vAlign w:val="center"/>
                </w:tcPr>
                <w:p>
                  <w:pPr>
                    <w:jc w:val="center"/>
                    <w:rPr>
                      <w:rFonts w:hint="default" w:eastAsia="宋体"/>
                      <w:bCs/>
                      <w:color w:val="000000" w:themeColor="text1"/>
                      <w:sz w:val="21"/>
                      <w:szCs w:val="21"/>
                      <w:lang w:val="en-US" w:eastAsia="zh-CN"/>
                    </w:rPr>
                  </w:pPr>
                  <w:r>
                    <w:rPr>
                      <w:rFonts w:hint="eastAsia"/>
                      <w:bCs/>
                      <w:color w:val="000000" w:themeColor="text1"/>
                      <w:sz w:val="21"/>
                      <w:szCs w:val="21"/>
                      <w:lang w:val="en-US" w:eastAsia="zh-CN"/>
                    </w:rPr>
                    <w:t>56.4</w:t>
                  </w:r>
                </w:p>
              </w:tc>
              <w:tc>
                <w:tcPr>
                  <w:tcW w:w="1784" w:type="dxa"/>
                  <w:vAlign w:val="center"/>
                </w:tcPr>
                <w:p>
                  <w:pPr>
                    <w:jc w:val="center"/>
                    <w:rPr>
                      <w:rFonts w:hint="default" w:eastAsia="宋体"/>
                      <w:bCs/>
                      <w:color w:val="0070C0"/>
                      <w:sz w:val="21"/>
                      <w:szCs w:val="21"/>
                      <w:lang w:val="en-US" w:eastAsia="zh-CN"/>
                    </w:rPr>
                  </w:pPr>
                  <w:r>
                    <w:rPr>
                      <w:rFonts w:hint="eastAsia"/>
                      <w:bCs/>
                      <w:color w:val="0070C0"/>
                      <w:sz w:val="21"/>
                      <w:szCs w:val="21"/>
                      <w:lang w:val="en-US" w:eastAsia="zh-CN"/>
                    </w:rPr>
                    <w:t>60.0</w:t>
                  </w:r>
                </w:p>
              </w:tc>
              <w:tc>
                <w:tcPr>
                  <w:tcW w:w="1727" w:type="dxa"/>
                  <w:vAlign w:val="center"/>
                </w:tcPr>
                <w:p>
                  <w:pPr>
                    <w:jc w:val="center"/>
                    <w:rPr>
                      <w:color w:val="000000" w:themeColor="text1"/>
                      <w:sz w:val="21"/>
                      <w:szCs w:val="21"/>
                    </w:rPr>
                  </w:pPr>
                  <w:r>
                    <w:rPr>
                      <w:rFonts w:hint="eastAsia"/>
                      <w:color w:val="000000" w:themeColor="text1"/>
                      <w:sz w:val="21"/>
                      <w:szCs w:val="21"/>
                    </w:rPr>
                    <w:t>65</w:t>
                  </w:r>
                </w:p>
              </w:tc>
              <w:tc>
                <w:tcPr>
                  <w:tcW w:w="1727" w:type="dxa"/>
                  <w:vAlign w:val="center"/>
                </w:tcPr>
                <w:p>
                  <w:pPr>
                    <w:pStyle w:val="68"/>
                    <w:widowControl w:val="0"/>
                    <w:spacing w:before="0" w:beforeAutospacing="0" w:after="0" w:afterAutospacing="0"/>
                    <w:jc w:val="center"/>
                    <w:rPr>
                      <w:rFonts w:hAnsi="Times New Roman"/>
                      <w:color w:val="000000" w:themeColor="text1"/>
                      <w:sz w:val="21"/>
                      <w:szCs w:val="21"/>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533" w:type="dxa"/>
                  <w:vAlign w:val="center"/>
                </w:tcPr>
                <w:p>
                  <w:pPr>
                    <w:tabs>
                      <w:tab w:val="right" w:leader="dot" w:pos="8606"/>
                    </w:tabs>
                    <w:jc w:val="center"/>
                    <w:rPr>
                      <w:color w:val="000000" w:themeColor="text1"/>
                      <w:sz w:val="21"/>
                      <w:szCs w:val="21"/>
                    </w:rPr>
                  </w:pPr>
                  <w:r>
                    <w:rPr>
                      <w:rFonts w:hint="eastAsia"/>
                      <w:color w:val="000000" w:themeColor="text1"/>
                      <w:sz w:val="21"/>
                      <w:szCs w:val="21"/>
                    </w:rPr>
                    <w:t>南</w:t>
                  </w:r>
                  <w:r>
                    <w:rPr>
                      <w:color w:val="000000" w:themeColor="text1"/>
                      <w:sz w:val="21"/>
                      <w:szCs w:val="21"/>
                    </w:rPr>
                    <w:t>厂界</w:t>
                  </w:r>
                </w:p>
              </w:tc>
              <w:tc>
                <w:tcPr>
                  <w:tcW w:w="1542" w:type="dxa"/>
                  <w:vAlign w:val="center"/>
                </w:tcPr>
                <w:p>
                  <w:pPr>
                    <w:jc w:val="center"/>
                    <w:rPr>
                      <w:rFonts w:hint="default" w:eastAsia="宋体"/>
                      <w:bCs/>
                      <w:color w:val="000000" w:themeColor="text1"/>
                      <w:sz w:val="21"/>
                      <w:szCs w:val="21"/>
                      <w:lang w:val="en-US" w:eastAsia="zh-CN"/>
                    </w:rPr>
                  </w:pPr>
                  <w:r>
                    <w:rPr>
                      <w:rFonts w:hint="eastAsia"/>
                      <w:bCs/>
                      <w:color w:val="000000" w:themeColor="text1"/>
                      <w:sz w:val="21"/>
                      <w:szCs w:val="21"/>
                      <w:lang w:val="en-US" w:eastAsia="zh-CN"/>
                    </w:rPr>
                    <w:t>50.4</w:t>
                  </w:r>
                </w:p>
              </w:tc>
              <w:tc>
                <w:tcPr>
                  <w:tcW w:w="1784" w:type="dxa"/>
                  <w:vAlign w:val="center"/>
                </w:tcPr>
                <w:p>
                  <w:pPr>
                    <w:jc w:val="center"/>
                    <w:rPr>
                      <w:rFonts w:hint="default" w:eastAsia="宋体"/>
                      <w:bCs/>
                      <w:color w:val="0070C0"/>
                      <w:sz w:val="21"/>
                      <w:szCs w:val="21"/>
                      <w:lang w:val="en-US" w:eastAsia="zh-CN"/>
                    </w:rPr>
                  </w:pPr>
                  <w:r>
                    <w:rPr>
                      <w:rFonts w:hint="eastAsia"/>
                      <w:bCs/>
                      <w:color w:val="0070C0"/>
                      <w:sz w:val="21"/>
                      <w:szCs w:val="21"/>
                      <w:lang w:val="en-US" w:eastAsia="zh-CN"/>
                    </w:rPr>
                    <w:t>58.1</w:t>
                  </w:r>
                </w:p>
              </w:tc>
              <w:tc>
                <w:tcPr>
                  <w:tcW w:w="1727" w:type="dxa"/>
                  <w:vAlign w:val="center"/>
                </w:tcPr>
                <w:p>
                  <w:pPr>
                    <w:jc w:val="center"/>
                    <w:rPr>
                      <w:color w:val="000000" w:themeColor="text1"/>
                      <w:sz w:val="21"/>
                      <w:szCs w:val="21"/>
                    </w:rPr>
                  </w:pPr>
                  <w:r>
                    <w:rPr>
                      <w:rFonts w:hint="eastAsia"/>
                      <w:color w:val="000000" w:themeColor="text1"/>
                      <w:sz w:val="21"/>
                      <w:szCs w:val="21"/>
                    </w:rPr>
                    <w:t>65</w:t>
                  </w:r>
                </w:p>
              </w:tc>
              <w:tc>
                <w:tcPr>
                  <w:tcW w:w="1727" w:type="dxa"/>
                  <w:vAlign w:val="center"/>
                </w:tcPr>
                <w:p>
                  <w:pPr>
                    <w:pStyle w:val="68"/>
                    <w:widowControl w:val="0"/>
                    <w:spacing w:before="0" w:beforeAutospacing="0" w:after="0" w:afterAutospacing="0"/>
                    <w:jc w:val="center"/>
                    <w:rPr>
                      <w:rFonts w:hAnsi="Times New Roman"/>
                      <w:color w:val="000000" w:themeColor="text1"/>
                      <w:sz w:val="21"/>
                      <w:szCs w:val="21"/>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color w:val="000000" w:themeColor="text1"/>
                      <w:sz w:val="21"/>
                      <w:szCs w:val="21"/>
                    </w:rPr>
                  </w:pPr>
                  <w:r>
                    <w:rPr>
                      <w:rFonts w:hint="eastAsia"/>
                      <w:color w:val="000000" w:themeColor="text1"/>
                      <w:sz w:val="21"/>
                      <w:szCs w:val="21"/>
                    </w:rPr>
                    <w:t>西</w:t>
                  </w:r>
                  <w:r>
                    <w:rPr>
                      <w:color w:val="000000" w:themeColor="text1"/>
                      <w:sz w:val="21"/>
                      <w:szCs w:val="21"/>
                    </w:rPr>
                    <w:t>厂界</w:t>
                  </w:r>
                </w:p>
              </w:tc>
              <w:tc>
                <w:tcPr>
                  <w:tcW w:w="1542" w:type="dxa"/>
                  <w:vAlign w:val="center"/>
                </w:tcPr>
                <w:p>
                  <w:pPr>
                    <w:jc w:val="center"/>
                    <w:rPr>
                      <w:rFonts w:hint="default" w:eastAsia="宋体"/>
                      <w:bCs/>
                      <w:color w:val="000000" w:themeColor="text1"/>
                      <w:sz w:val="21"/>
                      <w:szCs w:val="21"/>
                      <w:lang w:val="en-US" w:eastAsia="zh-CN"/>
                    </w:rPr>
                  </w:pPr>
                  <w:r>
                    <w:rPr>
                      <w:rFonts w:hint="eastAsia"/>
                      <w:bCs/>
                      <w:color w:val="000000" w:themeColor="text1"/>
                      <w:sz w:val="21"/>
                      <w:szCs w:val="21"/>
                      <w:lang w:val="en-US" w:eastAsia="zh-CN"/>
                    </w:rPr>
                    <w:t>59.4</w:t>
                  </w:r>
                </w:p>
              </w:tc>
              <w:tc>
                <w:tcPr>
                  <w:tcW w:w="1784" w:type="dxa"/>
                  <w:vAlign w:val="center"/>
                </w:tcPr>
                <w:p>
                  <w:pPr>
                    <w:jc w:val="center"/>
                    <w:rPr>
                      <w:rFonts w:hint="default" w:eastAsia="宋体"/>
                      <w:bCs/>
                      <w:color w:val="0070C0"/>
                      <w:sz w:val="21"/>
                      <w:szCs w:val="21"/>
                      <w:lang w:val="en-US" w:eastAsia="zh-CN"/>
                    </w:rPr>
                  </w:pPr>
                  <w:r>
                    <w:rPr>
                      <w:rFonts w:hint="eastAsia"/>
                      <w:bCs/>
                      <w:color w:val="0070C0"/>
                      <w:sz w:val="21"/>
                      <w:szCs w:val="21"/>
                      <w:lang w:val="en-US" w:eastAsia="zh-CN"/>
                    </w:rPr>
                    <w:t>61.9</w:t>
                  </w:r>
                </w:p>
              </w:tc>
              <w:tc>
                <w:tcPr>
                  <w:tcW w:w="1727" w:type="dxa"/>
                  <w:vAlign w:val="center"/>
                </w:tcPr>
                <w:p>
                  <w:pPr>
                    <w:jc w:val="center"/>
                    <w:rPr>
                      <w:color w:val="000000" w:themeColor="text1"/>
                      <w:sz w:val="21"/>
                      <w:szCs w:val="21"/>
                    </w:rPr>
                  </w:pPr>
                  <w:r>
                    <w:rPr>
                      <w:rFonts w:hint="eastAsia"/>
                      <w:color w:val="000000" w:themeColor="text1"/>
                      <w:sz w:val="21"/>
                      <w:szCs w:val="21"/>
                    </w:rPr>
                    <w:t>65</w:t>
                  </w:r>
                </w:p>
              </w:tc>
              <w:tc>
                <w:tcPr>
                  <w:tcW w:w="1727" w:type="dxa"/>
                  <w:vAlign w:val="center"/>
                </w:tcPr>
                <w:p>
                  <w:pPr>
                    <w:pStyle w:val="68"/>
                    <w:widowControl w:val="0"/>
                    <w:spacing w:before="0" w:beforeAutospacing="0" w:after="0" w:afterAutospacing="0"/>
                    <w:jc w:val="center"/>
                    <w:rPr>
                      <w:rFonts w:hAnsi="Times New Roman"/>
                      <w:color w:val="000000" w:themeColor="text1"/>
                      <w:sz w:val="21"/>
                      <w:szCs w:val="21"/>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color w:val="000000" w:themeColor="text1"/>
                      <w:sz w:val="21"/>
                      <w:szCs w:val="21"/>
                    </w:rPr>
                  </w:pPr>
                  <w:r>
                    <w:rPr>
                      <w:rFonts w:hint="eastAsia"/>
                      <w:color w:val="000000" w:themeColor="text1"/>
                      <w:sz w:val="21"/>
                      <w:szCs w:val="21"/>
                    </w:rPr>
                    <w:t>北</w:t>
                  </w:r>
                  <w:r>
                    <w:rPr>
                      <w:color w:val="000000" w:themeColor="text1"/>
                      <w:sz w:val="21"/>
                      <w:szCs w:val="21"/>
                    </w:rPr>
                    <w:t>厂界</w:t>
                  </w:r>
                </w:p>
              </w:tc>
              <w:tc>
                <w:tcPr>
                  <w:tcW w:w="1542" w:type="dxa"/>
                  <w:vAlign w:val="center"/>
                </w:tcPr>
                <w:p>
                  <w:pPr>
                    <w:jc w:val="center"/>
                    <w:rPr>
                      <w:rFonts w:hint="default" w:eastAsia="宋体"/>
                      <w:bCs/>
                      <w:color w:val="000000" w:themeColor="text1"/>
                      <w:sz w:val="21"/>
                      <w:szCs w:val="21"/>
                      <w:lang w:val="en-US" w:eastAsia="zh-CN"/>
                    </w:rPr>
                  </w:pPr>
                  <w:r>
                    <w:rPr>
                      <w:rFonts w:hint="eastAsia"/>
                      <w:bCs/>
                      <w:color w:val="000000" w:themeColor="text1"/>
                      <w:sz w:val="21"/>
                      <w:szCs w:val="21"/>
                      <w:lang w:val="en-US" w:eastAsia="zh-CN"/>
                    </w:rPr>
                    <w:t>48.8</w:t>
                  </w:r>
                </w:p>
              </w:tc>
              <w:tc>
                <w:tcPr>
                  <w:tcW w:w="1784" w:type="dxa"/>
                  <w:vAlign w:val="center"/>
                </w:tcPr>
                <w:p>
                  <w:pPr>
                    <w:jc w:val="center"/>
                    <w:rPr>
                      <w:rFonts w:hint="default" w:eastAsia="宋体"/>
                      <w:bCs/>
                      <w:color w:val="0070C0"/>
                      <w:sz w:val="21"/>
                      <w:szCs w:val="21"/>
                      <w:lang w:val="en-US" w:eastAsia="zh-CN"/>
                    </w:rPr>
                  </w:pPr>
                  <w:r>
                    <w:rPr>
                      <w:rFonts w:hint="eastAsia"/>
                      <w:bCs/>
                      <w:color w:val="0070C0"/>
                      <w:sz w:val="21"/>
                      <w:szCs w:val="21"/>
                      <w:lang w:val="en-US" w:eastAsia="zh-CN"/>
                    </w:rPr>
                    <w:t>59.5</w:t>
                  </w:r>
                </w:p>
              </w:tc>
              <w:tc>
                <w:tcPr>
                  <w:tcW w:w="1727" w:type="dxa"/>
                  <w:vAlign w:val="center"/>
                </w:tcPr>
                <w:p>
                  <w:pPr>
                    <w:jc w:val="center"/>
                    <w:rPr>
                      <w:color w:val="000000" w:themeColor="text1"/>
                      <w:sz w:val="21"/>
                      <w:szCs w:val="21"/>
                    </w:rPr>
                  </w:pPr>
                  <w:r>
                    <w:rPr>
                      <w:rFonts w:hint="eastAsia"/>
                      <w:color w:val="000000" w:themeColor="text1"/>
                      <w:sz w:val="21"/>
                      <w:szCs w:val="21"/>
                    </w:rPr>
                    <w:t>65</w:t>
                  </w:r>
                </w:p>
              </w:tc>
              <w:tc>
                <w:tcPr>
                  <w:tcW w:w="1727" w:type="dxa"/>
                  <w:vAlign w:val="center"/>
                </w:tcPr>
                <w:p>
                  <w:pPr>
                    <w:pStyle w:val="68"/>
                    <w:widowControl w:val="0"/>
                    <w:spacing w:before="0" w:beforeAutospacing="0" w:after="0" w:afterAutospacing="0"/>
                    <w:jc w:val="center"/>
                    <w:rPr>
                      <w:rFonts w:hAnsi="Times New Roman"/>
                      <w:color w:val="000000" w:themeColor="text1"/>
                      <w:sz w:val="21"/>
                      <w:szCs w:val="21"/>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hint="eastAsia" w:eastAsia="宋体"/>
                      <w:color w:val="000000" w:themeColor="text1"/>
                      <w:sz w:val="21"/>
                      <w:szCs w:val="21"/>
                      <w:lang w:eastAsia="zh-CN"/>
                    </w:rPr>
                  </w:pPr>
                  <w:r>
                    <w:rPr>
                      <w:rFonts w:hint="eastAsia"/>
                      <w:color w:val="000000" w:themeColor="text1"/>
                      <w:sz w:val="21"/>
                      <w:szCs w:val="21"/>
                      <w:lang w:eastAsia="zh-CN"/>
                    </w:rPr>
                    <w:t>查林村</w:t>
                  </w:r>
                </w:p>
              </w:tc>
              <w:tc>
                <w:tcPr>
                  <w:tcW w:w="1542" w:type="dxa"/>
                  <w:vAlign w:val="center"/>
                </w:tcPr>
                <w:p>
                  <w:pPr>
                    <w:jc w:val="center"/>
                    <w:rPr>
                      <w:rFonts w:hint="default" w:eastAsia="宋体"/>
                      <w:bCs/>
                      <w:color w:val="000000" w:themeColor="text1"/>
                      <w:sz w:val="21"/>
                      <w:szCs w:val="21"/>
                      <w:lang w:val="en-US" w:eastAsia="zh-CN"/>
                    </w:rPr>
                  </w:pPr>
                  <w:r>
                    <w:rPr>
                      <w:rFonts w:hint="eastAsia"/>
                      <w:bCs/>
                      <w:color w:val="000000" w:themeColor="text1"/>
                      <w:sz w:val="21"/>
                      <w:szCs w:val="21"/>
                    </w:rPr>
                    <w:t>≤</w:t>
                  </w:r>
                  <w:r>
                    <w:rPr>
                      <w:rFonts w:hint="eastAsia"/>
                      <w:bCs/>
                      <w:color w:val="000000" w:themeColor="text1"/>
                      <w:sz w:val="21"/>
                      <w:szCs w:val="21"/>
                      <w:lang w:val="en-US" w:eastAsia="zh-CN"/>
                    </w:rPr>
                    <w:t>21.1</w:t>
                  </w:r>
                </w:p>
              </w:tc>
              <w:tc>
                <w:tcPr>
                  <w:tcW w:w="1784" w:type="dxa"/>
                  <w:vAlign w:val="center"/>
                </w:tcPr>
                <w:p>
                  <w:pPr>
                    <w:jc w:val="center"/>
                    <w:rPr>
                      <w:rFonts w:hint="default" w:eastAsia="宋体"/>
                      <w:bCs/>
                      <w:color w:val="0070C0"/>
                      <w:sz w:val="21"/>
                      <w:szCs w:val="21"/>
                      <w:lang w:val="en-US" w:eastAsia="zh-CN"/>
                    </w:rPr>
                  </w:pPr>
                  <w:r>
                    <w:rPr>
                      <w:rFonts w:hint="eastAsia"/>
                      <w:bCs/>
                      <w:color w:val="0070C0"/>
                      <w:sz w:val="21"/>
                      <w:szCs w:val="21"/>
                      <w:lang w:val="en-US" w:eastAsia="zh-CN"/>
                    </w:rPr>
                    <w:t>57.8</w:t>
                  </w:r>
                </w:p>
              </w:tc>
              <w:tc>
                <w:tcPr>
                  <w:tcW w:w="1727" w:type="dxa"/>
                  <w:vAlign w:val="center"/>
                </w:tcPr>
                <w:p>
                  <w:pPr>
                    <w:jc w:val="center"/>
                    <w:rPr>
                      <w:color w:val="000000" w:themeColor="text1"/>
                      <w:sz w:val="21"/>
                      <w:szCs w:val="21"/>
                    </w:rPr>
                  </w:pPr>
                  <w:r>
                    <w:rPr>
                      <w:rFonts w:hint="eastAsia"/>
                      <w:color w:val="000000" w:themeColor="text1"/>
                      <w:sz w:val="21"/>
                      <w:szCs w:val="21"/>
                    </w:rPr>
                    <w:t>60</w:t>
                  </w:r>
                </w:p>
              </w:tc>
              <w:tc>
                <w:tcPr>
                  <w:tcW w:w="1727" w:type="dxa"/>
                  <w:vAlign w:val="center"/>
                </w:tcPr>
                <w:p>
                  <w:pPr>
                    <w:pStyle w:val="68"/>
                    <w:widowControl w:val="0"/>
                    <w:spacing w:before="0" w:beforeAutospacing="0" w:after="0" w:afterAutospacing="0"/>
                    <w:jc w:val="center"/>
                    <w:rPr>
                      <w:rFonts w:hAnsi="Times New Roman"/>
                      <w:color w:val="000000" w:themeColor="text1"/>
                      <w:sz w:val="21"/>
                      <w:szCs w:val="21"/>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restart"/>
                  <w:vAlign w:val="center"/>
                </w:tcPr>
                <w:p>
                  <w:pPr>
                    <w:pStyle w:val="68"/>
                    <w:widowControl w:val="0"/>
                    <w:spacing w:before="0" w:beforeAutospacing="0" w:after="0" w:afterAutospacing="0"/>
                    <w:jc w:val="center"/>
                    <w:rPr>
                      <w:rFonts w:hint="eastAsia" w:ascii="Times New Roman" w:hAnsi="Times New Roman" w:eastAsia="宋体" w:cs="Times New Roman"/>
                      <w:b/>
                      <w:bCs/>
                      <w:color w:val="000000" w:themeColor="text1"/>
                      <w:kern w:val="0"/>
                      <w:sz w:val="21"/>
                      <w:szCs w:val="21"/>
                      <w:lang w:val="fi-FI" w:eastAsia="zh-CN" w:bidi="ar-SA"/>
                    </w:rPr>
                  </w:pPr>
                  <w:r>
                    <w:rPr>
                      <w:rFonts w:hAnsi="Times New Roman"/>
                      <w:b/>
                      <w:bCs/>
                      <w:color w:val="000000" w:themeColor="text1"/>
                      <w:sz w:val="21"/>
                      <w:szCs w:val="21"/>
                    </w:rPr>
                    <w:t>预测点</w:t>
                  </w:r>
                </w:p>
              </w:tc>
              <w:tc>
                <w:tcPr>
                  <w:tcW w:w="6780" w:type="dxa"/>
                  <w:gridSpan w:val="4"/>
                  <w:vAlign w:val="center"/>
                </w:tcPr>
                <w:p>
                  <w:pPr>
                    <w:pStyle w:val="68"/>
                    <w:widowControl w:val="0"/>
                    <w:spacing w:before="0" w:beforeAutospacing="0" w:after="0" w:afterAutospacing="0"/>
                    <w:jc w:val="center"/>
                    <w:rPr>
                      <w:rFonts w:ascii="Times New Roman" w:hAnsi="Times New Roman" w:eastAsia="宋体" w:cs="Times New Roman"/>
                      <w:b/>
                      <w:bCs/>
                      <w:color w:val="000000" w:themeColor="text1"/>
                      <w:kern w:val="0"/>
                      <w:sz w:val="21"/>
                      <w:szCs w:val="21"/>
                      <w:lang w:val="fi-FI" w:eastAsia="zh-CN" w:bidi="ar-SA"/>
                    </w:rPr>
                  </w:pPr>
                  <w:r>
                    <w:rPr>
                      <w:rFonts w:hint="eastAsia" w:hAnsi="Times New Roman"/>
                      <w:b/>
                      <w:bCs/>
                      <w:color w:val="000000" w:themeColor="text1"/>
                      <w:sz w:val="21"/>
                      <w:szCs w:val="21"/>
                      <w:lang w:eastAsia="zh-CN"/>
                    </w:rPr>
                    <w:t>夜</w:t>
                  </w:r>
                  <w:r>
                    <w:rPr>
                      <w:rFonts w:hAnsi="Times New Roman"/>
                      <w:b/>
                      <w:bCs/>
                      <w:color w:val="000000" w:themeColor="text1"/>
                      <w:sz w:val="21"/>
                      <w:szCs w:val="21"/>
                    </w:rPr>
                    <w:t>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continue"/>
                  <w:vAlign w:val="center"/>
                </w:tcPr>
                <w:p>
                  <w:pPr>
                    <w:tabs>
                      <w:tab w:val="right" w:leader="dot" w:pos="8606"/>
                    </w:tabs>
                    <w:jc w:val="center"/>
                    <w:rPr>
                      <w:rFonts w:hint="eastAsia"/>
                      <w:color w:val="000000" w:themeColor="text1"/>
                      <w:sz w:val="21"/>
                      <w:szCs w:val="21"/>
                      <w:lang w:eastAsia="zh-CN"/>
                    </w:rPr>
                  </w:pPr>
                </w:p>
              </w:tc>
              <w:tc>
                <w:tcPr>
                  <w:tcW w:w="1542" w:type="dxa"/>
                  <w:vAlign w:val="center"/>
                </w:tcPr>
                <w:p>
                  <w:pPr>
                    <w:pStyle w:val="68"/>
                    <w:widowControl w:val="0"/>
                    <w:spacing w:before="0" w:beforeAutospacing="0" w:after="0" w:afterAutospacing="0"/>
                    <w:jc w:val="center"/>
                    <w:rPr>
                      <w:rFonts w:hint="eastAsia" w:ascii="Times New Roman" w:hAnsi="Times New Roman" w:eastAsia="宋体" w:cs="Times New Roman"/>
                      <w:b/>
                      <w:bCs/>
                      <w:color w:val="000000" w:themeColor="text1"/>
                      <w:kern w:val="0"/>
                      <w:sz w:val="21"/>
                      <w:szCs w:val="21"/>
                      <w:lang w:val="fi-FI" w:eastAsia="zh-CN" w:bidi="ar-SA"/>
                    </w:rPr>
                  </w:pPr>
                  <w:r>
                    <w:rPr>
                      <w:rFonts w:hAnsi="Times New Roman"/>
                      <w:b/>
                      <w:bCs/>
                      <w:color w:val="000000" w:themeColor="text1"/>
                      <w:sz w:val="21"/>
                      <w:szCs w:val="21"/>
                    </w:rPr>
                    <w:t>贡献值(dB)</w:t>
                  </w:r>
                </w:p>
              </w:tc>
              <w:tc>
                <w:tcPr>
                  <w:tcW w:w="1784" w:type="dxa"/>
                  <w:vAlign w:val="center"/>
                </w:tcPr>
                <w:p>
                  <w:pPr>
                    <w:pStyle w:val="68"/>
                    <w:widowControl w:val="0"/>
                    <w:spacing w:before="0" w:beforeAutospacing="0" w:after="0" w:afterAutospacing="0"/>
                    <w:jc w:val="center"/>
                    <w:rPr>
                      <w:rFonts w:hint="eastAsia" w:ascii="Times New Roman" w:hAnsi="Times New Roman" w:eastAsia="宋体" w:cs="Times New Roman"/>
                      <w:b/>
                      <w:bCs/>
                      <w:color w:val="000000" w:themeColor="text1"/>
                      <w:kern w:val="0"/>
                      <w:sz w:val="21"/>
                      <w:szCs w:val="21"/>
                      <w:lang w:val="fi-FI" w:eastAsia="zh-CN" w:bidi="ar-SA"/>
                    </w:rPr>
                  </w:pPr>
                  <w:r>
                    <w:rPr>
                      <w:rFonts w:hAnsi="Times New Roman"/>
                      <w:b/>
                      <w:bCs/>
                      <w:color w:val="000000" w:themeColor="text1"/>
                      <w:sz w:val="21"/>
                      <w:szCs w:val="21"/>
                    </w:rPr>
                    <w:t>叠加值(dB)</w:t>
                  </w:r>
                </w:p>
              </w:tc>
              <w:tc>
                <w:tcPr>
                  <w:tcW w:w="1727" w:type="dxa"/>
                  <w:vAlign w:val="center"/>
                </w:tcPr>
                <w:p>
                  <w:pPr>
                    <w:pStyle w:val="68"/>
                    <w:widowControl w:val="0"/>
                    <w:spacing w:before="0" w:beforeAutospacing="0" w:after="0" w:afterAutospacing="0"/>
                    <w:jc w:val="center"/>
                    <w:rPr>
                      <w:rFonts w:hint="eastAsia" w:ascii="Times New Roman" w:hAnsi="Times New Roman" w:eastAsia="宋体" w:cs="Times New Roman"/>
                      <w:b/>
                      <w:bCs/>
                      <w:color w:val="000000" w:themeColor="text1"/>
                      <w:kern w:val="0"/>
                      <w:sz w:val="21"/>
                      <w:szCs w:val="21"/>
                      <w:lang w:val="fi-FI" w:eastAsia="zh-CN" w:bidi="ar-SA"/>
                    </w:rPr>
                  </w:pPr>
                  <w:r>
                    <w:rPr>
                      <w:rFonts w:hAnsi="Times New Roman"/>
                      <w:b/>
                      <w:bCs/>
                      <w:color w:val="000000" w:themeColor="text1"/>
                      <w:sz w:val="21"/>
                      <w:szCs w:val="21"/>
                    </w:rPr>
                    <w:t>标准值(dB)</w:t>
                  </w:r>
                </w:p>
              </w:tc>
              <w:tc>
                <w:tcPr>
                  <w:tcW w:w="1727" w:type="dxa"/>
                  <w:vAlign w:val="center"/>
                </w:tcPr>
                <w:p>
                  <w:pPr>
                    <w:pStyle w:val="68"/>
                    <w:widowControl w:val="0"/>
                    <w:spacing w:before="0" w:beforeAutospacing="0" w:after="0" w:afterAutospacing="0"/>
                    <w:jc w:val="center"/>
                    <w:rPr>
                      <w:rFonts w:ascii="Times New Roman" w:hAnsi="Times New Roman" w:eastAsia="宋体" w:cs="Times New Roman"/>
                      <w:b/>
                      <w:bCs/>
                      <w:color w:val="000000" w:themeColor="text1"/>
                      <w:kern w:val="0"/>
                      <w:sz w:val="21"/>
                      <w:szCs w:val="21"/>
                      <w:lang w:val="fi-FI" w:eastAsia="zh-CN" w:bidi="ar-SA"/>
                    </w:rPr>
                  </w:pPr>
                  <w:r>
                    <w:rPr>
                      <w:rFonts w:hAnsi="Times New Roman"/>
                      <w:b/>
                      <w:bCs/>
                      <w:color w:val="000000" w:themeColor="text1"/>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hint="eastAsia" w:ascii="Times New Roman" w:hAnsi="Times New Roman" w:eastAsia="宋体" w:cs="Times New Roman"/>
                      <w:color w:val="000000" w:themeColor="text1"/>
                      <w:kern w:val="2"/>
                      <w:sz w:val="21"/>
                      <w:szCs w:val="21"/>
                      <w:lang w:val="fi-FI" w:eastAsia="zh-CN" w:bidi="ar-SA"/>
                    </w:rPr>
                  </w:pPr>
                  <w:r>
                    <w:rPr>
                      <w:color w:val="000000" w:themeColor="text1"/>
                      <w:sz w:val="21"/>
                      <w:szCs w:val="21"/>
                    </w:rPr>
                    <w:t>东厂界</w:t>
                  </w:r>
                </w:p>
              </w:tc>
              <w:tc>
                <w:tcPr>
                  <w:tcW w:w="1542" w:type="dxa"/>
                  <w:vAlign w:val="center"/>
                </w:tcPr>
                <w:p>
                  <w:pPr>
                    <w:jc w:val="center"/>
                    <w:rPr>
                      <w:rFonts w:hint="default" w:ascii="Times New Roman" w:hAnsi="Times New Roman" w:eastAsia="宋体" w:cs="Times New Roman"/>
                      <w:bCs/>
                      <w:color w:val="000000" w:themeColor="text1"/>
                      <w:kern w:val="2"/>
                      <w:sz w:val="21"/>
                      <w:szCs w:val="21"/>
                      <w:lang w:val="en-US" w:eastAsia="zh-CN" w:bidi="ar-SA"/>
                    </w:rPr>
                  </w:pPr>
                  <w:r>
                    <w:rPr>
                      <w:rFonts w:hint="eastAsia" w:cs="Times New Roman"/>
                      <w:bCs/>
                      <w:color w:val="000000" w:themeColor="text1"/>
                      <w:kern w:val="2"/>
                      <w:sz w:val="21"/>
                      <w:szCs w:val="21"/>
                      <w:lang w:val="en-US" w:eastAsia="zh-CN" w:bidi="ar-SA"/>
                    </w:rPr>
                    <w:t>47.4</w:t>
                  </w:r>
                </w:p>
              </w:tc>
              <w:tc>
                <w:tcPr>
                  <w:tcW w:w="1784" w:type="dxa"/>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50.5</w:t>
                  </w:r>
                </w:p>
              </w:tc>
              <w:tc>
                <w:tcPr>
                  <w:tcW w:w="1727"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55</w:t>
                  </w:r>
                </w:p>
              </w:tc>
              <w:tc>
                <w:tcPr>
                  <w:tcW w:w="1727" w:type="dxa"/>
                  <w:vAlign w:val="center"/>
                </w:tcPr>
                <w:p>
                  <w:pPr>
                    <w:pStyle w:val="68"/>
                    <w:widowControl w:val="0"/>
                    <w:spacing w:before="0" w:beforeAutospacing="0" w:after="0" w:afterAutospacing="0"/>
                    <w:jc w:val="center"/>
                    <w:rPr>
                      <w:rFonts w:ascii="Times New Roman" w:hAnsi="Times New Roman" w:eastAsia="宋体" w:cs="Times New Roman"/>
                      <w:color w:val="000000" w:themeColor="text1"/>
                      <w:kern w:val="0"/>
                      <w:sz w:val="21"/>
                      <w:szCs w:val="21"/>
                      <w:lang w:val="fi-FI" w:eastAsia="zh-CN" w:bidi="ar-SA"/>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hint="eastAsia" w:ascii="Times New Roman" w:hAnsi="Times New Roman" w:eastAsia="宋体" w:cs="Times New Roman"/>
                      <w:color w:val="000000" w:themeColor="text1"/>
                      <w:kern w:val="2"/>
                      <w:sz w:val="21"/>
                      <w:szCs w:val="21"/>
                      <w:lang w:val="fi-FI" w:eastAsia="zh-CN" w:bidi="ar-SA"/>
                    </w:rPr>
                  </w:pPr>
                  <w:r>
                    <w:rPr>
                      <w:rFonts w:hint="eastAsia"/>
                      <w:color w:val="000000" w:themeColor="text1"/>
                      <w:sz w:val="21"/>
                      <w:szCs w:val="21"/>
                    </w:rPr>
                    <w:t>南</w:t>
                  </w:r>
                  <w:r>
                    <w:rPr>
                      <w:color w:val="000000" w:themeColor="text1"/>
                      <w:sz w:val="21"/>
                      <w:szCs w:val="21"/>
                    </w:rPr>
                    <w:t>厂界</w:t>
                  </w:r>
                </w:p>
              </w:tc>
              <w:tc>
                <w:tcPr>
                  <w:tcW w:w="1542" w:type="dxa"/>
                  <w:vAlign w:val="center"/>
                </w:tcPr>
                <w:p>
                  <w:pPr>
                    <w:jc w:val="center"/>
                    <w:rPr>
                      <w:rFonts w:hint="default" w:ascii="Times New Roman" w:hAnsi="Times New Roman" w:eastAsia="宋体" w:cs="Times New Roman"/>
                      <w:bCs/>
                      <w:color w:val="000000" w:themeColor="text1"/>
                      <w:kern w:val="2"/>
                      <w:sz w:val="21"/>
                      <w:szCs w:val="21"/>
                      <w:lang w:val="en-US" w:eastAsia="zh-CN" w:bidi="ar-SA"/>
                    </w:rPr>
                  </w:pPr>
                  <w:r>
                    <w:rPr>
                      <w:rFonts w:hint="eastAsia" w:cs="Times New Roman"/>
                      <w:bCs/>
                      <w:color w:val="000000" w:themeColor="text1"/>
                      <w:kern w:val="2"/>
                      <w:sz w:val="21"/>
                      <w:szCs w:val="21"/>
                      <w:lang w:val="en-US" w:eastAsia="zh-CN" w:bidi="ar-SA"/>
                    </w:rPr>
                    <w:t>33.5</w:t>
                  </w:r>
                </w:p>
              </w:tc>
              <w:tc>
                <w:tcPr>
                  <w:tcW w:w="1784" w:type="dxa"/>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46.8</w:t>
                  </w:r>
                </w:p>
              </w:tc>
              <w:tc>
                <w:tcPr>
                  <w:tcW w:w="1727"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55</w:t>
                  </w:r>
                </w:p>
              </w:tc>
              <w:tc>
                <w:tcPr>
                  <w:tcW w:w="1727" w:type="dxa"/>
                  <w:vAlign w:val="center"/>
                </w:tcPr>
                <w:p>
                  <w:pPr>
                    <w:pStyle w:val="68"/>
                    <w:widowControl w:val="0"/>
                    <w:spacing w:before="0" w:beforeAutospacing="0" w:after="0" w:afterAutospacing="0"/>
                    <w:jc w:val="center"/>
                    <w:rPr>
                      <w:rFonts w:ascii="Times New Roman" w:hAnsi="Times New Roman" w:eastAsia="宋体" w:cs="Times New Roman"/>
                      <w:color w:val="000000" w:themeColor="text1"/>
                      <w:kern w:val="0"/>
                      <w:sz w:val="21"/>
                      <w:szCs w:val="21"/>
                      <w:lang w:val="fi-FI" w:eastAsia="zh-CN" w:bidi="ar-SA"/>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hint="eastAsia" w:ascii="Times New Roman" w:hAnsi="Times New Roman" w:eastAsia="宋体" w:cs="Times New Roman"/>
                      <w:color w:val="000000" w:themeColor="text1"/>
                      <w:kern w:val="2"/>
                      <w:sz w:val="21"/>
                      <w:szCs w:val="21"/>
                      <w:lang w:val="fi-FI" w:eastAsia="zh-CN" w:bidi="ar-SA"/>
                    </w:rPr>
                  </w:pPr>
                  <w:r>
                    <w:rPr>
                      <w:rFonts w:hint="eastAsia"/>
                      <w:color w:val="000000" w:themeColor="text1"/>
                      <w:sz w:val="21"/>
                      <w:szCs w:val="21"/>
                    </w:rPr>
                    <w:t>西</w:t>
                  </w:r>
                  <w:r>
                    <w:rPr>
                      <w:color w:val="000000" w:themeColor="text1"/>
                      <w:sz w:val="21"/>
                      <w:szCs w:val="21"/>
                    </w:rPr>
                    <w:t>厂界</w:t>
                  </w:r>
                </w:p>
              </w:tc>
              <w:tc>
                <w:tcPr>
                  <w:tcW w:w="1542" w:type="dxa"/>
                  <w:vAlign w:val="center"/>
                </w:tcPr>
                <w:p>
                  <w:pPr>
                    <w:jc w:val="center"/>
                    <w:rPr>
                      <w:rFonts w:hint="default" w:ascii="Times New Roman" w:hAnsi="Times New Roman" w:eastAsia="宋体" w:cs="Times New Roman"/>
                      <w:bCs/>
                      <w:color w:val="000000" w:themeColor="text1"/>
                      <w:kern w:val="2"/>
                      <w:sz w:val="21"/>
                      <w:szCs w:val="21"/>
                      <w:lang w:val="en-US" w:eastAsia="zh-CN" w:bidi="ar-SA"/>
                    </w:rPr>
                  </w:pPr>
                  <w:r>
                    <w:rPr>
                      <w:rFonts w:hint="eastAsia" w:cs="Times New Roman"/>
                      <w:bCs/>
                      <w:color w:val="000000" w:themeColor="text1"/>
                      <w:kern w:val="2"/>
                      <w:sz w:val="21"/>
                      <w:szCs w:val="21"/>
                      <w:lang w:val="en-US" w:eastAsia="zh-CN" w:bidi="ar-SA"/>
                    </w:rPr>
                    <w:t>36.7</w:t>
                  </w:r>
                </w:p>
              </w:tc>
              <w:tc>
                <w:tcPr>
                  <w:tcW w:w="1784" w:type="dxa"/>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48.6</w:t>
                  </w:r>
                </w:p>
              </w:tc>
              <w:tc>
                <w:tcPr>
                  <w:tcW w:w="1727"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55</w:t>
                  </w:r>
                </w:p>
              </w:tc>
              <w:tc>
                <w:tcPr>
                  <w:tcW w:w="1727" w:type="dxa"/>
                  <w:vAlign w:val="center"/>
                </w:tcPr>
                <w:p>
                  <w:pPr>
                    <w:pStyle w:val="68"/>
                    <w:widowControl w:val="0"/>
                    <w:spacing w:before="0" w:beforeAutospacing="0" w:after="0" w:afterAutospacing="0"/>
                    <w:jc w:val="center"/>
                    <w:rPr>
                      <w:rFonts w:ascii="Times New Roman" w:hAnsi="Times New Roman" w:eastAsia="宋体" w:cs="Times New Roman"/>
                      <w:color w:val="000000" w:themeColor="text1"/>
                      <w:kern w:val="0"/>
                      <w:sz w:val="21"/>
                      <w:szCs w:val="21"/>
                      <w:lang w:val="fi-FI" w:eastAsia="zh-CN" w:bidi="ar-SA"/>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Align w:val="center"/>
                </w:tcPr>
                <w:p>
                  <w:pPr>
                    <w:tabs>
                      <w:tab w:val="right" w:leader="dot" w:pos="8606"/>
                    </w:tabs>
                    <w:jc w:val="center"/>
                    <w:rPr>
                      <w:rFonts w:hint="eastAsia" w:ascii="Times New Roman" w:hAnsi="Times New Roman" w:eastAsia="宋体" w:cs="Times New Roman"/>
                      <w:color w:val="000000" w:themeColor="text1"/>
                      <w:kern w:val="2"/>
                      <w:sz w:val="21"/>
                      <w:szCs w:val="21"/>
                      <w:lang w:val="fi-FI" w:eastAsia="zh-CN" w:bidi="ar-SA"/>
                    </w:rPr>
                  </w:pPr>
                  <w:r>
                    <w:rPr>
                      <w:rFonts w:hint="eastAsia"/>
                      <w:color w:val="000000" w:themeColor="text1"/>
                      <w:sz w:val="21"/>
                      <w:szCs w:val="21"/>
                    </w:rPr>
                    <w:t>北</w:t>
                  </w:r>
                  <w:r>
                    <w:rPr>
                      <w:color w:val="000000" w:themeColor="text1"/>
                      <w:sz w:val="21"/>
                      <w:szCs w:val="21"/>
                    </w:rPr>
                    <w:t>厂界</w:t>
                  </w:r>
                </w:p>
              </w:tc>
              <w:tc>
                <w:tcPr>
                  <w:tcW w:w="0" w:type="auto"/>
                  <w:vAlign w:val="center"/>
                </w:tcPr>
                <w:p>
                  <w:pPr>
                    <w:jc w:val="center"/>
                    <w:rPr>
                      <w:rFonts w:hint="default" w:ascii="Times New Roman" w:hAnsi="Times New Roman" w:eastAsia="宋体" w:cs="Times New Roman"/>
                      <w:bCs/>
                      <w:color w:val="000000" w:themeColor="text1"/>
                      <w:kern w:val="2"/>
                      <w:sz w:val="21"/>
                      <w:szCs w:val="21"/>
                      <w:lang w:val="en-US" w:eastAsia="zh-CN" w:bidi="ar-SA"/>
                    </w:rPr>
                  </w:pPr>
                  <w:r>
                    <w:rPr>
                      <w:rFonts w:hint="eastAsia" w:cs="Times New Roman"/>
                      <w:bCs/>
                      <w:color w:val="000000" w:themeColor="text1"/>
                      <w:kern w:val="2"/>
                      <w:sz w:val="21"/>
                      <w:szCs w:val="21"/>
                      <w:lang w:val="en-US" w:eastAsia="zh-CN" w:bidi="ar-SA"/>
                    </w:rPr>
                    <w:t>30.1</w:t>
                  </w:r>
                </w:p>
              </w:tc>
              <w:tc>
                <w:tcPr>
                  <w:tcW w:w="0" w:type="auto"/>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49.4</w:t>
                  </w:r>
                </w:p>
              </w:tc>
              <w:tc>
                <w:tcPr>
                  <w:tcW w:w="0" w:type="auto"/>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55</w:t>
                  </w:r>
                </w:p>
              </w:tc>
              <w:tc>
                <w:tcPr>
                  <w:tcW w:w="0" w:type="auto"/>
                  <w:vAlign w:val="center"/>
                </w:tcPr>
                <w:p>
                  <w:pPr>
                    <w:pStyle w:val="68"/>
                    <w:widowControl w:val="0"/>
                    <w:spacing w:before="0" w:beforeAutospacing="0" w:after="0" w:afterAutospacing="0"/>
                    <w:jc w:val="center"/>
                    <w:rPr>
                      <w:rFonts w:ascii="Times New Roman" w:hAnsi="Times New Roman" w:eastAsia="宋体" w:cs="Times New Roman"/>
                      <w:color w:val="000000" w:themeColor="text1"/>
                      <w:kern w:val="0"/>
                      <w:sz w:val="21"/>
                      <w:szCs w:val="21"/>
                      <w:lang w:val="fi-FI" w:eastAsia="zh-CN" w:bidi="ar-SA"/>
                    </w:rPr>
                  </w:pPr>
                  <w:r>
                    <w:rPr>
                      <w:rFonts w:hAnsi="Times New Roman"/>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Align w:val="center"/>
                </w:tcPr>
                <w:p>
                  <w:pPr>
                    <w:tabs>
                      <w:tab w:val="right" w:leader="dot" w:pos="8606"/>
                    </w:tabs>
                    <w:jc w:val="center"/>
                    <w:rPr>
                      <w:rFonts w:hint="eastAsia" w:ascii="Times New Roman" w:hAnsi="Times New Roman" w:eastAsia="宋体" w:cs="Times New Roman"/>
                      <w:color w:val="000000" w:themeColor="text1"/>
                      <w:kern w:val="2"/>
                      <w:sz w:val="21"/>
                      <w:szCs w:val="21"/>
                      <w:lang w:val="fi-FI" w:eastAsia="zh-CN" w:bidi="ar-SA"/>
                    </w:rPr>
                  </w:pPr>
                  <w:r>
                    <w:rPr>
                      <w:rFonts w:hint="eastAsia"/>
                      <w:color w:val="000000" w:themeColor="text1"/>
                      <w:sz w:val="21"/>
                      <w:szCs w:val="21"/>
                      <w:lang w:eastAsia="zh-CN"/>
                    </w:rPr>
                    <w:t>查林村</w:t>
                  </w:r>
                </w:p>
              </w:tc>
              <w:tc>
                <w:tcPr>
                  <w:tcW w:w="0" w:type="auto"/>
                  <w:vAlign w:val="center"/>
                </w:tcPr>
                <w:p>
                  <w:pPr>
                    <w:jc w:val="center"/>
                    <w:rPr>
                      <w:rFonts w:hint="eastAsia" w:ascii="Times New Roman" w:hAnsi="Times New Roman" w:eastAsia="宋体" w:cs="Times New Roman"/>
                      <w:bCs/>
                      <w:color w:val="000000" w:themeColor="text1"/>
                      <w:kern w:val="2"/>
                      <w:sz w:val="21"/>
                      <w:szCs w:val="21"/>
                      <w:lang w:val="en-US" w:eastAsia="zh-CN" w:bidi="ar-SA"/>
                    </w:rPr>
                  </w:pPr>
                  <w:r>
                    <w:rPr>
                      <w:rFonts w:hint="eastAsia"/>
                      <w:bCs/>
                      <w:color w:val="000000" w:themeColor="text1"/>
                      <w:sz w:val="21"/>
                      <w:szCs w:val="21"/>
                    </w:rPr>
                    <w:t>≤</w:t>
                  </w:r>
                  <w:r>
                    <w:rPr>
                      <w:rFonts w:hint="eastAsia"/>
                      <w:bCs/>
                      <w:color w:val="000000" w:themeColor="text1"/>
                      <w:sz w:val="21"/>
                      <w:szCs w:val="21"/>
                      <w:lang w:val="en-US" w:eastAsia="zh-CN"/>
                    </w:rPr>
                    <w:t>7.41</w:t>
                  </w:r>
                </w:p>
              </w:tc>
              <w:tc>
                <w:tcPr>
                  <w:tcW w:w="0" w:type="auto"/>
                  <w:vAlign w:val="center"/>
                </w:tcPr>
                <w:p>
                  <w:pPr>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47.</w:t>
                  </w:r>
                  <w:r>
                    <w:rPr>
                      <w:rFonts w:hint="eastAsia"/>
                      <w:bCs/>
                      <w:color w:val="000000" w:themeColor="text1"/>
                      <w:sz w:val="21"/>
                      <w:szCs w:val="21"/>
                      <w:lang w:val="en-US" w:eastAsia="zh-CN"/>
                      <w14:textFill>
                        <w14:solidFill>
                          <w14:schemeClr w14:val="tx1"/>
                        </w14:solidFill>
                      </w14:textFill>
                    </w:rPr>
                    <w:t>4</w:t>
                  </w:r>
                </w:p>
              </w:tc>
              <w:tc>
                <w:tcPr>
                  <w:tcW w:w="0" w:type="auto"/>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50</w:t>
                  </w:r>
                </w:p>
              </w:tc>
              <w:tc>
                <w:tcPr>
                  <w:tcW w:w="0" w:type="auto"/>
                  <w:vAlign w:val="center"/>
                </w:tcPr>
                <w:p>
                  <w:pPr>
                    <w:pStyle w:val="68"/>
                    <w:widowControl w:val="0"/>
                    <w:spacing w:before="0" w:beforeAutospacing="0" w:after="0" w:afterAutospacing="0"/>
                    <w:jc w:val="center"/>
                    <w:rPr>
                      <w:rFonts w:ascii="Times New Roman" w:hAnsi="Times New Roman" w:eastAsia="宋体" w:cs="Times New Roman"/>
                      <w:color w:val="000000" w:themeColor="text1"/>
                      <w:kern w:val="0"/>
                      <w:sz w:val="21"/>
                      <w:szCs w:val="21"/>
                      <w:lang w:val="fi-FI" w:eastAsia="zh-CN" w:bidi="ar-SA"/>
                    </w:rPr>
                  </w:pPr>
                  <w:r>
                    <w:rPr>
                      <w:rFonts w:hAnsi="Times New Roman"/>
                      <w:color w:val="000000" w:themeColor="text1"/>
                      <w:sz w:val="21"/>
                      <w:szCs w:val="21"/>
                    </w:rPr>
                    <w:t>达标</w:t>
                  </w:r>
                </w:p>
              </w:tc>
            </w:tr>
          </w:tbl>
          <w:p>
            <w:pPr>
              <w:spacing w:line="360" w:lineRule="auto"/>
              <w:ind w:firstLine="480" w:firstLineChars="200"/>
              <w:rPr>
                <w:rFonts w:hint="eastAsia"/>
                <w:bCs/>
                <w:sz w:val="24"/>
                <w:szCs w:val="22"/>
              </w:rPr>
            </w:pPr>
            <w:r>
              <w:rPr>
                <w:rFonts w:hint="eastAsia"/>
                <w:bCs/>
                <w:sz w:val="24"/>
                <w:szCs w:val="22"/>
              </w:rPr>
              <w:t>从上表可见，主要噪声设备采取降噪措施，并经距离衰减后，场界各预测点的昼</w:t>
            </w:r>
            <w:r>
              <w:rPr>
                <w:rFonts w:hint="eastAsia"/>
                <w:bCs/>
                <w:sz w:val="24"/>
                <w:szCs w:val="22"/>
                <w:lang w:eastAsia="zh-CN"/>
              </w:rPr>
              <w:t>间及夜</w:t>
            </w:r>
            <w:r>
              <w:rPr>
                <w:rFonts w:hint="eastAsia"/>
                <w:bCs/>
                <w:sz w:val="24"/>
                <w:szCs w:val="22"/>
              </w:rPr>
              <w:t>间厂界噪声均可达到《工业企业厂界环境噪声排放标准》（GB12348-2008）中的3类</w:t>
            </w:r>
            <w:r>
              <w:rPr>
                <w:sz w:val="24"/>
              </w:rPr>
              <w:t>标准限值要求</w:t>
            </w:r>
            <w:r>
              <w:rPr>
                <w:rFonts w:hint="eastAsia"/>
                <w:bCs/>
                <w:sz w:val="24"/>
                <w:szCs w:val="22"/>
                <w:lang w:eastAsia="zh-CN"/>
              </w:rPr>
              <w:t>，</w:t>
            </w:r>
            <w:r>
              <w:rPr>
                <w:rFonts w:hint="eastAsia"/>
                <w:sz w:val="24"/>
                <w:szCs w:val="22"/>
              </w:rPr>
              <w:t>周边敏感点可以达到</w:t>
            </w:r>
            <w:r>
              <w:rPr>
                <w:sz w:val="24"/>
              </w:rPr>
              <w:t>《声环境质量标准》(GB3096-2008)中2</w:t>
            </w:r>
            <w:r>
              <w:rPr>
                <w:rFonts w:hint="eastAsia"/>
                <w:sz w:val="24"/>
              </w:rPr>
              <w:t>类</w:t>
            </w:r>
            <w:r>
              <w:rPr>
                <w:sz w:val="24"/>
              </w:rPr>
              <w:t>标准限值要求</w:t>
            </w:r>
            <w:r>
              <w:rPr>
                <w:rFonts w:hint="eastAsia"/>
                <w:bCs/>
                <w:sz w:val="24"/>
                <w:szCs w:val="22"/>
              </w:rPr>
              <w:t>。因此，本项目噪声对周围声环境影响较小。因此，建设项目噪声防治措施可行，厂界噪声可以达标，项目建成运营后对周边的声环境影响很小，不会产生扰民现象。</w:t>
            </w:r>
          </w:p>
          <w:p>
            <w:pPr>
              <w:spacing w:line="360" w:lineRule="auto"/>
              <w:ind w:firstLine="482" w:firstLineChars="200"/>
              <w:rPr>
                <w:b/>
                <w:kern w:val="0"/>
                <w:sz w:val="24"/>
                <w:szCs w:val="24"/>
              </w:rPr>
            </w:pPr>
            <w:r>
              <w:rPr>
                <w:rFonts w:hint="eastAsia"/>
                <w:b/>
                <w:kern w:val="0"/>
                <w:sz w:val="24"/>
                <w:szCs w:val="24"/>
              </w:rPr>
              <w:t>8、</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pPr>
              <w:spacing w:line="360" w:lineRule="auto"/>
              <w:ind w:firstLine="480" w:firstLineChars="200"/>
              <w:rPr>
                <w:rFonts w:eastAsiaTheme="minorEastAsia"/>
                <w:sz w:val="24"/>
                <w:szCs w:val="24"/>
              </w:rPr>
            </w:pPr>
            <w:r>
              <w:rPr>
                <w:rFonts w:eastAsiaTheme="minorEastAsia"/>
                <w:sz w:val="24"/>
                <w:szCs w:val="24"/>
              </w:rPr>
              <w:t>项目建成后，建设单位应按相关规定“三同时”验收，验收一览表如下：</w:t>
            </w:r>
          </w:p>
          <w:p>
            <w:pPr>
              <w:jc w:val="center"/>
              <w:rPr>
                <w:rFonts w:hint="eastAsia"/>
                <w:b/>
                <w:color w:val="000000" w:themeColor="text1"/>
                <w:sz w:val="24"/>
                <w:szCs w:val="24"/>
              </w:rPr>
            </w:pPr>
            <w:r>
              <w:rPr>
                <w:rFonts w:hint="eastAsia"/>
                <w:b/>
                <w:color w:val="000000" w:themeColor="text1"/>
                <w:sz w:val="24"/>
                <w:szCs w:val="24"/>
              </w:rPr>
              <w:t>表7-2</w:t>
            </w:r>
            <w:r>
              <w:rPr>
                <w:rFonts w:hint="eastAsia"/>
                <w:b/>
                <w:color w:val="000000" w:themeColor="text1"/>
                <w:sz w:val="24"/>
                <w:szCs w:val="24"/>
                <w:lang w:val="en-US" w:eastAsia="zh-CN"/>
              </w:rPr>
              <w:t>3</w:t>
            </w:r>
            <w:r>
              <w:rPr>
                <w:rFonts w:hint="eastAsia"/>
                <w:b/>
                <w:color w:val="000000" w:themeColor="text1"/>
                <w:sz w:val="24"/>
                <w:szCs w:val="24"/>
              </w:rPr>
              <w:t xml:space="preserve">  项目环保设施（措施）及投资估算一览表  单位：万元</w:t>
            </w:r>
          </w:p>
          <w:tbl>
            <w:tblPr>
              <w:tblStyle w:val="76"/>
              <w:tblW w:w="8190" w:type="dxa"/>
              <w:jc w:val="center"/>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Layout w:type="autofit"/>
              <w:tblCellMar>
                <w:top w:w="0" w:type="dxa"/>
                <w:left w:w="108" w:type="dxa"/>
                <w:bottom w:w="0" w:type="dxa"/>
                <w:right w:w="108" w:type="dxa"/>
              </w:tblCellMar>
            </w:tblPr>
            <w:tblGrid>
              <w:gridCol w:w="591"/>
              <w:gridCol w:w="835"/>
              <w:gridCol w:w="1144"/>
              <w:gridCol w:w="1952"/>
              <w:gridCol w:w="2153"/>
              <w:gridCol w:w="879"/>
              <w:gridCol w:w="636"/>
            </w:tblGrid>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437" w:type="dxa"/>
                  <w:gridSpan w:val="2"/>
                  <w:vAlign w:val="center"/>
                </w:tcPr>
                <w:p>
                  <w:pPr>
                    <w:pStyle w:val="262"/>
                    <w:rPr>
                      <w:rFonts w:asciiTheme="minorEastAsia" w:hAnsiTheme="minorEastAsia" w:eastAsiaTheme="minorEastAsia"/>
                      <w:b/>
                    </w:rPr>
                  </w:pPr>
                  <w:r>
                    <w:rPr>
                      <w:rFonts w:hint="eastAsia" w:asciiTheme="minorEastAsia" w:hAnsiTheme="minorEastAsia" w:eastAsiaTheme="minorEastAsia"/>
                      <w:b/>
                    </w:rPr>
                    <w:t>项目</w:t>
                  </w:r>
                  <w:r>
                    <w:rPr>
                      <w:rFonts w:asciiTheme="minorEastAsia" w:hAnsiTheme="minorEastAsia" w:eastAsiaTheme="minorEastAsia"/>
                      <w:b/>
                    </w:rPr>
                    <w:t>名称</w:t>
                  </w:r>
                </w:p>
              </w:tc>
              <w:tc>
                <w:tcPr>
                  <w:tcW w:w="6753" w:type="dxa"/>
                  <w:gridSpan w:val="5"/>
                  <w:vAlign w:val="center"/>
                </w:tcPr>
                <w:p>
                  <w:pPr>
                    <w:pStyle w:val="262"/>
                    <w:rPr>
                      <w:rFonts w:hint="eastAsia" w:eastAsia="宋体"/>
                      <w:lang w:val="en-GB" w:eastAsia="zh-CN"/>
                    </w:rPr>
                  </w:pPr>
                  <w:r>
                    <w:rPr>
                      <w:rFonts w:hint="eastAsia" w:eastAsia="宋体"/>
                      <w:lang w:val="fi-FI" w:eastAsia="zh-CN"/>
                    </w:rPr>
                    <w:t>陶瓷制品的制造</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602" w:type="dxa"/>
                  <w:vAlign w:val="center"/>
                </w:tcPr>
                <w:p>
                  <w:pPr>
                    <w:pStyle w:val="262"/>
                    <w:rPr>
                      <w:rFonts w:eastAsia="宋体"/>
                      <w:b/>
                    </w:rPr>
                  </w:pPr>
                  <w:r>
                    <w:rPr>
                      <w:rFonts w:eastAsia="宋体"/>
                      <w:b/>
                    </w:rPr>
                    <w:t>类别</w:t>
                  </w:r>
                </w:p>
              </w:tc>
              <w:tc>
                <w:tcPr>
                  <w:tcW w:w="835" w:type="dxa"/>
                  <w:vAlign w:val="center"/>
                </w:tcPr>
                <w:p>
                  <w:pPr>
                    <w:pStyle w:val="262"/>
                    <w:rPr>
                      <w:rFonts w:eastAsia="宋体"/>
                      <w:b/>
                    </w:rPr>
                  </w:pPr>
                  <w:r>
                    <w:rPr>
                      <w:rFonts w:hint="eastAsia" w:eastAsia="宋体"/>
                      <w:b/>
                    </w:rPr>
                    <w:t>污染源</w:t>
                  </w:r>
                </w:p>
              </w:tc>
              <w:tc>
                <w:tcPr>
                  <w:tcW w:w="1166" w:type="dxa"/>
                  <w:vAlign w:val="center"/>
                </w:tcPr>
                <w:p>
                  <w:pPr>
                    <w:pStyle w:val="262"/>
                    <w:rPr>
                      <w:rFonts w:eastAsia="宋体"/>
                      <w:b/>
                      <w:lang w:val="en-GB"/>
                    </w:rPr>
                  </w:pPr>
                  <w:r>
                    <w:rPr>
                      <w:rFonts w:eastAsia="宋体"/>
                      <w:b/>
                    </w:rPr>
                    <w:t>污染物</w:t>
                  </w:r>
                </w:p>
              </w:tc>
              <w:tc>
                <w:tcPr>
                  <w:tcW w:w="2043" w:type="dxa"/>
                  <w:vAlign w:val="center"/>
                </w:tcPr>
                <w:p>
                  <w:pPr>
                    <w:pStyle w:val="262"/>
                    <w:jc w:val="both"/>
                    <w:rPr>
                      <w:rFonts w:eastAsia="宋体"/>
                      <w:b/>
                      <w:lang w:val="en-GB"/>
                    </w:rPr>
                  </w:pPr>
                  <w:r>
                    <w:rPr>
                      <w:rFonts w:hint="eastAsia" w:eastAsia="宋体"/>
                      <w:b/>
                      <w:lang w:val="en-GB"/>
                    </w:rPr>
                    <w:t>治理措施（设施数量、规模、处理能力等）</w:t>
                  </w:r>
                </w:p>
              </w:tc>
              <w:tc>
                <w:tcPr>
                  <w:tcW w:w="2012" w:type="dxa"/>
                  <w:vAlign w:val="center"/>
                </w:tcPr>
                <w:p>
                  <w:pPr>
                    <w:pStyle w:val="262"/>
                    <w:rPr>
                      <w:rFonts w:eastAsia="宋体"/>
                      <w:b/>
                    </w:rPr>
                  </w:pPr>
                  <w:r>
                    <w:rPr>
                      <w:rFonts w:hint="eastAsia" w:eastAsia="宋体"/>
                      <w:b/>
                    </w:rPr>
                    <w:t>处理效果、执行标准</w:t>
                  </w:r>
                </w:p>
              </w:tc>
              <w:tc>
                <w:tcPr>
                  <w:tcW w:w="896" w:type="dxa"/>
                  <w:vAlign w:val="center"/>
                </w:tcPr>
                <w:p>
                  <w:pPr>
                    <w:pStyle w:val="262"/>
                    <w:rPr>
                      <w:rFonts w:eastAsia="宋体"/>
                      <w:b/>
                    </w:rPr>
                  </w:pPr>
                  <w:r>
                    <w:rPr>
                      <w:rFonts w:hint="eastAsia" w:eastAsia="宋体"/>
                      <w:b/>
                    </w:rPr>
                    <w:t>环保投资</w:t>
                  </w:r>
                  <w:r>
                    <w:rPr>
                      <w:rFonts w:eastAsia="宋体"/>
                      <w:b/>
                    </w:rPr>
                    <w:t>（万元）</w:t>
                  </w:r>
                </w:p>
              </w:tc>
              <w:tc>
                <w:tcPr>
                  <w:tcW w:w="636" w:type="dxa"/>
                  <w:vAlign w:val="center"/>
                </w:tcPr>
                <w:p>
                  <w:pPr>
                    <w:pStyle w:val="262"/>
                    <w:rPr>
                      <w:rFonts w:eastAsia="宋体"/>
                      <w:b/>
                    </w:rPr>
                  </w:pPr>
                  <w:r>
                    <w:rPr>
                      <w:rFonts w:hint="eastAsia" w:eastAsia="宋体"/>
                      <w:b/>
                    </w:rPr>
                    <w:t>完成时间</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602" w:type="dxa"/>
                  <w:vAlign w:val="center"/>
                </w:tcPr>
                <w:p>
                  <w:pPr>
                    <w:pStyle w:val="262"/>
                    <w:rPr>
                      <w:rFonts w:hint="eastAsia" w:ascii="宋体" w:hAnsi="宋体" w:eastAsia="宋体" w:cs="宋体"/>
                      <w:lang w:eastAsia="zh-CN"/>
                    </w:rPr>
                  </w:pPr>
                  <w:r>
                    <w:rPr>
                      <w:rFonts w:hint="eastAsia" w:ascii="宋体" w:hAnsi="宋体" w:eastAsia="宋体" w:cs="宋体"/>
                      <w:lang w:eastAsia="zh-CN"/>
                    </w:rPr>
                    <w:t>废气</w:t>
                  </w:r>
                </w:p>
              </w:tc>
              <w:tc>
                <w:tcPr>
                  <w:tcW w:w="835" w:type="dxa"/>
                  <w:vAlign w:val="center"/>
                </w:tcPr>
                <w:p>
                  <w:pPr>
                    <w:pStyle w:val="262"/>
                    <w:rPr>
                      <w:rFonts w:hint="eastAsia" w:eastAsia="宋体"/>
                      <w:lang w:eastAsia="zh-CN"/>
                    </w:rPr>
                  </w:pPr>
                  <w:r>
                    <w:rPr>
                      <w:rFonts w:eastAsia="宋体"/>
                    </w:rPr>
                    <w:t>DA00</w:t>
                  </w:r>
                  <w:r>
                    <w:rPr>
                      <w:rFonts w:hint="eastAsia" w:eastAsia="宋体"/>
                      <w:lang w:val="en-US" w:eastAsia="zh-CN"/>
                    </w:rPr>
                    <w:t>1</w:t>
                  </w:r>
                </w:p>
              </w:tc>
              <w:tc>
                <w:tcPr>
                  <w:tcW w:w="1166" w:type="dxa"/>
                  <w:vAlign w:val="center"/>
                </w:tcPr>
                <w:p>
                  <w:pPr>
                    <w:pStyle w:val="262"/>
                    <w:rPr>
                      <w:rFonts w:ascii="宋体" w:hAnsi="宋体" w:eastAsia="宋体" w:cs="宋体"/>
                    </w:rPr>
                  </w:pPr>
                  <w:r>
                    <w:rPr>
                      <w:rFonts w:hint="eastAsia" w:ascii="宋体" w:hAnsi="宋体" w:eastAsia="宋体" w:cs="宋体"/>
                      <w:lang w:eastAsia="zh-CN"/>
                    </w:rPr>
                    <w:t>投料、球磨、</w:t>
                  </w:r>
                  <w:r>
                    <w:rPr>
                      <w:rFonts w:hint="eastAsia" w:ascii="宋体" w:hAnsi="宋体" w:eastAsia="宋体" w:cs="宋体"/>
                    </w:rPr>
                    <w:t>喷雾干燥造粒颗粒物、天然气燃烧废气（</w:t>
                  </w:r>
                  <w:r>
                    <w:rPr>
                      <w:rFonts w:hint="eastAsia" w:ascii="宋体" w:hAnsi="宋体" w:eastAsia="宋体" w:cs="宋体"/>
                      <w:lang w:eastAsia="zh-CN"/>
                    </w:rPr>
                    <w:t>颗粒物、</w:t>
                  </w:r>
                  <w:r>
                    <w:rPr>
                      <w:rFonts w:eastAsia="宋体"/>
                    </w:rPr>
                    <w:t>SO</w:t>
                  </w:r>
                  <w:r>
                    <w:rPr>
                      <w:rFonts w:eastAsia="宋体"/>
                      <w:vertAlign w:val="subscript"/>
                    </w:rPr>
                    <w:t>2</w:t>
                  </w:r>
                  <w:r>
                    <w:rPr>
                      <w:rFonts w:hint="eastAsia" w:eastAsia="宋体"/>
                    </w:rPr>
                    <w:t>、</w:t>
                  </w:r>
                  <w:r>
                    <w:rPr>
                      <w:rFonts w:eastAsia="宋体"/>
                    </w:rPr>
                    <w:t>NO</w:t>
                  </w:r>
                  <w:r>
                    <w:rPr>
                      <w:rFonts w:eastAsia="宋体"/>
                      <w:vertAlign w:val="subscript"/>
                    </w:rPr>
                    <w:t>X</w:t>
                  </w:r>
                  <w:r>
                    <w:rPr>
                      <w:rFonts w:hint="eastAsia" w:ascii="宋体" w:hAnsi="宋体" w:eastAsia="宋体" w:cs="宋体"/>
                    </w:rPr>
                    <w:t>）</w:t>
                  </w:r>
                </w:p>
              </w:tc>
              <w:tc>
                <w:tcPr>
                  <w:tcW w:w="2043" w:type="dxa"/>
                  <w:vAlign w:val="center"/>
                </w:tcPr>
                <w:p>
                  <w:pPr>
                    <w:pStyle w:val="262"/>
                    <w:rPr>
                      <w:rFonts w:ascii="宋体" w:hAnsi="宋体" w:eastAsia="宋体" w:cs="宋体"/>
                    </w:rPr>
                  </w:pPr>
                  <w:r>
                    <w:rPr>
                      <w:rFonts w:hint="eastAsia" w:ascii="宋体" w:hAnsi="宋体" w:eastAsia="宋体" w:cs="宋体"/>
                      <w:lang w:val="fi-FI"/>
                    </w:rPr>
                    <w:t>收尘管道</w:t>
                  </w:r>
                  <w:r>
                    <w:rPr>
                      <w:rFonts w:hint="eastAsia" w:ascii="宋体" w:hAnsi="宋体" w:eastAsia="宋体" w:cs="宋体"/>
                    </w:rPr>
                    <w:t>、布袋除尘装置、</w:t>
                  </w:r>
                  <w:r>
                    <w:rPr>
                      <w:rFonts w:eastAsia="宋体"/>
                    </w:rPr>
                    <w:t>15m</w:t>
                  </w:r>
                  <w:r>
                    <w:rPr>
                      <w:rFonts w:hint="eastAsia" w:ascii="宋体" w:hAnsi="宋体" w:eastAsia="宋体" w:cs="宋体"/>
                    </w:rPr>
                    <w:t>排气筒</w:t>
                  </w:r>
                </w:p>
              </w:tc>
              <w:tc>
                <w:tcPr>
                  <w:tcW w:w="2012" w:type="dxa"/>
                  <w:vAlign w:val="center"/>
                </w:tcPr>
                <w:p>
                  <w:pPr>
                    <w:pStyle w:val="262"/>
                    <w:rPr>
                      <w:rFonts w:ascii="宋体" w:hAnsi="宋体" w:eastAsia="宋体" w:cs="宋体"/>
                      <w:bCs/>
                    </w:rPr>
                  </w:pPr>
                  <w:r>
                    <w:rPr>
                      <w:rFonts w:hint="eastAsia" w:ascii="宋体" w:hAnsi="宋体" w:eastAsia="宋体" w:cs="宋体"/>
                      <w:bCs/>
                    </w:rPr>
                    <w:t>满足</w:t>
                  </w:r>
                  <w:r>
                    <w:rPr>
                      <w:rFonts w:ascii="宋体" w:hAnsi="宋体" w:eastAsia="宋体" w:cs="宋体"/>
                      <w:bCs/>
                      <w:lang w:val="fi-FI"/>
                    </w:rPr>
                    <w:t>《陶瓷工业污染物排放标准》（</w:t>
                  </w:r>
                  <w:r>
                    <w:rPr>
                      <w:rFonts w:eastAsia="宋体"/>
                      <w:bCs/>
                      <w:lang w:val="fi-FI"/>
                    </w:rPr>
                    <w:t>GB25464-2010</w:t>
                  </w:r>
                  <w:r>
                    <w:rPr>
                      <w:rFonts w:ascii="宋体" w:hAnsi="宋体" w:eastAsia="宋体" w:cs="宋体"/>
                      <w:bCs/>
                      <w:lang w:val="fi-FI"/>
                    </w:rPr>
                    <w:t>）</w:t>
                  </w:r>
                  <w:r>
                    <w:rPr>
                      <w:rFonts w:hint="eastAsia" w:ascii="宋体" w:hAnsi="宋体" w:eastAsia="宋体" w:cs="宋体"/>
                      <w:bCs/>
                      <w:lang w:val="fi-FI" w:eastAsia="zh-CN"/>
                    </w:rPr>
                    <w:t>、</w:t>
                  </w:r>
                  <w:r>
                    <w:rPr>
                      <w:rFonts w:ascii="宋体" w:hAnsi="宋体" w:eastAsia="宋体" w:cs="宋体"/>
                      <w:bCs/>
                      <w:lang w:val="fi-FI"/>
                    </w:rPr>
                    <w:t>《陶瓷工业污染物排放标准》（</w:t>
                  </w:r>
                  <w:r>
                    <w:rPr>
                      <w:rFonts w:eastAsia="宋体"/>
                      <w:bCs/>
                      <w:lang w:val="fi-FI"/>
                    </w:rPr>
                    <w:t>GB25464-2010</w:t>
                  </w:r>
                  <w:r>
                    <w:rPr>
                      <w:rFonts w:ascii="宋体" w:hAnsi="宋体" w:eastAsia="宋体" w:cs="宋体"/>
                      <w:bCs/>
                      <w:lang w:val="fi-FI"/>
                    </w:rPr>
                    <w:t>）修改单（</w:t>
                  </w:r>
                  <w:r>
                    <w:rPr>
                      <w:rFonts w:eastAsia="宋体"/>
                      <w:bCs/>
                      <w:lang w:val="fi-FI"/>
                    </w:rPr>
                    <w:t>2014</w:t>
                  </w:r>
                  <w:r>
                    <w:rPr>
                      <w:rFonts w:ascii="宋体" w:hAnsi="宋体" w:eastAsia="宋体" w:cs="宋体"/>
                      <w:bCs/>
                      <w:lang w:val="fi-FI"/>
                    </w:rPr>
                    <w:t xml:space="preserve"> 年第 </w:t>
                  </w:r>
                  <w:r>
                    <w:rPr>
                      <w:rFonts w:eastAsia="宋体"/>
                      <w:bCs/>
                      <w:lang w:val="fi-FI"/>
                    </w:rPr>
                    <w:t xml:space="preserve">83 </w:t>
                  </w:r>
                  <w:r>
                    <w:rPr>
                      <w:rFonts w:ascii="宋体" w:hAnsi="宋体" w:eastAsia="宋体" w:cs="宋体"/>
                      <w:bCs/>
                      <w:lang w:val="fi-FI"/>
                    </w:rPr>
                    <w:t>号</w:t>
                  </w:r>
                  <w:r>
                    <w:rPr>
                      <w:rFonts w:eastAsia="宋体"/>
                      <w:bCs/>
                      <w:lang w:val="fi-FI"/>
                    </w:rPr>
                    <w:t>文）</w:t>
                  </w:r>
                  <w:r>
                    <w:rPr>
                      <w:rFonts w:hint="eastAsia" w:eastAsia="宋体"/>
                      <w:bCs/>
                      <w:lang w:val="fi-FI" w:eastAsia="zh-CN"/>
                    </w:rPr>
                    <w:t>、</w:t>
                  </w:r>
                  <w:r>
                    <w:rPr>
                      <w:rFonts w:hint="eastAsia" w:eastAsia="宋体"/>
                      <w:bCs/>
                      <w:lang w:val="fi-FI"/>
                    </w:rPr>
                    <w:t>《大气污染物综合排放标准》（GB16297-1996）</w:t>
                  </w:r>
                </w:p>
              </w:tc>
              <w:tc>
                <w:tcPr>
                  <w:tcW w:w="896" w:type="dxa"/>
                  <w:vAlign w:val="center"/>
                </w:tcPr>
                <w:p>
                  <w:pPr>
                    <w:pStyle w:val="262"/>
                    <w:rPr>
                      <w:rFonts w:hint="default" w:eastAsia="宋体"/>
                      <w:lang w:val="en-US" w:eastAsia="zh-CN"/>
                    </w:rPr>
                  </w:pPr>
                  <w:r>
                    <w:rPr>
                      <w:rFonts w:hint="eastAsia" w:eastAsia="宋体"/>
                      <w:lang w:val="en-US" w:eastAsia="zh-CN"/>
                    </w:rPr>
                    <w:t>10</w:t>
                  </w:r>
                </w:p>
              </w:tc>
              <w:tc>
                <w:tcPr>
                  <w:tcW w:w="636" w:type="dxa"/>
                  <w:vMerge w:val="restart"/>
                  <w:vAlign w:val="center"/>
                </w:tcPr>
                <w:p>
                  <w:pPr>
                    <w:pStyle w:val="262"/>
                    <w:rPr>
                      <w:rFonts w:eastAsia="宋体"/>
                    </w:rPr>
                  </w:pPr>
                  <w:r>
                    <w:rPr>
                      <w:rFonts w:hint="eastAsia" w:eastAsia="宋体"/>
                      <w:sz w:val="21"/>
                      <w:szCs w:val="21"/>
                    </w:rPr>
                    <w:t>与</w:t>
                  </w:r>
                  <w:r>
                    <w:rPr>
                      <w:rFonts w:eastAsia="宋体"/>
                      <w:sz w:val="21"/>
                      <w:szCs w:val="21"/>
                    </w:rPr>
                    <w:t>本项目同时施工、同时</w:t>
                  </w:r>
                  <w:r>
                    <w:rPr>
                      <w:rFonts w:hint="eastAsia" w:eastAsia="宋体"/>
                      <w:sz w:val="21"/>
                      <w:szCs w:val="21"/>
                    </w:rPr>
                    <w:t>建成</w:t>
                  </w: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602" w:type="dxa"/>
                  <w:vAlign w:val="center"/>
                </w:tcPr>
                <w:p>
                  <w:pPr>
                    <w:pStyle w:val="262"/>
                    <w:rPr>
                      <w:rFonts w:ascii="宋体" w:hAnsi="宋体" w:eastAsia="宋体" w:cs="宋体"/>
                    </w:rPr>
                  </w:pPr>
                  <w:r>
                    <w:rPr>
                      <w:rFonts w:hint="eastAsia" w:ascii="宋体" w:hAnsi="宋体" w:eastAsia="宋体" w:cs="宋体"/>
                    </w:rPr>
                    <w:t>噪声</w:t>
                  </w:r>
                </w:p>
              </w:tc>
              <w:tc>
                <w:tcPr>
                  <w:tcW w:w="835" w:type="dxa"/>
                  <w:vAlign w:val="center"/>
                </w:tcPr>
                <w:p>
                  <w:pPr>
                    <w:pStyle w:val="262"/>
                    <w:rPr>
                      <w:rFonts w:ascii="宋体" w:hAnsi="宋体" w:eastAsia="宋体" w:cs="宋体"/>
                    </w:rPr>
                  </w:pPr>
                  <w:r>
                    <w:rPr>
                      <w:rFonts w:hint="eastAsia" w:ascii="宋体" w:hAnsi="宋体" w:eastAsia="宋体" w:cs="宋体"/>
                    </w:rPr>
                    <w:t>生产/公辅设备</w:t>
                  </w:r>
                </w:p>
              </w:tc>
              <w:tc>
                <w:tcPr>
                  <w:tcW w:w="1166" w:type="dxa"/>
                  <w:vAlign w:val="center"/>
                </w:tcPr>
                <w:p>
                  <w:pPr>
                    <w:pStyle w:val="262"/>
                    <w:rPr>
                      <w:rFonts w:ascii="宋体" w:hAnsi="宋体" w:eastAsia="宋体" w:cs="宋体"/>
                    </w:rPr>
                  </w:pPr>
                  <w:r>
                    <w:rPr>
                      <w:rFonts w:hint="eastAsia" w:ascii="宋体" w:hAnsi="宋体" w:eastAsia="宋体" w:cs="宋体"/>
                    </w:rPr>
                    <w:t>噪声</w:t>
                  </w:r>
                </w:p>
              </w:tc>
              <w:tc>
                <w:tcPr>
                  <w:tcW w:w="2043" w:type="dxa"/>
                  <w:vAlign w:val="center"/>
                </w:tcPr>
                <w:p>
                  <w:pPr>
                    <w:pStyle w:val="262"/>
                    <w:rPr>
                      <w:rFonts w:ascii="宋体" w:hAnsi="宋体" w:eastAsia="宋体" w:cs="宋体"/>
                      <w:lang w:val="en-GB"/>
                    </w:rPr>
                  </w:pPr>
                  <w:r>
                    <w:rPr>
                      <w:rFonts w:hint="eastAsia" w:ascii="宋体" w:hAnsi="宋体" w:eastAsia="宋体" w:cs="宋体"/>
                      <w:lang w:val="en-GB"/>
                    </w:rPr>
                    <w:t>隔声罩、减振垫、吸声材料</w:t>
                  </w:r>
                </w:p>
              </w:tc>
              <w:tc>
                <w:tcPr>
                  <w:tcW w:w="2012" w:type="dxa"/>
                  <w:vAlign w:val="center"/>
                </w:tcPr>
                <w:p>
                  <w:pPr>
                    <w:pStyle w:val="262"/>
                    <w:rPr>
                      <w:rFonts w:ascii="宋体" w:hAnsi="宋体" w:eastAsia="宋体" w:cs="宋体"/>
                      <w:lang w:val="en-GB"/>
                    </w:rPr>
                  </w:pPr>
                  <w:r>
                    <w:rPr>
                      <w:rFonts w:hint="eastAsia" w:ascii="宋体" w:hAnsi="宋体" w:eastAsia="宋体" w:cs="宋体"/>
                      <w:bCs/>
                    </w:rPr>
                    <w:t>达到</w:t>
                  </w:r>
                  <w:r>
                    <w:rPr>
                      <w:rFonts w:eastAsia="宋体"/>
                      <w:bCs/>
                      <w:lang w:val="fi-FI"/>
                    </w:rPr>
                    <w:t>《工业企业厂界环境噪声排放标准》(GB12348-2008)3类标准</w:t>
                  </w:r>
                </w:p>
              </w:tc>
              <w:tc>
                <w:tcPr>
                  <w:tcW w:w="896" w:type="dxa"/>
                  <w:vAlign w:val="center"/>
                </w:tcPr>
                <w:p>
                  <w:pPr>
                    <w:pStyle w:val="262"/>
                    <w:rPr>
                      <w:rFonts w:ascii="宋体" w:hAnsi="宋体" w:eastAsia="宋体" w:cs="宋体"/>
                    </w:rPr>
                  </w:pPr>
                  <w:r>
                    <w:rPr>
                      <w:rFonts w:hint="eastAsia" w:ascii="宋体" w:hAnsi="宋体" w:eastAsia="宋体" w:cs="宋体"/>
                    </w:rPr>
                    <w:t>/</w:t>
                  </w:r>
                </w:p>
              </w:tc>
              <w:tc>
                <w:tcPr>
                  <w:tcW w:w="636" w:type="dxa"/>
                  <w:vMerge w:val="continue"/>
                  <w:vAlign w:val="center"/>
                </w:tcPr>
                <w:p>
                  <w:pPr>
                    <w:pStyle w:val="262"/>
                    <w:rPr>
                      <w:rFonts w:eastAsia="宋体"/>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2603" w:type="dxa"/>
                  <w:gridSpan w:val="3"/>
                  <w:vAlign w:val="center"/>
                </w:tcPr>
                <w:p>
                  <w:pPr>
                    <w:pStyle w:val="262"/>
                    <w:rPr>
                      <w:rFonts w:ascii="宋体" w:hAnsi="宋体" w:eastAsia="宋体" w:cs="宋体"/>
                    </w:rPr>
                  </w:pPr>
                  <w:r>
                    <w:rPr>
                      <w:rFonts w:hint="eastAsia" w:ascii="宋体" w:hAnsi="宋体" w:eastAsia="宋体" w:cs="宋体"/>
                    </w:rPr>
                    <w:t>事故应急措施</w:t>
                  </w:r>
                </w:p>
              </w:tc>
              <w:tc>
                <w:tcPr>
                  <w:tcW w:w="4055" w:type="dxa"/>
                  <w:gridSpan w:val="2"/>
                  <w:vAlign w:val="center"/>
                </w:tcPr>
                <w:p>
                  <w:pPr>
                    <w:pStyle w:val="262"/>
                    <w:rPr>
                      <w:rFonts w:ascii="宋体" w:hAnsi="宋体" w:eastAsia="宋体" w:cs="宋体"/>
                    </w:rPr>
                  </w:pPr>
                  <w:r>
                    <w:rPr>
                      <w:rFonts w:hint="eastAsia" w:ascii="宋体" w:hAnsi="宋体" w:eastAsia="宋体" w:cs="宋体"/>
                    </w:rPr>
                    <w:t>应急设施灭火器等</w:t>
                  </w:r>
                </w:p>
              </w:tc>
              <w:tc>
                <w:tcPr>
                  <w:tcW w:w="896" w:type="dxa"/>
                  <w:vAlign w:val="center"/>
                </w:tcPr>
                <w:p>
                  <w:pPr>
                    <w:pStyle w:val="262"/>
                    <w:rPr>
                      <w:rFonts w:eastAsia="宋体"/>
                    </w:rPr>
                  </w:pPr>
                  <w:r>
                    <w:rPr>
                      <w:rFonts w:hint="eastAsia" w:eastAsia="宋体"/>
                    </w:rPr>
                    <w:t>3</w:t>
                  </w:r>
                </w:p>
              </w:tc>
              <w:tc>
                <w:tcPr>
                  <w:tcW w:w="636" w:type="dxa"/>
                  <w:vMerge w:val="continue"/>
                  <w:vAlign w:val="center"/>
                </w:tcPr>
                <w:p>
                  <w:pPr>
                    <w:pStyle w:val="262"/>
                    <w:rPr>
                      <w:rFonts w:eastAsia="宋体"/>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603" w:type="dxa"/>
                  <w:gridSpan w:val="3"/>
                  <w:vAlign w:val="center"/>
                </w:tcPr>
                <w:p>
                  <w:pPr>
                    <w:pStyle w:val="262"/>
                    <w:rPr>
                      <w:rFonts w:ascii="宋体" w:hAnsi="宋体" w:eastAsia="宋体" w:cs="宋体"/>
                    </w:rPr>
                  </w:pPr>
                  <w:r>
                    <w:rPr>
                      <w:rFonts w:hint="eastAsia" w:ascii="宋体" w:hAnsi="宋体" w:eastAsia="宋体" w:cs="宋体"/>
                    </w:rPr>
                    <w:t>环境管理（机构、监测能力）</w:t>
                  </w:r>
                </w:p>
              </w:tc>
              <w:tc>
                <w:tcPr>
                  <w:tcW w:w="4055" w:type="dxa"/>
                  <w:gridSpan w:val="2"/>
                  <w:vAlign w:val="center"/>
                </w:tcPr>
                <w:p>
                  <w:pPr>
                    <w:pStyle w:val="262"/>
                    <w:rPr>
                      <w:rFonts w:ascii="宋体" w:hAnsi="宋体" w:eastAsia="宋体" w:cs="宋体"/>
                    </w:rPr>
                  </w:pPr>
                  <w:r>
                    <w:rPr>
                      <w:rFonts w:hint="eastAsia" w:ascii="宋体" w:hAnsi="宋体" w:eastAsia="宋体" w:cs="宋体"/>
                      <w:lang w:val="en-GB"/>
                    </w:rPr>
                    <w:t>设立环境管理部门，环保档案存档，每年进行例行监测</w:t>
                  </w:r>
                </w:p>
              </w:tc>
              <w:tc>
                <w:tcPr>
                  <w:tcW w:w="896" w:type="dxa"/>
                  <w:vAlign w:val="center"/>
                </w:tcPr>
                <w:p>
                  <w:pPr>
                    <w:pStyle w:val="262"/>
                    <w:rPr>
                      <w:rFonts w:ascii="宋体" w:hAnsi="宋体" w:eastAsia="宋体" w:cs="宋体"/>
                    </w:rPr>
                  </w:pPr>
                  <w:r>
                    <w:rPr>
                      <w:rFonts w:hint="eastAsia" w:ascii="宋体" w:hAnsi="宋体" w:eastAsia="宋体" w:cs="宋体"/>
                    </w:rPr>
                    <w:t>/</w:t>
                  </w:r>
                </w:p>
              </w:tc>
              <w:tc>
                <w:tcPr>
                  <w:tcW w:w="636" w:type="dxa"/>
                  <w:vMerge w:val="continue"/>
                  <w:vAlign w:val="center"/>
                </w:tcPr>
                <w:p>
                  <w:pPr>
                    <w:pStyle w:val="262"/>
                    <w:rPr>
                      <w:rFonts w:eastAsia="宋体"/>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603" w:type="dxa"/>
                  <w:gridSpan w:val="3"/>
                  <w:vAlign w:val="center"/>
                </w:tcPr>
                <w:p>
                  <w:pPr>
                    <w:pStyle w:val="262"/>
                    <w:rPr>
                      <w:rFonts w:ascii="宋体" w:hAnsi="宋体" w:eastAsia="宋体" w:cs="宋体"/>
                    </w:rPr>
                  </w:pPr>
                  <w:r>
                    <w:rPr>
                      <w:rFonts w:hint="eastAsia" w:ascii="宋体" w:hAnsi="宋体" w:eastAsia="宋体" w:cs="宋体"/>
                    </w:rPr>
                    <w:t>清污分流、排污口规范化设置</w:t>
                  </w:r>
                </w:p>
              </w:tc>
              <w:tc>
                <w:tcPr>
                  <w:tcW w:w="4055" w:type="dxa"/>
                  <w:gridSpan w:val="2"/>
                  <w:vAlign w:val="center"/>
                </w:tcPr>
                <w:p>
                  <w:pPr>
                    <w:pStyle w:val="262"/>
                    <w:rPr>
                      <w:rFonts w:ascii="宋体" w:hAnsi="宋体" w:eastAsia="宋体" w:cs="宋体"/>
                    </w:rPr>
                  </w:pPr>
                  <w:r>
                    <w:rPr>
                      <w:rFonts w:hint="eastAsia" w:ascii="宋体" w:hAnsi="宋体" w:eastAsia="宋体" w:cs="宋体"/>
                    </w:rPr>
                    <w:t>满足《环境保护图形标志》实施细则（试行）中要求</w:t>
                  </w:r>
                </w:p>
              </w:tc>
              <w:tc>
                <w:tcPr>
                  <w:tcW w:w="896" w:type="dxa"/>
                  <w:vAlign w:val="center"/>
                </w:tcPr>
                <w:p>
                  <w:pPr>
                    <w:pStyle w:val="262"/>
                    <w:rPr>
                      <w:rFonts w:eastAsia="宋体"/>
                    </w:rPr>
                  </w:pPr>
                  <w:r>
                    <w:rPr>
                      <w:rFonts w:hint="eastAsia" w:eastAsia="宋体"/>
                    </w:rPr>
                    <w:t>3</w:t>
                  </w:r>
                </w:p>
              </w:tc>
              <w:tc>
                <w:tcPr>
                  <w:tcW w:w="636" w:type="dxa"/>
                  <w:vMerge w:val="continue"/>
                  <w:vAlign w:val="center"/>
                </w:tcPr>
                <w:p>
                  <w:pPr>
                    <w:pStyle w:val="262"/>
                    <w:rPr>
                      <w:rFonts w:eastAsia="宋体"/>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2603" w:type="dxa"/>
                  <w:gridSpan w:val="3"/>
                  <w:vAlign w:val="center"/>
                </w:tcPr>
                <w:p>
                  <w:pPr>
                    <w:pStyle w:val="262"/>
                    <w:rPr>
                      <w:rFonts w:ascii="宋体" w:hAnsi="宋体" w:eastAsia="宋体" w:cs="宋体"/>
                    </w:rPr>
                  </w:pPr>
                  <w:r>
                    <w:rPr>
                      <w:rFonts w:hint="eastAsia" w:ascii="宋体" w:hAnsi="宋体" w:eastAsia="宋体" w:cs="宋体"/>
                    </w:rPr>
                    <w:t>总量平衡具体方案</w:t>
                  </w:r>
                </w:p>
              </w:tc>
              <w:tc>
                <w:tcPr>
                  <w:tcW w:w="4055" w:type="dxa"/>
                  <w:gridSpan w:val="2"/>
                  <w:vAlign w:val="center"/>
                </w:tcPr>
                <w:p>
                  <w:pPr>
                    <w:pStyle w:val="262"/>
                    <w:rPr>
                      <w:rFonts w:ascii="宋体" w:hAnsi="宋体" w:eastAsia="宋体" w:cs="宋体"/>
                    </w:rPr>
                  </w:pPr>
                  <w:r>
                    <w:rPr>
                      <w:rFonts w:hint="eastAsia" w:ascii="宋体" w:hAnsi="宋体" w:eastAsia="宋体" w:cs="宋体"/>
                    </w:rPr>
                    <w:t>大气污染物总量控制指标在丁蜀镇总量控制范围内进行区域内平衡，污水最终排放量在宜兴市华骐污水处理有限公司已批复的总量中平衡</w:t>
                  </w:r>
                </w:p>
              </w:tc>
              <w:tc>
                <w:tcPr>
                  <w:tcW w:w="896" w:type="dxa"/>
                  <w:vAlign w:val="center"/>
                </w:tcPr>
                <w:p>
                  <w:pPr>
                    <w:pStyle w:val="262"/>
                    <w:rPr>
                      <w:rFonts w:ascii="宋体" w:hAnsi="宋体" w:eastAsia="宋体" w:cs="宋体"/>
                    </w:rPr>
                  </w:pPr>
                  <w:r>
                    <w:rPr>
                      <w:rFonts w:hint="eastAsia" w:ascii="宋体" w:hAnsi="宋体" w:eastAsia="宋体" w:cs="宋体"/>
                    </w:rPr>
                    <w:t>/</w:t>
                  </w:r>
                </w:p>
              </w:tc>
              <w:tc>
                <w:tcPr>
                  <w:tcW w:w="636" w:type="dxa"/>
                  <w:vMerge w:val="continue"/>
                  <w:vAlign w:val="center"/>
                </w:tcPr>
                <w:p>
                  <w:pPr>
                    <w:pStyle w:val="262"/>
                    <w:rPr>
                      <w:rFonts w:eastAsia="宋体"/>
                    </w:rPr>
                  </w:pPr>
                </w:p>
              </w:tc>
            </w:tr>
            <w:tr>
              <w:tblPrEx>
                <w:tblBorders>
                  <w:top w:val="double" w:color="auto" w:sz="4" w:space="0"/>
                  <w:left w:val="single" w:color="FFFFFF" w:sz="4" w:space="0"/>
                  <w:bottom w:val="double" w:color="auto" w:sz="4"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2603" w:type="dxa"/>
                  <w:gridSpan w:val="3"/>
                  <w:vAlign w:val="center"/>
                </w:tcPr>
                <w:p>
                  <w:pPr>
                    <w:pStyle w:val="262"/>
                    <w:rPr>
                      <w:rFonts w:ascii="宋体" w:hAnsi="宋体" w:eastAsia="宋体" w:cs="宋体"/>
                    </w:rPr>
                  </w:pPr>
                  <w:r>
                    <w:rPr>
                      <w:rFonts w:hint="eastAsia" w:ascii="宋体" w:hAnsi="宋体" w:eastAsia="宋体" w:cs="宋体"/>
                    </w:rPr>
                    <w:t>总计</w:t>
                  </w:r>
                </w:p>
              </w:tc>
              <w:tc>
                <w:tcPr>
                  <w:tcW w:w="4055" w:type="dxa"/>
                  <w:gridSpan w:val="2"/>
                  <w:vAlign w:val="center"/>
                </w:tcPr>
                <w:p>
                  <w:pPr>
                    <w:pStyle w:val="262"/>
                    <w:rPr>
                      <w:rFonts w:ascii="宋体" w:hAnsi="宋体" w:eastAsia="宋体" w:cs="宋体"/>
                    </w:rPr>
                  </w:pPr>
                  <w:r>
                    <w:rPr>
                      <w:rFonts w:hint="eastAsia" w:ascii="宋体" w:hAnsi="宋体" w:eastAsia="宋体" w:cs="宋体"/>
                    </w:rPr>
                    <w:t>/</w:t>
                  </w:r>
                </w:p>
              </w:tc>
              <w:tc>
                <w:tcPr>
                  <w:tcW w:w="896" w:type="dxa"/>
                  <w:vAlign w:val="center"/>
                </w:tcPr>
                <w:p>
                  <w:pPr>
                    <w:pStyle w:val="262"/>
                    <w:rPr>
                      <w:rFonts w:hint="default" w:eastAsia="宋体"/>
                      <w:lang w:val="en-US" w:eastAsia="zh-CN"/>
                    </w:rPr>
                  </w:pPr>
                  <w:r>
                    <w:rPr>
                      <w:rFonts w:hint="eastAsia" w:eastAsia="宋体"/>
                      <w:lang w:val="en-US" w:eastAsia="zh-CN"/>
                    </w:rPr>
                    <w:t>16</w:t>
                  </w:r>
                </w:p>
              </w:tc>
              <w:tc>
                <w:tcPr>
                  <w:tcW w:w="636" w:type="dxa"/>
                  <w:vMerge w:val="continue"/>
                  <w:vAlign w:val="center"/>
                </w:tcPr>
                <w:p>
                  <w:pPr>
                    <w:pStyle w:val="262"/>
                    <w:rPr>
                      <w:rFonts w:eastAsia="宋体"/>
                    </w:rPr>
                  </w:pPr>
                </w:p>
              </w:tc>
            </w:tr>
          </w:tbl>
          <w:p>
            <w:pPr>
              <w:spacing w:line="360" w:lineRule="auto"/>
              <w:ind w:firstLine="480" w:firstLineChars="200"/>
              <w:rPr>
                <w:kern w:val="0"/>
                <w:sz w:val="24"/>
                <w:szCs w:val="24"/>
              </w:rPr>
            </w:pPr>
            <w:r>
              <w:rPr>
                <w:rFonts w:hAnsi="宋体"/>
                <w:sz w:val="24"/>
                <w:szCs w:val="24"/>
              </w:rPr>
              <w:t>本</w:t>
            </w:r>
            <w:r>
              <w:rPr>
                <w:rFonts w:hint="eastAsia" w:hAnsi="宋体"/>
                <w:sz w:val="24"/>
                <w:szCs w:val="24"/>
              </w:rPr>
              <w:t>项目</w:t>
            </w:r>
            <w:r>
              <w:rPr>
                <w:rFonts w:hAnsi="宋体"/>
                <w:sz w:val="24"/>
                <w:szCs w:val="24"/>
              </w:rPr>
              <w:t>环保投资共约</w:t>
            </w:r>
            <w:r>
              <w:rPr>
                <w:rFonts w:hint="eastAsia"/>
                <w:sz w:val="24"/>
                <w:szCs w:val="24"/>
                <w:lang w:val="en-US" w:eastAsia="zh-CN"/>
              </w:rPr>
              <w:t>16</w:t>
            </w:r>
            <w:r>
              <w:rPr>
                <w:rFonts w:hAnsi="宋体"/>
                <w:sz w:val="24"/>
                <w:szCs w:val="24"/>
              </w:rPr>
              <w:t>万元，占总投资额的</w:t>
            </w:r>
            <w:r>
              <w:rPr>
                <w:rFonts w:hint="eastAsia"/>
                <w:sz w:val="24"/>
                <w:szCs w:val="24"/>
                <w:lang w:val="en-US" w:eastAsia="zh-CN"/>
              </w:rPr>
              <w:t>3</w:t>
            </w:r>
            <w:r>
              <w:rPr>
                <w:sz w:val="24"/>
                <w:szCs w:val="24"/>
              </w:rPr>
              <w:t>%</w:t>
            </w:r>
            <w:r>
              <w:rPr>
                <w:rFonts w:hAnsi="宋体"/>
                <w:sz w:val="24"/>
                <w:szCs w:val="24"/>
              </w:rPr>
              <w:t>。</w:t>
            </w:r>
          </w:p>
          <w:p>
            <w:pPr>
              <w:spacing w:line="360" w:lineRule="auto"/>
              <w:ind w:firstLine="602" w:firstLineChars="250"/>
              <w:rPr>
                <w:b/>
                <w:kern w:val="0"/>
                <w:sz w:val="24"/>
                <w:szCs w:val="24"/>
              </w:rPr>
            </w:pPr>
            <w:r>
              <w:rPr>
                <w:rFonts w:hint="eastAsia"/>
                <w:b/>
                <w:kern w:val="0"/>
                <w:sz w:val="24"/>
                <w:szCs w:val="24"/>
              </w:rPr>
              <w:t>9、环境管理</w:t>
            </w:r>
          </w:p>
          <w:p>
            <w:pPr>
              <w:spacing w:line="360" w:lineRule="auto"/>
              <w:ind w:firstLine="480" w:firstLineChars="200"/>
              <w:rPr>
                <w:kern w:val="0"/>
                <w:sz w:val="24"/>
                <w:szCs w:val="24"/>
              </w:rPr>
            </w:pPr>
            <w:r>
              <w:rPr>
                <w:rFonts w:hint="eastAsia"/>
                <w:kern w:val="0"/>
                <w:sz w:val="24"/>
                <w:szCs w:val="24"/>
              </w:rPr>
              <w:t>（1）加强对管理人员的教育</w:t>
            </w:r>
          </w:p>
          <w:p>
            <w:pPr>
              <w:spacing w:line="360" w:lineRule="auto"/>
              <w:ind w:firstLine="480" w:firstLineChars="20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pPr>
              <w:spacing w:line="360" w:lineRule="auto"/>
              <w:ind w:firstLine="480" w:firstLineChars="200"/>
              <w:rPr>
                <w:kern w:val="0"/>
                <w:sz w:val="24"/>
                <w:szCs w:val="24"/>
              </w:rPr>
            </w:pPr>
            <w:r>
              <w:rPr>
                <w:rFonts w:hint="eastAsia"/>
                <w:kern w:val="0"/>
                <w:sz w:val="24"/>
                <w:szCs w:val="24"/>
              </w:rPr>
              <w:t>（2）加强生产全过程的环境管理</w:t>
            </w:r>
          </w:p>
          <w:p>
            <w:pPr>
              <w:spacing w:line="360" w:lineRule="auto"/>
              <w:ind w:firstLine="480" w:firstLineChars="20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pPr>
              <w:spacing w:line="360" w:lineRule="auto"/>
              <w:ind w:firstLine="480" w:firstLineChars="200"/>
              <w:rPr>
                <w:kern w:val="0"/>
                <w:sz w:val="24"/>
                <w:szCs w:val="24"/>
              </w:rPr>
            </w:pPr>
            <w:r>
              <w:rPr>
                <w:rFonts w:hint="eastAsia"/>
                <w:kern w:val="0"/>
                <w:sz w:val="24"/>
                <w:szCs w:val="24"/>
              </w:rPr>
              <w:t>（3）加强污染物处理装置的管理</w:t>
            </w:r>
          </w:p>
          <w:p>
            <w:pPr>
              <w:spacing w:line="360" w:lineRule="auto"/>
              <w:ind w:firstLine="480" w:firstLineChars="200"/>
              <w:rPr>
                <w:kern w:val="0"/>
                <w:sz w:val="24"/>
                <w:szCs w:val="24"/>
              </w:rPr>
            </w:pPr>
            <w:r>
              <w:rPr>
                <w:rFonts w:hint="eastAsia"/>
                <w:kern w:val="0"/>
                <w:sz w:val="24"/>
                <w:szCs w:val="24"/>
              </w:rPr>
              <w:t>项目建成投产前，必须切实做好各项处理设备的选型、安装、调试；对各环保处理设施，要加强管理，及时维修、定期保养，保证处理设施正常运行。</w:t>
            </w:r>
          </w:p>
          <w:p>
            <w:pPr>
              <w:pStyle w:val="74"/>
              <w:numPr>
                <w:ilvl w:val="0"/>
                <w:numId w:val="16"/>
              </w:numPr>
              <w:spacing w:line="360" w:lineRule="auto"/>
              <w:ind w:firstLine="480"/>
              <w:rPr>
                <w:rStyle w:val="89"/>
                <w:kern w:val="0"/>
                <w:sz w:val="24"/>
                <w:szCs w:val="24"/>
              </w:rPr>
            </w:pPr>
            <w:r>
              <w:rPr>
                <w:rStyle w:val="89"/>
                <w:rFonts w:hint="eastAsia"/>
                <w:kern w:val="0"/>
                <w:sz w:val="24"/>
                <w:szCs w:val="24"/>
              </w:rPr>
              <w:t>环境监测计划</w:t>
            </w:r>
          </w:p>
          <w:p>
            <w:pPr>
              <w:adjustRightInd w:val="0"/>
              <w:spacing w:line="360" w:lineRule="auto"/>
              <w:ind w:firstLine="480" w:firstLineChars="200"/>
              <w:textAlignment w:val="baseline"/>
              <w:rPr>
                <w:bCs/>
                <w:sz w:val="24"/>
              </w:rPr>
            </w:pPr>
            <w:r>
              <w:rPr>
                <w:bCs/>
                <w:sz w:val="24"/>
                <w:szCs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p>
          <w:p>
            <w:pPr>
              <w:jc w:val="center"/>
              <w:rPr>
                <w:rFonts w:hint="eastAsia"/>
                <w:b/>
                <w:color w:val="000000" w:themeColor="text1"/>
                <w:sz w:val="24"/>
                <w:szCs w:val="24"/>
              </w:rPr>
            </w:pPr>
            <w:r>
              <w:rPr>
                <w:rFonts w:hint="eastAsia"/>
                <w:b/>
                <w:color w:val="000000" w:themeColor="text1"/>
                <w:sz w:val="24"/>
                <w:szCs w:val="24"/>
              </w:rPr>
              <w:t>表</w:t>
            </w:r>
            <w:r>
              <w:rPr>
                <w:rFonts w:hint="eastAsia"/>
                <w:b/>
                <w:color w:val="000000" w:themeColor="text1"/>
                <w:sz w:val="24"/>
                <w:szCs w:val="24"/>
                <w:lang w:val="en-US"/>
              </w:rPr>
              <w:t>7-2</w:t>
            </w:r>
            <w:r>
              <w:rPr>
                <w:rFonts w:hint="eastAsia"/>
                <w:b/>
                <w:color w:val="000000" w:themeColor="text1"/>
                <w:sz w:val="24"/>
                <w:szCs w:val="24"/>
                <w:lang w:val="en-US" w:eastAsia="zh-CN"/>
              </w:rPr>
              <w:t>4</w:t>
            </w:r>
            <w:r>
              <w:rPr>
                <w:rFonts w:hint="eastAsia"/>
                <w:b/>
                <w:color w:val="000000" w:themeColor="text1"/>
                <w:sz w:val="24"/>
                <w:szCs w:val="24"/>
              </w:rPr>
              <w:t xml:space="preserve">   营运期监测计划</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76"/>
              <w:gridCol w:w="1158"/>
              <w:gridCol w:w="1310"/>
              <w:gridCol w:w="1031"/>
              <w:gridCol w:w="373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6" w:type="dxa"/>
                  <w:tcBorders>
                    <w:tl2br w:val="nil"/>
                    <w:tr2bl w:val="nil"/>
                  </w:tcBorders>
                  <w:vAlign w:val="center"/>
                </w:tcPr>
                <w:p>
                  <w:pPr>
                    <w:rPr>
                      <w:b/>
                      <w:szCs w:val="21"/>
                    </w:rPr>
                  </w:pPr>
                  <w:r>
                    <w:rPr>
                      <w:b/>
                      <w:szCs w:val="21"/>
                    </w:rPr>
                    <w:t>监测项目</w:t>
                  </w:r>
                </w:p>
              </w:tc>
              <w:tc>
                <w:tcPr>
                  <w:tcW w:w="1158" w:type="dxa"/>
                  <w:tcBorders>
                    <w:tl2br w:val="nil"/>
                    <w:tr2bl w:val="nil"/>
                  </w:tcBorders>
                  <w:vAlign w:val="center"/>
                </w:tcPr>
                <w:p>
                  <w:pPr>
                    <w:jc w:val="center"/>
                    <w:rPr>
                      <w:b/>
                      <w:szCs w:val="21"/>
                    </w:rPr>
                  </w:pPr>
                  <w:r>
                    <w:rPr>
                      <w:b/>
                      <w:szCs w:val="21"/>
                    </w:rPr>
                    <w:t>监测点位</w:t>
                  </w:r>
                </w:p>
              </w:tc>
              <w:tc>
                <w:tcPr>
                  <w:tcW w:w="1310" w:type="dxa"/>
                  <w:tcBorders>
                    <w:tl2br w:val="nil"/>
                    <w:tr2bl w:val="nil"/>
                  </w:tcBorders>
                  <w:vAlign w:val="center"/>
                </w:tcPr>
                <w:p>
                  <w:pPr>
                    <w:jc w:val="center"/>
                    <w:rPr>
                      <w:b/>
                      <w:szCs w:val="21"/>
                    </w:rPr>
                  </w:pPr>
                  <w:r>
                    <w:rPr>
                      <w:b/>
                      <w:szCs w:val="21"/>
                    </w:rPr>
                    <w:t>监测指标</w:t>
                  </w:r>
                </w:p>
              </w:tc>
              <w:tc>
                <w:tcPr>
                  <w:tcW w:w="1031" w:type="dxa"/>
                  <w:tcBorders>
                    <w:tl2br w:val="nil"/>
                    <w:tr2bl w:val="nil"/>
                  </w:tcBorders>
                  <w:vAlign w:val="center"/>
                </w:tcPr>
                <w:p>
                  <w:pPr>
                    <w:jc w:val="center"/>
                    <w:rPr>
                      <w:b/>
                      <w:szCs w:val="21"/>
                    </w:rPr>
                  </w:pPr>
                  <w:r>
                    <w:rPr>
                      <w:b/>
                      <w:szCs w:val="21"/>
                    </w:rPr>
                    <w:t>监测频次</w:t>
                  </w:r>
                </w:p>
              </w:tc>
              <w:tc>
                <w:tcPr>
                  <w:tcW w:w="3738" w:type="dxa"/>
                  <w:tcBorders>
                    <w:tl2br w:val="nil"/>
                    <w:tr2bl w:val="nil"/>
                  </w:tcBorders>
                  <w:vAlign w:val="center"/>
                </w:tcPr>
                <w:p>
                  <w:pPr>
                    <w:jc w:val="center"/>
                    <w:rPr>
                      <w:b/>
                      <w:szCs w:val="21"/>
                    </w:rPr>
                  </w:pPr>
                  <w:r>
                    <w:rPr>
                      <w:b/>
                      <w:szCs w:val="21"/>
                    </w:rPr>
                    <w:t>执行排放标准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vMerge w:val="restart"/>
                  <w:tcBorders>
                    <w:tl2br w:val="nil"/>
                    <w:tr2bl w:val="nil"/>
                  </w:tcBorders>
                  <w:vAlign w:val="center"/>
                </w:tcPr>
                <w:p>
                  <w:pPr>
                    <w:widowControl/>
                    <w:jc w:val="both"/>
                    <w:textAlignment w:val="center"/>
                    <w:rPr>
                      <w:kern w:val="0"/>
                      <w:szCs w:val="21"/>
                    </w:rPr>
                  </w:pPr>
                </w:p>
                <w:p>
                  <w:pPr>
                    <w:widowControl/>
                    <w:jc w:val="center"/>
                    <w:textAlignment w:val="center"/>
                    <w:rPr>
                      <w:kern w:val="0"/>
                      <w:szCs w:val="21"/>
                    </w:rPr>
                  </w:pPr>
                  <w:r>
                    <w:rPr>
                      <w:kern w:val="0"/>
                      <w:szCs w:val="21"/>
                    </w:rPr>
                    <w:t>废气</w:t>
                  </w:r>
                </w:p>
              </w:tc>
              <w:tc>
                <w:tcPr>
                  <w:tcW w:w="1158" w:type="dxa"/>
                  <w:tcBorders>
                    <w:tl2br w:val="nil"/>
                    <w:tr2bl w:val="nil"/>
                  </w:tcBorders>
                  <w:vAlign w:val="center"/>
                </w:tcPr>
                <w:p>
                  <w:pPr>
                    <w:widowControl/>
                    <w:jc w:val="center"/>
                    <w:textAlignment w:val="center"/>
                    <w:rPr>
                      <w:kern w:val="0"/>
                      <w:szCs w:val="21"/>
                    </w:rPr>
                  </w:pPr>
                  <w:r>
                    <w:rPr>
                      <w:kern w:val="0"/>
                      <w:szCs w:val="21"/>
                    </w:rPr>
                    <w:t>上风向设一个点，下风向设3个点</w:t>
                  </w:r>
                </w:p>
              </w:tc>
              <w:tc>
                <w:tcPr>
                  <w:tcW w:w="1310" w:type="dxa"/>
                  <w:tcBorders>
                    <w:tl2br w:val="nil"/>
                    <w:tr2bl w:val="nil"/>
                  </w:tcBorders>
                  <w:vAlign w:val="center"/>
                </w:tcPr>
                <w:p>
                  <w:pPr>
                    <w:widowControl/>
                    <w:jc w:val="center"/>
                    <w:textAlignment w:val="center"/>
                    <w:rPr>
                      <w:kern w:val="0"/>
                      <w:szCs w:val="21"/>
                    </w:rPr>
                  </w:pPr>
                  <w:r>
                    <w:rPr>
                      <w:kern w:val="0"/>
                    </w:rPr>
                    <w:t>颗粒物</w:t>
                  </w:r>
                </w:p>
              </w:tc>
              <w:tc>
                <w:tcPr>
                  <w:tcW w:w="1031" w:type="dxa"/>
                  <w:tcBorders>
                    <w:tl2br w:val="nil"/>
                    <w:tr2bl w:val="nil"/>
                  </w:tcBorders>
                  <w:vAlign w:val="center"/>
                </w:tcPr>
                <w:p>
                  <w:pPr>
                    <w:jc w:val="center"/>
                    <w:rPr>
                      <w:szCs w:val="21"/>
                    </w:rPr>
                  </w:pPr>
                  <w:r>
                    <w:rPr>
                      <w:kern w:val="0"/>
                      <w:szCs w:val="21"/>
                    </w:rPr>
                    <w:t>1年1次</w:t>
                  </w:r>
                </w:p>
              </w:tc>
              <w:tc>
                <w:tcPr>
                  <w:tcW w:w="3738" w:type="dxa"/>
                  <w:tcBorders>
                    <w:tl2br w:val="nil"/>
                    <w:tr2bl w:val="nil"/>
                  </w:tcBorders>
                  <w:vAlign w:val="center"/>
                </w:tcPr>
                <w:p>
                  <w:pPr>
                    <w:jc w:val="center"/>
                    <w:rPr>
                      <w:snapToGrid w:val="0"/>
                      <w:kern w:val="0"/>
                      <w:szCs w:val="21"/>
                    </w:rPr>
                  </w:pPr>
                  <w:r>
                    <w:rPr>
                      <w:kern w:val="0"/>
                      <w:szCs w:val="21"/>
                    </w:rPr>
                    <w:t>达到《大气污染物综合排放标准》(</w:t>
                  </w:r>
                  <w:r>
                    <w:rPr>
                      <w:bCs/>
                      <w:szCs w:val="21"/>
                      <w:lang w:val="en-US"/>
                    </w:rPr>
                    <w:t>GB16297-1996</w:t>
                  </w:r>
                  <w:r>
                    <w:rPr>
                      <w:kern w:val="0"/>
                      <w:szCs w:val="21"/>
                    </w:rPr>
                    <w:t>)</w:t>
                  </w:r>
                  <w:r>
                    <w:rPr>
                      <w:szCs w:val="21"/>
                    </w:rPr>
                    <w:t xml:space="preserve">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vMerge w:val="continue"/>
                  <w:tcBorders>
                    <w:tl2br w:val="nil"/>
                    <w:tr2bl w:val="nil"/>
                  </w:tcBorders>
                  <w:vAlign w:val="center"/>
                </w:tcPr>
                <w:p>
                  <w:pPr>
                    <w:widowControl/>
                    <w:jc w:val="center"/>
                    <w:textAlignment w:val="center"/>
                    <w:rPr>
                      <w:kern w:val="0"/>
                      <w:szCs w:val="21"/>
                    </w:rPr>
                  </w:pPr>
                </w:p>
              </w:tc>
              <w:tc>
                <w:tcPr>
                  <w:tcW w:w="1158" w:type="dxa"/>
                  <w:tcBorders>
                    <w:tl2br w:val="nil"/>
                    <w:tr2bl w:val="nil"/>
                  </w:tcBorders>
                  <w:vAlign w:val="center"/>
                </w:tcPr>
                <w:p>
                  <w:pPr>
                    <w:widowControl/>
                    <w:jc w:val="center"/>
                    <w:textAlignment w:val="center"/>
                    <w:rPr>
                      <w:rFonts w:hint="eastAsia" w:eastAsia="宋体"/>
                      <w:kern w:val="0"/>
                      <w:szCs w:val="21"/>
                      <w:lang w:eastAsia="zh-CN"/>
                    </w:rPr>
                  </w:pPr>
                  <w:r>
                    <w:t>DA00</w:t>
                  </w:r>
                  <w:r>
                    <w:rPr>
                      <w:rFonts w:hint="eastAsia"/>
                      <w:lang w:val="en-US" w:eastAsia="zh-CN"/>
                    </w:rPr>
                    <w:t>1</w:t>
                  </w:r>
                </w:p>
              </w:tc>
              <w:tc>
                <w:tcPr>
                  <w:tcW w:w="1310" w:type="dxa"/>
                  <w:tcBorders>
                    <w:tl2br w:val="nil"/>
                    <w:tr2bl w:val="nil"/>
                  </w:tcBorders>
                  <w:vAlign w:val="center"/>
                </w:tcPr>
                <w:p>
                  <w:pPr>
                    <w:widowControl/>
                    <w:jc w:val="center"/>
                    <w:textAlignment w:val="center"/>
                    <w:rPr>
                      <w:kern w:val="0"/>
                    </w:rPr>
                  </w:pPr>
                  <w:r>
                    <w:rPr>
                      <w:rFonts w:hint="eastAsia"/>
                      <w:kern w:val="0"/>
                      <w:lang w:eastAsia="zh-CN"/>
                    </w:rPr>
                    <w:t>投料、球磨、</w:t>
                  </w:r>
                  <w:r>
                    <w:rPr>
                      <w:rFonts w:hint="eastAsia"/>
                      <w:kern w:val="0"/>
                    </w:rPr>
                    <w:t>喷雾干燥造粒废气及天然气燃烧废气（SO</w:t>
                  </w:r>
                  <w:r>
                    <w:rPr>
                      <w:rFonts w:hint="eastAsia"/>
                      <w:kern w:val="0"/>
                      <w:vertAlign w:val="subscript"/>
                    </w:rPr>
                    <w:t>2</w:t>
                  </w:r>
                  <w:r>
                    <w:rPr>
                      <w:rFonts w:hint="eastAsia"/>
                      <w:kern w:val="0"/>
                    </w:rPr>
                    <w:t>、NO</w:t>
                  </w:r>
                  <w:r>
                    <w:rPr>
                      <w:rFonts w:hint="eastAsia"/>
                      <w:kern w:val="0"/>
                      <w:vertAlign w:val="subscript"/>
                    </w:rPr>
                    <w:t>X</w:t>
                  </w:r>
                  <w:r>
                    <w:rPr>
                      <w:rFonts w:hint="eastAsia"/>
                      <w:kern w:val="0"/>
                    </w:rPr>
                    <w:t>）</w:t>
                  </w:r>
                </w:p>
              </w:tc>
              <w:tc>
                <w:tcPr>
                  <w:tcW w:w="1031" w:type="dxa"/>
                  <w:tcBorders>
                    <w:tl2br w:val="nil"/>
                    <w:tr2bl w:val="nil"/>
                  </w:tcBorders>
                  <w:vAlign w:val="center"/>
                </w:tcPr>
                <w:p>
                  <w:pPr>
                    <w:jc w:val="center"/>
                    <w:rPr>
                      <w:kern w:val="0"/>
                      <w:szCs w:val="21"/>
                    </w:rPr>
                  </w:pPr>
                  <w:r>
                    <w:rPr>
                      <w:rFonts w:hint="eastAsia"/>
                      <w:szCs w:val="21"/>
                      <w:lang w:val="en-US"/>
                    </w:rPr>
                    <w:t>1次/半年</w:t>
                  </w:r>
                </w:p>
              </w:tc>
              <w:tc>
                <w:tcPr>
                  <w:tcW w:w="3738" w:type="dxa"/>
                  <w:tcBorders>
                    <w:tl2br w:val="nil"/>
                    <w:tr2bl w:val="nil"/>
                  </w:tcBorders>
                  <w:vAlign w:val="center"/>
                </w:tcPr>
                <w:p>
                  <w:pPr>
                    <w:jc w:val="center"/>
                    <w:rPr>
                      <w:rFonts w:hint="eastAsia" w:eastAsia="宋体"/>
                      <w:kern w:val="0"/>
                      <w:szCs w:val="21"/>
                      <w:lang w:eastAsia="zh-CN"/>
                    </w:rPr>
                  </w:pPr>
                  <w:r>
                    <w:rPr>
                      <w:rFonts w:hint="eastAsia" w:ascii="宋体" w:hAnsi="宋体" w:cs="宋体"/>
                      <w:bCs/>
                      <w:lang w:eastAsia="zh-CN"/>
                    </w:rPr>
                    <w:t>达到</w:t>
                  </w:r>
                  <w:r>
                    <w:rPr>
                      <w:rFonts w:ascii="宋体" w:hAnsi="宋体" w:cs="宋体"/>
                      <w:bCs/>
                    </w:rPr>
                    <w:t>《陶瓷工业污染物排放标准》（</w:t>
                  </w:r>
                  <w:r>
                    <w:rPr>
                      <w:bCs/>
                    </w:rPr>
                    <w:t>GB25464-2010</w:t>
                  </w:r>
                  <w:r>
                    <w:rPr>
                      <w:rFonts w:ascii="宋体" w:hAnsi="宋体" w:cs="宋体"/>
                      <w:bCs/>
                    </w:rPr>
                    <w:t>）及《陶瓷工业污染物排放标准》（</w:t>
                  </w:r>
                  <w:r>
                    <w:rPr>
                      <w:bCs/>
                    </w:rPr>
                    <w:t>GB25464-2010</w:t>
                  </w:r>
                  <w:r>
                    <w:rPr>
                      <w:rFonts w:ascii="宋体" w:hAnsi="宋体" w:cs="宋体"/>
                      <w:bCs/>
                    </w:rPr>
                    <w:t>）修改单（</w:t>
                  </w:r>
                  <w:r>
                    <w:rPr>
                      <w:bCs/>
                    </w:rPr>
                    <w:t>2014</w:t>
                  </w:r>
                  <w:r>
                    <w:rPr>
                      <w:rFonts w:ascii="宋体" w:hAnsi="宋体" w:cs="宋体"/>
                      <w:bCs/>
                    </w:rPr>
                    <w:t xml:space="preserve"> 年第 </w:t>
                  </w:r>
                  <w:r>
                    <w:rPr>
                      <w:bCs/>
                    </w:rPr>
                    <w:t xml:space="preserve">83 </w:t>
                  </w:r>
                  <w:r>
                    <w:rPr>
                      <w:rFonts w:ascii="宋体" w:hAnsi="宋体" w:cs="宋体"/>
                      <w:bCs/>
                    </w:rPr>
                    <w:t>号文）</w:t>
                  </w:r>
                  <w:r>
                    <w:rPr>
                      <w:rFonts w:hint="eastAsia" w:ascii="宋体" w:hAnsi="宋体" w:cs="宋体"/>
                      <w:bCs/>
                      <w:lang w:eastAsia="zh-CN"/>
                    </w:rPr>
                    <w:t>、</w:t>
                  </w:r>
                  <w:r>
                    <w:rPr>
                      <w:kern w:val="0"/>
                      <w:szCs w:val="21"/>
                    </w:rPr>
                    <w:t>《大气污染物综合排放标准》(</w:t>
                  </w:r>
                  <w:r>
                    <w:rPr>
                      <w:bCs/>
                      <w:szCs w:val="21"/>
                      <w:lang w:val="en-US"/>
                    </w:rPr>
                    <w:t>GB16297-1996</w:t>
                  </w:r>
                  <w:r>
                    <w:rPr>
                      <w:kern w:val="0"/>
                      <w:szCs w:val="21"/>
                    </w:rPr>
                    <w:t>)</w:t>
                  </w:r>
                  <w:r>
                    <w:rPr>
                      <w:szCs w:val="21"/>
                    </w:rPr>
                    <w:t xml:space="preserve">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kern w:val="0"/>
                      <w:szCs w:val="21"/>
                    </w:rPr>
                  </w:pPr>
                  <w:r>
                    <w:rPr>
                      <w:kern w:val="0"/>
                      <w:szCs w:val="21"/>
                    </w:rPr>
                    <w:t>废水</w:t>
                  </w:r>
                </w:p>
              </w:tc>
              <w:tc>
                <w:tcPr>
                  <w:tcW w:w="1158" w:type="dxa"/>
                  <w:tcBorders>
                    <w:tl2br w:val="nil"/>
                    <w:tr2bl w:val="nil"/>
                  </w:tcBorders>
                  <w:vAlign w:val="center"/>
                </w:tcPr>
                <w:p>
                  <w:pPr>
                    <w:adjustRightInd w:val="0"/>
                    <w:snapToGrid w:val="0"/>
                    <w:jc w:val="center"/>
                    <w:rPr>
                      <w:kern w:val="0"/>
                    </w:rPr>
                  </w:pPr>
                  <w:r>
                    <w:rPr>
                      <w:kern w:val="0"/>
                      <w:szCs w:val="21"/>
                    </w:rPr>
                    <w:t>生活污水接管口</w:t>
                  </w:r>
                </w:p>
              </w:tc>
              <w:tc>
                <w:tcPr>
                  <w:tcW w:w="1310" w:type="dxa"/>
                  <w:tcBorders>
                    <w:tl2br w:val="nil"/>
                    <w:tr2bl w:val="nil"/>
                  </w:tcBorders>
                  <w:vAlign w:val="center"/>
                </w:tcPr>
                <w:p>
                  <w:pPr>
                    <w:adjustRightInd w:val="0"/>
                    <w:snapToGrid w:val="0"/>
                    <w:jc w:val="center"/>
                    <w:rPr>
                      <w:kern w:val="0"/>
                    </w:rPr>
                  </w:pPr>
                  <w:r>
                    <w:rPr>
                      <w:kern w:val="0"/>
                      <w:szCs w:val="21"/>
                    </w:rPr>
                    <w:t>COD、氨氮、SS、TP、TN</w:t>
                  </w:r>
                </w:p>
              </w:tc>
              <w:tc>
                <w:tcPr>
                  <w:tcW w:w="1031" w:type="dxa"/>
                  <w:tcBorders>
                    <w:tl2br w:val="nil"/>
                    <w:tr2bl w:val="nil"/>
                  </w:tcBorders>
                  <w:vAlign w:val="center"/>
                </w:tcPr>
                <w:p>
                  <w:pPr>
                    <w:adjustRightInd w:val="0"/>
                    <w:snapToGrid w:val="0"/>
                    <w:jc w:val="center"/>
                  </w:pPr>
                  <w:r>
                    <w:rPr>
                      <w:kern w:val="0"/>
                      <w:szCs w:val="21"/>
                    </w:rPr>
                    <w:t>1</w:t>
                  </w:r>
                  <w:r>
                    <w:rPr>
                      <w:rFonts w:hint="eastAsia"/>
                      <w:kern w:val="0"/>
                      <w:szCs w:val="21"/>
                      <w:lang w:eastAsia="zh-CN"/>
                    </w:rPr>
                    <w:t>年</w:t>
                  </w:r>
                  <w:r>
                    <w:rPr>
                      <w:kern w:val="0"/>
                      <w:szCs w:val="21"/>
                    </w:rPr>
                    <w:t>1次</w:t>
                  </w:r>
                </w:p>
              </w:tc>
              <w:tc>
                <w:tcPr>
                  <w:tcW w:w="3738" w:type="dxa"/>
                  <w:tcBorders>
                    <w:tl2br w:val="nil"/>
                    <w:tr2bl w:val="nil"/>
                  </w:tcBorders>
                  <w:vAlign w:val="center"/>
                </w:tcPr>
                <w:p>
                  <w:pPr>
                    <w:adjustRightInd w:val="0"/>
                    <w:snapToGrid w:val="0"/>
                    <w:jc w:val="center"/>
                    <w:rPr>
                      <w:snapToGrid w:val="0"/>
                      <w:kern w:val="0"/>
                      <w:szCs w:val="21"/>
                    </w:rPr>
                  </w:pPr>
                  <w:r>
                    <w:rPr>
                      <w:snapToGrid w:val="0"/>
                      <w:kern w:val="0"/>
                      <w:szCs w:val="21"/>
                    </w:rPr>
                    <w:t>《污水综合排放标准》(GB8978-1996)表4中三级标准及《污水排入城镇下水道水质标准》(GB/T31962-2015)表1中</w:t>
                  </w:r>
                  <w:r>
                    <w:rPr>
                      <w:rFonts w:hint="eastAsia"/>
                      <w:snapToGrid w:val="0"/>
                      <w:kern w:val="0"/>
                      <w:szCs w:val="21"/>
                    </w:rPr>
                    <w:t>B</w:t>
                  </w:r>
                  <w:r>
                    <w:rPr>
                      <w:snapToGrid w:val="0"/>
                      <w:kern w:val="0"/>
                      <w:szCs w:val="21"/>
                    </w:rPr>
                    <w:t>等级标准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kern w:val="0"/>
                      <w:szCs w:val="21"/>
                    </w:rPr>
                  </w:pPr>
                  <w:r>
                    <w:rPr>
                      <w:kern w:val="0"/>
                      <w:szCs w:val="21"/>
                    </w:rPr>
                    <w:t>噪声</w:t>
                  </w:r>
                </w:p>
              </w:tc>
              <w:tc>
                <w:tcPr>
                  <w:tcW w:w="1158" w:type="dxa"/>
                  <w:tcBorders>
                    <w:tl2br w:val="nil"/>
                    <w:tr2bl w:val="nil"/>
                  </w:tcBorders>
                  <w:vAlign w:val="center"/>
                </w:tcPr>
                <w:p>
                  <w:pPr>
                    <w:adjustRightInd w:val="0"/>
                    <w:snapToGrid w:val="0"/>
                    <w:jc w:val="center"/>
                  </w:pPr>
                  <w:r>
                    <w:rPr>
                      <w:kern w:val="0"/>
                      <w:szCs w:val="21"/>
                    </w:rPr>
                    <w:t>东、南、西、北各厂界</w:t>
                  </w:r>
                </w:p>
              </w:tc>
              <w:tc>
                <w:tcPr>
                  <w:tcW w:w="1310" w:type="dxa"/>
                  <w:tcBorders>
                    <w:tl2br w:val="nil"/>
                    <w:tr2bl w:val="nil"/>
                  </w:tcBorders>
                  <w:vAlign w:val="center"/>
                </w:tcPr>
                <w:p>
                  <w:pPr>
                    <w:adjustRightInd w:val="0"/>
                    <w:snapToGrid w:val="0"/>
                    <w:jc w:val="center"/>
                    <w:rPr>
                      <w:kern w:val="0"/>
                      <w:szCs w:val="21"/>
                    </w:rPr>
                  </w:pPr>
                  <w:r>
                    <w:t>LeqdB(A)</w:t>
                  </w:r>
                </w:p>
              </w:tc>
              <w:tc>
                <w:tcPr>
                  <w:tcW w:w="1031" w:type="dxa"/>
                  <w:tcBorders>
                    <w:tl2br w:val="nil"/>
                    <w:tr2bl w:val="nil"/>
                  </w:tcBorders>
                  <w:vAlign w:val="center"/>
                </w:tcPr>
                <w:p>
                  <w:pPr>
                    <w:adjustRightInd w:val="0"/>
                    <w:snapToGrid w:val="0"/>
                    <w:jc w:val="center"/>
                  </w:pPr>
                  <w:r>
                    <w:t>1季1次，监测昼、夜间</w:t>
                  </w:r>
                </w:p>
              </w:tc>
              <w:tc>
                <w:tcPr>
                  <w:tcW w:w="3738" w:type="dxa"/>
                  <w:tcBorders>
                    <w:tl2br w:val="nil"/>
                    <w:tr2bl w:val="nil"/>
                  </w:tcBorders>
                  <w:vAlign w:val="center"/>
                </w:tcPr>
                <w:p>
                  <w:pPr>
                    <w:adjustRightInd w:val="0"/>
                    <w:snapToGrid w:val="0"/>
                    <w:jc w:val="center"/>
                    <w:rPr>
                      <w:kern w:val="0"/>
                      <w:szCs w:val="21"/>
                    </w:rPr>
                  </w:pPr>
                  <w:r>
                    <w:t>《工业企业厂界环境噪声排放标准》(GB12348-2008)3类标准</w:t>
                  </w:r>
                </w:p>
              </w:tc>
            </w:tr>
          </w:tbl>
          <w:p>
            <w:pPr>
              <w:spacing w:beforeLines="50" w:line="360" w:lineRule="auto"/>
              <w:ind w:firstLine="480" w:firstLineChars="200"/>
              <w:rPr>
                <w:kern w:val="0"/>
                <w:sz w:val="24"/>
                <w:szCs w:val="24"/>
              </w:rPr>
            </w:pPr>
            <w:r>
              <w:rPr>
                <w:rFonts w:hint="eastAsia"/>
                <w:kern w:val="0"/>
                <w:sz w:val="24"/>
                <w:szCs w:val="24"/>
              </w:rPr>
              <w:t>（5）排污口规范化设置</w:t>
            </w:r>
          </w:p>
          <w:p>
            <w:pPr>
              <w:snapToGrid w:val="0"/>
              <w:spacing w:line="360" w:lineRule="auto"/>
              <w:ind w:firstLine="480" w:firstLineChars="200"/>
              <w:jc w:val="left"/>
              <w:rPr>
                <w:sz w:val="24"/>
              </w:rPr>
            </w:pPr>
            <w:r>
              <w:rPr>
                <w:sz w:val="24"/>
              </w:rPr>
              <w:t xml:space="preserve">根据《江苏省排污口设置及规范化整治管理办法》第十二条规定，排污口必须符合 “一明显、二合理、三便于”的要求，即环保标志明显，排污口设置合理，排放去向合理，便于采集样品，便于监测计量，便于公众监督管理。按照国家环保总局制定的《&lt;环境保护图形标志&gt;实施细则(试行)》(环监[1996]463 号)的规定，对各排污口设立相应的标志牌。 </w:t>
            </w:r>
          </w:p>
          <w:p>
            <w:pPr>
              <w:snapToGrid w:val="0"/>
              <w:spacing w:line="360" w:lineRule="auto"/>
              <w:ind w:firstLine="480" w:firstLineChars="200"/>
              <w:jc w:val="left"/>
              <w:rPr>
                <w:sz w:val="24"/>
              </w:rPr>
            </w:pPr>
            <w:r>
              <w:rPr>
                <w:sz w:val="24"/>
              </w:rPr>
              <w:t xml:space="preserve">(1)污(废)水排放口 </w:t>
            </w:r>
          </w:p>
          <w:p>
            <w:pPr>
              <w:snapToGrid w:val="0"/>
              <w:spacing w:line="360" w:lineRule="auto"/>
              <w:ind w:firstLine="480" w:firstLineChars="200"/>
              <w:jc w:val="left"/>
              <w:rPr>
                <w:sz w:val="24"/>
              </w:rPr>
            </w:pPr>
            <w:r>
              <w:rPr>
                <w:sz w:val="24"/>
              </w:rPr>
              <w:t>根据该管理办法第十二条规定，“凡生产经营场所集中在一个地点的单位，原则上允许设污水和清下水(雨水)排污口各一个。”</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的雨水排放口和生活污水接管口。</w:t>
            </w:r>
          </w:p>
          <w:p>
            <w:pPr>
              <w:snapToGrid w:val="0"/>
              <w:spacing w:line="360" w:lineRule="auto"/>
              <w:ind w:firstLine="480" w:firstLineChars="200"/>
              <w:jc w:val="left"/>
              <w:rPr>
                <w:sz w:val="24"/>
              </w:rPr>
            </w:pPr>
            <w:r>
              <w:rPr>
                <w:sz w:val="24"/>
              </w:rPr>
              <w:t xml:space="preserve">(2)固体废物贮存(处置)场所 </w:t>
            </w:r>
          </w:p>
          <w:p>
            <w:pPr>
              <w:snapToGrid w:val="0"/>
              <w:spacing w:line="360" w:lineRule="auto"/>
              <w:ind w:firstLine="480" w:firstLineChars="200"/>
              <w:jc w:val="left"/>
              <w:rPr>
                <w:sz w:val="24"/>
              </w:rPr>
            </w:pPr>
            <w:r>
              <w:rPr>
                <w:sz w:val="24"/>
              </w:rPr>
              <w:t xml:space="preserve">各种固体废物处置设施、堆放场所必须有防火、防扬散、防流失、防渗漏或者其它防止污染环境的措施，在醒目处设置标志牌。 </w:t>
            </w:r>
          </w:p>
          <w:p>
            <w:pPr>
              <w:snapToGrid w:val="0"/>
              <w:spacing w:line="360" w:lineRule="auto"/>
              <w:ind w:firstLine="480" w:firstLineChars="200"/>
              <w:jc w:val="left"/>
              <w:rPr>
                <w:sz w:val="24"/>
              </w:rPr>
            </w:pPr>
            <w:r>
              <w:rPr>
                <w:sz w:val="24"/>
              </w:rPr>
              <w:t>(</w:t>
            </w:r>
            <w:r>
              <w:rPr>
                <w:rFonts w:hint="eastAsia"/>
                <w:sz w:val="24"/>
              </w:rPr>
              <w:t>3</w:t>
            </w:r>
            <w:r>
              <w:rPr>
                <w:sz w:val="24"/>
              </w:rPr>
              <w:t xml:space="preserve">)排污口环境保护图形标志牌 </w:t>
            </w:r>
          </w:p>
          <w:p>
            <w:pPr>
              <w:snapToGrid w:val="0"/>
              <w:spacing w:line="360" w:lineRule="auto"/>
              <w:ind w:firstLine="480" w:firstLineChars="200"/>
              <w:jc w:val="left"/>
              <w:rPr>
                <w:sz w:val="24"/>
              </w:rPr>
            </w:pPr>
            <w:r>
              <w:rPr>
                <w:sz w:val="24"/>
              </w:rPr>
              <w:t>根据国家环保总局和江苏省环保厅对排污口规范化整治的要求，建设单位各排污口应设置环境保护图形标志，具体要求见下表。</w:t>
            </w:r>
          </w:p>
          <w:p>
            <w:pPr>
              <w:jc w:val="center"/>
              <w:rPr>
                <w:rFonts w:hint="eastAsia"/>
                <w:b/>
                <w:color w:val="000000" w:themeColor="text1"/>
                <w:sz w:val="24"/>
                <w:szCs w:val="24"/>
              </w:rPr>
            </w:pPr>
            <w:r>
              <w:rPr>
                <w:rFonts w:hint="eastAsia"/>
                <w:b/>
                <w:color w:val="000000" w:themeColor="text1"/>
                <w:sz w:val="24"/>
                <w:szCs w:val="24"/>
              </w:rPr>
              <w:t>表7-2</w:t>
            </w:r>
            <w:r>
              <w:rPr>
                <w:rFonts w:hint="eastAsia"/>
                <w:b/>
                <w:color w:val="000000" w:themeColor="text1"/>
                <w:sz w:val="24"/>
                <w:szCs w:val="24"/>
                <w:lang w:val="en-US" w:eastAsia="zh-CN"/>
              </w:rPr>
              <w:t>5</w:t>
            </w:r>
            <w:r>
              <w:rPr>
                <w:rFonts w:hint="eastAsia"/>
                <w:b/>
                <w:color w:val="000000" w:themeColor="text1"/>
                <w:sz w:val="24"/>
                <w:szCs w:val="24"/>
              </w:rPr>
              <w:t xml:space="preserve">  各排污口环境保护图形标志</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214"/>
              <w:gridCol w:w="1142"/>
              <w:gridCol w:w="1144"/>
              <w:gridCol w:w="1016"/>
              <w:gridCol w:w="1016"/>
              <w:gridCol w:w="130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4" w:type="dxa"/>
                  <w:vAlign w:val="center"/>
                </w:tcPr>
                <w:p>
                  <w:pPr>
                    <w:pStyle w:val="44"/>
                    <w:snapToGrid w:val="0"/>
                    <w:spacing w:after="0" w:line="240" w:lineRule="auto"/>
                    <w:ind w:left="0" w:leftChars="0"/>
                    <w:jc w:val="center"/>
                    <w:rPr>
                      <w:b/>
                      <w:szCs w:val="21"/>
                    </w:rPr>
                  </w:pPr>
                  <w:r>
                    <w:rPr>
                      <w:b/>
                      <w:szCs w:val="21"/>
                    </w:rPr>
                    <w:t>排放口名称</w:t>
                  </w:r>
                </w:p>
              </w:tc>
              <w:tc>
                <w:tcPr>
                  <w:tcW w:w="1214" w:type="dxa"/>
                  <w:vAlign w:val="center"/>
                </w:tcPr>
                <w:p>
                  <w:pPr>
                    <w:pStyle w:val="44"/>
                    <w:snapToGrid w:val="0"/>
                    <w:spacing w:after="0" w:line="240" w:lineRule="auto"/>
                    <w:ind w:left="0" w:leftChars="0"/>
                    <w:jc w:val="center"/>
                    <w:rPr>
                      <w:b/>
                      <w:szCs w:val="21"/>
                    </w:rPr>
                  </w:pPr>
                  <w:r>
                    <w:rPr>
                      <w:b/>
                      <w:szCs w:val="21"/>
                    </w:rPr>
                    <w:t>编号</w:t>
                  </w:r>
                </w:p>
              </w:tc>
              <w:tc>
                <w:tcPr>
                  <w:tcW w:w="1142" w:type="dxa"/>
                  <w:vAlign w:val="center"/>
                </w:tcPr>
                <w:p>
                  <w:pPr>
                    <w:pStyle w:val="44"/>
                    <w:snapToGrid w:val="0"/>
                    <w:spacing w:after="0" w:line="240" w:lineRule="auto"/>
                    <w:ind w:left="0" w:leftChars="0"/>
                    <w:jc w:val="center"/>
                    <w:rPr>
                      <w:b/>
                      <w:szCs w:val="21"/>
                    </w:rPr>
                  </w:pPr>
                  <w:r>
                    <w:rPr>
                      <w:b/>
                      <w:szCs w:val="21"/>
                    </w:rPr>
                    <w:t>图形标志</w:t>
                  </w:r>
                </w:p>
              </w:tc>
              <w:tc>
                <w:tcPr>
                  <w:tcW w:w="1144" w:type="dxa"/>
                  <w:vAlign w:val="center"/>
                </w:tcPr>
                <w:p>
                  <w:pPr>
                    <w:pStyle w:val="44"/>
                    <w:snapToGrid w:val="0"/>
                    <w:spacing w:after="0" w:line="240" w:lineRule="auto"/>
                    <w:ind w:left="0" w:leftChars="0"/>
                    <w:jc w:val="center"/>
                    <w:rPr>
                      <w:b/>
                      <w:szCs w:val="21"/>
                    </w:rPr>
                  </w:pPr>
                  <w:r>
                    <w:rPr>
                      <w:b/>
                      <w:szCs w:val="21"/>
                    </w:rPr>
                    <w:t>形状</w:t>
                  </w:r>
                </w:p>
              </w:tc>
              <w:tc>
                <w:tcPr>
                  <w:tcW w:w="1016" w:type="dxa"/>
                  <w:vAlign w:val="center"/>
                </w:tcPr>
                <w:p>
                  <w:pPr>
                    <w:pStyle w:val="44"/>
                    <w:snapToGrid w:val="0"/>
                    <w:spacing w:after="0" w:line="240" w:lineRule="auto"/>
                    <w:ind w:left="0" w:leftChars="0"/>
                    <w:jc w:val="center"/>
                    <w:rPr>
                      <w:b/>
                      <w:szCs w:val="21"/>
                    </w:rPr>
                  </w:pPr>
                  <w:r>
                    <w:rPr>
                      <w:b/>
                      <w:szCs w:val="21"/>
                    </w:rPr>
                    <w:t>背景颜色</w:t>
                  </w:r>
                </w:p>
              </w:tc>
              <w:tc>
                <w:tcPr>
                  <w:tcW w:w="1016" w:type="dxa"/>
                  <w:vAlign w:val="center"/>
                </w:tcPr>
                <w:p>
                  <w:pPr>
                    <w:pStyle w:val="44"/>
                    <w:snapToGrid w:val="0"/>
                    <w:spacing w:after="0" w:line="240" w:lineRule="auto"/>
                    <w:ind w:left="0" w:leftChars="0"/>
                    <w:jc w:val="center"/>
                    <w:rPr>
                      <w:b/>
                      <w:szCs w:val="21"/>
                    </w:rPr>
                  </w:pPr>
                  <w:r>
                    <w:rPr>
                      <w:b/>
                      <w:szCs w:val="21"/>
                    </w:rPr>
                    <w:t>图形颜色</w:t>
                  </w:r>
                </w:p>
              </w:tc>
              <w:tc>
                <w:tcPr>
                  <w:tcW w:w="1307" w:type="dxa"/>
                  <w:vAlign w:val="center"/>
                </w:tcPr>
                <w:p>
                  <w:pPr>
                    <w:pStyle w:val="44"/>
                    <w:snapToGrid w:val="0"/>
                    <w:spacing w:after="0" w:line="240" w:lineRule="auto"/>
                    <w:ind w:left="0" w:leftChars="0"/>
                    <w:jc w:val="center"/>
                    <w:rPr>
                      <w:b/>
                      <w:szCs w:val="21"/>
                    </w:rPr>
                  </w:pPr>
                  <w:r>
                    <w:rPr>
                      <w:b/>
                      <w:szCs w:val="21"/>
                    </w:rPr>
                    <w:t>图形符号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4" w:type="dxa"/>
                  <w:vAlign w:val="center"/>
                </w:tcPr>
                <w:p>
                  <w:pPr>
                    <w:pStyle w:val="44"/>
                    <w:snapToGrid w:val="0"/>
                    <w:spacing w:after="0" w:line="240" w:lineRule="auto"/>
                    <w:ind w:left="0" w:leftChars="0"/>
                    <w:jc w:val="center"/>
                    <w:rPr>
                      <w:szCs w:val="21"/>
                    </w:rPr>
                  </w:pPr>
                  <w:r>
                    <w:rPr>
                      <w:szCs w:val="21"/>
                    </w:rPr>
                    <w:t>废气排放口</w:t>
                  </w:r>
                </w:p>
              </w:tc>
              <w:tc>
                <w:tcPr>
                  <w:tcW w:w="1214" w:type="dxa"/>
                  <w:vAlign w:val="center"/>
                </w:tcPr>
                <w:p>
                  <w:pPr>
                    <w:pStyle w:val="44"/>
                    <w:snapToGrid w:val="0"/>
                    <w:spacing w:after="0" w:line="240" w:lineRule="auto"/>
                    <w:ind w:left="0" w:leftChars="0"/>
                    <w:jc w:val="center"/>
                    <w:rPr>
                      <w:rFonts w:hint="eastAsia" w:eastAsia="宋体"/>
                      <w:szCs w:val="21"/>
                      <w:lang w:val="en-US" w:eastAsia="zh-CN"/>
                    </w:rPr>
                  </w:pPr>
                  <w:r>
                    <w:rPr>
                      <w:rFonts w:hint="eastAsia"/>
                      <w:szCs w:val="21"/>
                    </w:rPr>
                    <w:t>DA00</w:t>
                  </w:r>
                  <w:r>
                    <w:rPr>
                      <w:rFonts w:hint="eastAsia"/>
                      <w:szCs w:val="21"/>
                      <w:lang w:val="en-US" w:eastAsia="zh-CN"/>
                    </w:rPr>
                    <w:t>1</w:t>
                  </w:r>
                </w:p>
              </w:tc>
              <w:tc>
                <w:tcPr>
                  <w:tcW w:w="1142" w:type="dxa"/>
                  <w:vAlign w:val="center"/>
                </w:tcPr>
                <w:p>
                  <w:pPr>
                    <w:pStyle w:val="44"/>
                    <w:snapToGrid w:val="0"/>
                    <w:spacing w:after="0" w:line="240" w:lineRule="auto"/>
                    <w:ind w:left="0" w:leftChars="0"/>
                    <w:jc w:val="center"/>
                    <w:rPr>
                      <w:szCs w:val="21"/>
                    </w:rPr>
                  </w:pPr>
                  <w:r>
                    <w:rPr>
                      <w:szCs w:val="21"/>
                    </w:rPr>
                    <w:t>提示标志</w:t>
                  </w:r>
                </w:p>
              </w:tc>
              <w:tc>
                <w:tcPr>
                  <w:tcW w:w="1144" w:type="dxa"/>
                  <w:vAlign w:val="center"/>
                </w:tcPr>
                <w:p>
                  <w:pPr>
                    <w:pStyle w:val="44"/>
                    <w:snapToGrid w:val="0"/>
                    <w:spacing w:after="0" w:line="240" w:lineRule="auto"/>
                    <w:ind w:left="0" w:leftChars="0"/>
                    <w:jc w:val="center"/>
                    <w:rPr>
                      <w:szCs w:val="21"/>
                    </w:rPr>
                  </w:pPr>
                  <w:r>
                    <w:rPr>
                      <w:szCs w:val="21"/>
                    </w:rPr>
                    <w:t>正方形边框</w:t>
                  </w:r>
                </w:p>
              </w:tc>
              <w:tc>
                <w:tcPr>
                  <w:tcW w:w="1016" w:type="dxa"/>
                  <w:vAlign w:val="center"/>
                </w:tcPr>
                <w:p>
                  <w:pPr>
                    <w:pStyle w:val="44"/>
                    <w:snapToGrid w:val="0"/>
                    <w:spacing w:after="0" w:line="240" w:lineRule="auto"/>
                    <w:ind w:left="0" w:leftChars="0"/>
                    <w:jc w:val="center"/>
                    <w:rPr>
                      <w:szCs w:val="21"/>
                    </w:rPr>
                  </w:pPr>
                  <w:r>
                    <w:rPr>
                      <w:szCs w:val="21"/>
                    </w:rPr>
                    <w:t>绿色</w:t>
                  </w:r>
                </w:p>
              </w:tc>
              <w:tc>
                <w:tcPr>
                  <w:tcW w:w="1016" w:type="dxa"/>
                  <w:vAlign w:val="center"/>
                </w:tcPr>
                <w:p>
                  <w:pPr>
                    <w:pStyle w:val="44"/>
                    <w:snapToGrid w:val="0"/>
                    <w:spacing w:after="0" w:line="240" w:lineRule="auto"/>
                    <w:ind w:left="0" w:leftChars="0"/>
                    <w:jc w:val="center"/>
                    <w:rPr>
                      <w:szCs w:val="21"/>
                    </w:rPr>
                  </w:pPr>
                  <w:r>
                    <w:rPr>
                      <w:szCs w:val="21"/>
                    </w:rPr>
                    <w:t>白色</w:t>
                  </w:r>
                </w:p>
              </w:tc>
              <w:tc>
                <w:tcPr>
                  <w:tcW w:w="1307" w:type="dxa"/>
                  <w:vAlign w:val="center"/>
                </w:tcPr>
                <w:p>
                  <w:pPr>
                    <w:pStyle w:val="44"/>
                    <w:snapToGrid w:val="0"/>
                    <w:spacing w:after="0" w:line="240" w:lineRule="auto"/>
                    <w:ind w:left="0" w:leftChars="0"/>
                    <w:jc w:val="center"/>
                    <w:rPr>
                      <w:b/>
                      <w:szCs w:val="21"/>
                    </w:rPr>
                  </w:pPr>
                  <w:r>
                    <w:rPr>
                      <w:b/>
                      <w:szCs w:val="21"/>
                      <w:lang w:val="en-US"/>
                    </w:rPr>
                    <w:drawing>
                      <wp:inline distT="0" distB="0" distL="0" distR="0">
                        <wp:extent cx="533400" cy="53340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4" cstate="print"/>
                                <a:stretch>
                                  <a:fillRect/>
                                </a:stretch>
                              </pic:blipFill>
                              <pic:spPr>
                                <a:xfrm>
                                  <a:off x="0" y="0"/>
                                  <a:ext cx="533400" cy="533400"/>
                                </a:xfrm>
                                <a:prstGeom prst="rect">
                                  <a:avLst/>
                                </a:prstGeom>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74" w:type="dxa"/>
                  <w:vAlign w:val="center"/>
                </w:tcPr>
                <w:p>
                  <w:pPr>
                    <w:widowControl/>
                    <w:snapToGrid w:val="0"/>
                    <w:jc w:val="center"/>
                    <w:rPr>
                      <w:szCs w:val="21"/>
                    </w:rPr>
                  </w:pPr>
                  <w:r>
                    <w:rPr>
                      <w:szCs w:val="21"/>
                    </w:rPr>
                    <w:t>污水排放口</w:t>
                  </w:r>
                </w:p>
              </w:tc>
              <w:tc>
                <w:tcPr>
                  <w:tcW w:w="1214" w:type="dxa"/>
                  <w:vAlign w:val="center"/>
                </w:tcPr>
                <w:p>
                  <w:pPr>
                    <w:widowControl/>
                    <w:snapToGrid w:val="0"/>
                    <w:jc w:val="center"/>
                    <w:rPr>
                      <w:szCs w:val="21"/>
                    </w:rPr>
                  </w:pPr>
                  <w:r>
                    <w:rPr>
                      <w:rFonts w:hint="eastAsia"/>
                      <w:szCs w:val="21"/>
                    </w:rPr>
                    <w:t>DW001</w:t>
                  </w:r>
                </w:p>
              </w:tc>
              <w:tc>
                <w:tcPr>
                  <w:tcW w:w="1142" w:type="dxa"/>
                  <w:vAlign w:val="center"/>
                </w:tcPr>
                <w:p>
                  <w:pPr>
                    <w:widowControl/>
                    <w:snapToGrid w:val="0"/>
                    <w:jc w:val="center"/>
                    <w:rPr>
                      <w:bCs/>
                      <w:szCs w:val="21"/>
                    </w:rPr>
                  </w:pPr>
                  <w:r>
                    <w:rPr>
                      <w:bCs/>
                      <w:szCs w:val="21"/>
                    </w:rPr>
                    <w:t>提示标志</w:t>
                  </w:r>
                </w:p>
              </w:tc>
              <w:tc>
                <w:tcPr>
                  <w:tcW w:w="1144" w:type="dxa"/>
                  <w:vAlign w:val="center"/>
                </w:tcPr>
                <w:p>
                  <w:pPr>
                    <w:widowControl/>
                    <w:snapToGrid w:val="0"/>
                    <w:jc w:val="center"/>
                    <w:rPr>
                      <w:bCs/>
                      <w:szCs w:val="21"/>
                    </w:rPr>
                  </w:pPr>
                  <w:r>
                    <w:rPr>
                      <w:bCs/>
                      <w:szCs w:val="21"/>
                    </w:rPr>
                    <w:t>正方形边框</w:t>
                  </w:r>
                </w:p>
              </w:tc>
              <w:tc>
                <w:tcPr>
                  <w:tcW w:w="1016" w:type="dxa"/>
                  <w:vAlign w:val="center"/>
                </w:tcPr>
                <w:p>
                  <w:pPr>
                    <w:widowControl/>
                    <w:snapToGrid w:val="0"/>
                    <w:jc w:val="center"/>
                    <w:rPr>
                      <w:bCs/>
                      <w:szCs w:val="21"/>
                    </w:rPr>
                  </w:pPr>
                  <w:r>
                    <w:rPr>
                      <w:bCs/>
                      <w:szCs w:val="21"/>
                    </w:rPr>
                    <w:t>绿色</w:t>
                  </w:r>
                </w:p>
              </w:tc>
              <w:tc>
                <w:tcPr>
                  <w:tcW w:w="1016" w:type="dxa"/>
                  <w:vAlign w:val="center"/>
                </w:tcPr>
                <w:p>
                  <w:pPr>
                    <w:widowControl/>
                    <w:snapToGrid w:val="0"/>
                    <w:jc w:val="center"/>
                    <w:rPr>
                      <w:bCs/>
                      <w:szCs w:val="21"/>
                    </w:rPr>
                  </w:pPr>
                  <w:r>
                    <w:rPr>
                      <w:bCs/>
                      <w:szCs w:val="21"/>
                    </w:rPr>
                    <w:t>白色</w:t>
                  </w:r>
                </w:p>
              </w:tc>
              <w:tc>
                <w:tcPr>
                  <w:tcW w:w="1307" w:type="dxa"/>
                  <w:vAlign w:val="center"/>
                </w:tcPr>
                <w:p>
                  <w:pPr>
                    <w:widowControl/>
                    <w:snapToGrid w:val="0"/>
                    <w:jc w:val="center"/>
                    <w:rPr>
                      <w:bCs/>
                      <w:szCs w:val="21"/>
                    </w:rPr>
                  </w:pPr>
                  <w:r>
                    <w:rPr>
                      <w:bCs/>
                      <w:szCs w:val="21"/>
                      <w:lang w:val="en-US"/>
                    </w:rPr>
                    <w:drawing>
                      <wp:inline distT="0" distB="0" distL="0" distR="0">
                        <wp:extent cx="570230" cy="570230"/>
                        <wp:effectExtent l="0" t="0" r="0" b="0"/>
                        <wp:docPr id="11" name="图片 21"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污水排放口"/>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70230" cy="570230"/>
                                </a:xfrm>
                                <a:prstGeom prst="rect">
                                  <a:avLst/>
                                </a:prstGeom>
                                <a:noFill/>
                                <a:ln>
                                  <a:noFill/>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74" w:type="dxa"/>
                  <w:vAlign w:val="center"/>
                </w:tcPr>
                <w:p>
                  <w:pPr>
                    <w:widowControl/>
                    <w:snapToGrid w:val="0"/>
                    <w:jc w:val="center"/>
                    <w:rPr>
                      <w:szCs w:val="21"/>
                    </w:rPr>
                  </w:pPr>
                  <w:r>
                    <w:rPr>
                      <w:szCs w:val="21"/>
                    </w:rPr>
                    <w:t>雨水排放口</w:t>
                  </w:r>
                </w:p>
              </w:tc>
              <w:tc>
                <w:tcPr>
                  <w:tcW w:w="1214" w:type="dxa"/>
                  <w:vAlign w:val="center"/>
                </w:tcPr>
                <w:p>
                  <w:pPr>
                    <w:widowControl/>
                    <w:snapToGrid w:val="0"/>
                    <w:jc w:val="center"/>
                    <w:rPr>
                      <w:szCs w:val="21"/>
                    </w:rPr>
                  </w:pPr>
                  <w:r>
                    <w:rPr>
                      <w:rFonts w:hint="eastAsia"/>
                      <w:lang w:val="en-US"/>
                    </w:rPr>
                    <w:t>YS001</w:t>
                  </w:r>
                </w:p>
              </w:tc>
              <w:tc>
                <w:tcPr>
                  <w:tcW w:w="1142" w:type="dxa"/>
                  <w:vAlign w:val="center"/>
                </w:tcPr>
                <w:p>
                  <w:pPr>
                    <w:widowControl/>
                    <w:snapToGrid w:val="0"/>
                    <w:jc w:val="center"/>
                    <w:rPr>
                      <w:bCs/>
                      <w:szCs w:val="21"/>
                    </w:rPr>
                  </w:pPr>
                  <w:r>
                    <w:rPr>
                      <w:bCs/>
                      <w:szCs w:val="21"/>
                    </w:rPr>
                    <w:t>提示标志</w:t>
                  </w:r>
                </w:p>
              </w:tc>
              <w:tc>
                <w:tcPr>
                  <w:tcW w:w="1144" w:type="dxa"/>
                  <w:vAlign w:val="center"/>
                </w:tcPr>
                <w:p>
                  <w:pPr>
                    <w:widowControl/>
                    <w:snapToGrid w:val="0"/>
                    <w:jc w:val="center"/>
                    <w:rPr>
                      <w:bCs/>
                      <w:szCs w:val="21"/>
                    </w:rPr>
                  </w:pPr>
                  <w:r>
                    <w:rPr>
                      <w:bCs/>
                      <w:szCs w:val="21"/>
                    </w:rPr>
                    <w:t>正方形边框</w:t>
                  </w:r>
                </w:p>
              </w:tc>
              <w:tc>
                <w:tcPr>
                  <w:tcW w:w="1016" w:type="dxa"/>
                  <w:vAlign w:val="center"/>
                </w:tcPr>
                <w:p>
                  <w:pPr>
                    <w:widowControl/>
                    <w:snapToGrid w:val="0"/>
                    <w:jc w:val="center"/>
                    <w:rPr>
                      <w:bCs/>
                      <w:szCs w:val="21"/>
                    </w:rPr>
                  </w:pPr>
                  <w:r>
                    <w:rPr>
                      <w:bCs/>
                      <w:szCs w:val="21"/>
                    </w:rPr>
                    <w:t>绿色</w:t>
                  </w:r>
                </w:p>
              </w:tc>
              <w:tc>
                <w:tcPr>
                  <w:tcW w:w="1016" w:type="dxa"/>
                  <w:vAlign w:val="center"/>
                </w:tcPr>
                <w:p>
                  <w:pPr>
                    <w:widowControl/>
                    <w:snapToGrid w:val="0"/>
                    <w:jc w:val="center"/>
                    <w:rPr>
                      <w:bCs/>
                      <w:szCs w:val="21"/>
                    </w:rPr>
                  </w:pPr>
                  <w:r>
                    <w:rPr>
                      <w:bCs/>
                      <w:szCs w:val="21"/>
                    </w:rPr>
                    <w:t>白色</w:t>
                  </w:r>
                </w:p>
              </w:tc>
              <w:tc>
                <w:tcPr>
                  <w:tcW w:w="1307" w:type="dxa"/>
                  <w:vAlign w:val="center"/>
                </w:tcPr>
                <w:p>
                  <w:pPr>
                    <w:widowControl/>
                    <w:snapToGrid w:val="0"/>
                    <w:jc w:val="center"/>
                    <w:rPr>
                      <w:bCs/>
                      <w:szCs w:val="21"/>
                    </w:rPr>
                  </w:pPr>
                  <w:r>
                    <w:rPr>
                      <w:bCs/>
                      <w:szCs w:val="21"/>
                      <w:lang w:val="en-US"/>
                    </w:rPr>
                    <w:drawing>
                      <wp:inline distT="0" distB="0" distL="0" distR="0">
                        <wp:extent cx="653415" cy="474980"/>
                        <wp:effectExtent l="0" t="0" r="0" b="0"/>
                        <wp:docPr id="12"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雨水排放口"/>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53415" cy="474980"/>
                                </a:xfrm>
                                <a:prstGeom prst="rect">
                                  <a:avLst/>
                                </a:prstGeom>
                                <a:noFill/>
                                <a:ln>
                                  <a:noFill/>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4" w:type="dxa"/>
                  <w:vAlign w:val="center"/>
                </w:tcPr>
                <w:p>
                  <w:pPr>
                    <w:pStyle w:val="44"/>
                    <w:widowControl/>
                    <w:snapToGrid w:val="0"/>
                    <w:spacing w:after="0" w:line="240" w:lineRule="auto"/>
                    <w:ind w:left="0" w:leftChars="0"/>
                    <w:jc w:val="center"/>
                    <w:rPr>
                      <w:szCs w:val="21"/>
                    </w:rPr>
                  </w:pPr>
                  <w:r>
                    <w:rPr>
                      <w:szCs w:val="21"/>
                    </w:rPr>
                    <w:t>一般固体废物</w:t>
                  </w:r>
                </w:p>
              </w:tc>
              <w:tc>
                <w:tcPr>
                  <w:tcW w:w="1214" w:type="dxa"/>
                  <w:vAlign w:val="center"/>
                </w:tcPr>
                <w:p>
                  <w:pPr>
                    <w:pStyle w:val="44"/>
                    <w:widowControl/>
                    <w:snapToGrid w:val="0"/>
                    <w:spacing w:after="0" w:line="240" w:lineRule="auto"/>
                    <w:ind w:left="0" w:leftChars="0"/>
                    <w:jc w:val="center"/>
                    <w:rPr>
                      <w:szCs w:val="21"/>
                    </w:rPr>
                  </w:pPr>
                  <w:r>
                    <w:rPr>
                      <w:szCs w:val="21"/>
                    </w:rPr>
                    <w:t>GF-02</w:t>
                  </w:r>
                </w:p>
              </w:tc>
              <w:tc>
                <w:tcPr>
                  <w:tcW w:w="1142" w:type="dxa"/>
                  <w:vAlign w:val="center"/>
                </w:tcPr>
                <w:p>
                  <w:pPr>
                    <w:pStyle w:val="44"/>
                    <w:widowControl/>
                    <w:snapToGrid w:val="0"/>
                    <w:spacing w:after="0" w:line="240" w:lineRule="auto"/>
                    <w:ind w:left="0" w:leftChars="0"/>
                    <w:jc w:val="center"/>
                    <w:rPr>
                      <w:szCs w:val="21"/>
                    </w:rPr>
                  </w:pPr>
                  <w:r>
                    <w:rPr>
                      <w:szCs w:val="21"/>
                    </w:rPr>
                    <w:t>提示标志</w:t>
                  </w:r>
                </w:p>
              </w:tc>
              <w:tc>
                <w:tcPr>
                  <w:tcW w:w="1144" w:type="dxa"/>
                  <w:vAlign w:val="center"/>
                </w:tcPr>
                <w:p>
                  <w:pPr>
                    <w:pStyle w:val="44"/>
                    <w:widowControl/>
                    <w:snapToGrid w:val="0"/>
                    <w:spacing w:after="0" w:line="240" w:lineRule="auto"/>
                    <w:ind w:left="0" w:leftChars="0"/>
                    <w:jc w:val="center"/>
                    <w:rPr>
                      <w:szCs w:val="21"/>
                    </w:rPr>
                  </w:pPr>
                  <w:r>
                    <w:rPr>
                      <w:szCs w:val="21"/>
                    </w:rPr>
                    <w:t>正方形边框</w:t>
                  </w:r>
                </w:p>
              </w:tc>
              <w:tc>
                <w:tcPr>
                  <w:tcW w:w="1016" w:type="dxa"/>
                  <w:vAlign w:val="center"/>
                </w:tcPr>
                <w:p>
                  <w:pPr>
                    <w:pStyle w:val="44"/>
                    <w:widowControl/>
                    <w:snapToGrid w:val="0"/>
                    <w:spacing w:after="0" w:line="240" w:lineRule="auto"/>
                    <w:ind w:left="0" w:leftChars="0"/>
                    <w:jc w:val="center"/>
                    <w:rPr>
                      <w:szCs w:val="21"/>
                    </w:rPr>
                  </w:pPr>
                  <w:r>
                    <w:rPr>
                      <w:szCs w:val="21"/>
                    </w:rPr>
                    <w:t>绿色</w:t>
                  </w:r>
                </w:p>
              </w:tc>
              <w:tc>
                <w:tcPr>
                  <w:tcW w:w="1016" w:type="dxa"/>
                  <w:vAlign w:val="center"/>
                </w:tcPr>
                <w:p>
                  <w:pPr>
                    <w:pStyle w:val="44"/>
                    <w:widowControl/>
                    <w:snapToGrid w:val="0"/>
                    <w:spacing w:after="0" w:line="240" w:lineRule="auto"/>
                    <w:ind w:left="0" w:leftChars="0"/>
                    <w:jc w:val="center"/>
                    <w:rPr>
                      <w:szCs w:val="21"/>
                    </w:rPr>
                  </w:pPr>
                  <w:r>
                    <w:rPr>
                      <w:szCs w:val="21"/>
                    </w:rPr>
                    <w:t>白色</w:t>
                  </w:r>
                </w:p>
              </w:tc>
              <w:tc>
                <w:tcPr>
                  <w:tcW w:w="1307" w:type="dxa"/>
                  <w:vAlign w:val="center"/>
                </w:tcPr>
                <w:p>
                  <w:pPr>
                    <w:pStyle w:val="44"/>
                    <w:widowControl/>
                    <w:snapToGrid w:val="0"/>
                    <w:spacing w:after="0" w:line="240" w:lineRule="auto"/>
                    <w:ind w:left="0" w:leftChars="0"/>
                    <w:jc w:val="center"/>
                    <w:rPr>
                      <w:szCs w:val="21"/>
                    </w:rPr>
                  </w:pPr>
                  <w:r>
                    <w:rPr>
                      <w:szCs w:val="21"/>
                      <w:lang w:val="en-US"/>
                    </w:rPr>
                    <w:drawing>
                      <wp:inline distT="0" distB="0" distL="0" distR="0">
                        <wp:extent cx="605790" cy="581660"/>
                        <wp:effectExtent l="0" t="0" r="3810" b="12700"/>
                        <wp:docPr id="13"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一般固废"/>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5790" cy="581660"/>
                                </a:xfrm>
                                <a:prstGeom prst="rect">
                                  <a:avLst/>
                                </a:prstGeom>
                                <a:noFill/>
                                <a:ln>
                                  <a:noFill/>
                                </a:ln>
                              </pic:spPr>
                            </pic:pic>
                          </a:graphicData>
                        </a:graphic>
                      </wp:inline>
                    </w:drawing>
                  </w:r>
                </w:p>
              </w:tc>
            </w:tr>
          </w:tbl>
          <w:p>
            <w:pPr>
              <w:numPr>
                <w:ilvl w:val="0"/>
                <w:numId w:val="17"/>
              </w:numPr>
              <w:adjustRightInd w:val="0"/>
              <w:snapToGrid w:val="0"/>
              <w:spacing w:before="120" w:beforeLines="50" w:line="360" w:lineRule="auto"/>
              <w:ind w:firstLine="480" w:firstLineChars="200"/>
              <w:rPr>
                <w:rFonts w:hint="default"/>
                <w:color w:val="auto"/>
                <w:sz w:val="24"/>
                <w:szCs w:val="24"/>
              </w:rPr>
            </w:pPr>
            <w:r>
              <w:rPr>
                <w:rFonts w:hint="default"/>
                <w:color w:val="auto"/>
                <w:sz w:val="24"/>
                <w:szCs w:val="24"/>
              </w:rPr>
              <w:t>污染物排放总量控制</w:t>
            </w:r>
          </w:p>
          <w:p>
            <w:pPr>
              <w:spacing w:beforeLines="50" w:line="360" w:lineRule="auto"/>
              <w:ind w:firstLine="482" w:firstLineChars="200"/>
              <w:rPr>
                <w:b/>
                <w:kern w:val="0"/>
                <w:sz w:val="24"/>
                <w:szCs w:val="24"/>
              </w:rPr>
            </w:pPr>
            <w:r>
              <w:rPr>
                <w:rFonts w:hint="eastAsia"/>
                <w:b/>
                <w:kern w:val="0"/>
                <w:sz w:val="24"/>
                <w:szCs w:val="24"/>
              </w:rPr>
              <w:t>“以新带老”措施</w:t>
            </w:r>
          </w:p>
          <w:p>
            <w:pPr>
              <w:autoSpaceDE w:val="0"/>
              <w:autoSpaceDN w:val="0"/>
              <w:adjustRightInd w:val="0"/>
              <w:spacing w:line="360" w:lineRule="auto"/>
              <w:ind w:firstLine="480" w:firstLineChars="200"/>
              <w:rPr>
                <w:rFonts w:hint="default"/>
                <w:sz w:val="24"/>
                <w:szCs w:val="24"/>
                <w:lang w:val="en-US"/>
              </w:rPr>
            </w:pPr>
            <w:r>
              <w:rPr>
                <w:rFonts w:hint="eastAsia"/>
                <w:sz w:val="24"/>
                <w:szCs w:val="24"/>
                <w:lang w:val="en-US"/>
              </w:rPr>
              <w:t>原有项目</w:t>
            </w:r>
            <w:r>
              <w:rPr>
                <w:rFonts w:hint="eastAsia"/>
                <w:sz w:val="24"/>
                <w:szCs w:val="24"/>
                <w:lang w:val="en-US" w:eastAsia="zh-CN"/>
              </w:rPr>
              <w:t>天然气燃烧废气经10m排气筒排放，废气颗粒物、NO</w:t>
            </w:r>
            <w:r>
              <w:rPr>
                <w:rFonts w:hint="eastAsia"/>
                <w:sz w:val="24"/>
                <w:szCs w:val="24"/>
                <w:vertAlign w:val="subscript"/>
                <w:lang w:val="en-US" w:eastAsia="zh-CN"/>
              </w:rPr>
              <w:t>X</w:t>
            </w:r>
            <w:r>
              <w:rPr>
                <w:rFonts w:hint="eastAsia"/>
                <w:sz w:val="24"/>
                <w:szCs w:val="24"/>
                <w:lang w:val="en-US" w:eastAsia="zh-CN"/>
              </w:rPr>
              <w:t>、SO</w:t>
            </w:r>
            <w:r>
              <w:rPr>
                <w:rFonts w:hint="eastAsia"/>
                <w:sz w:val="24"/>
                <w:szCs w:val="24"/>
                <w:vertAlign w:val="subscript"/>
                <w:lang w:val="en-US" w:eastAsia="zh-CN"/>
              </w:rPr>
              <w:t>2</w:t>
            </w:r>
            <w:r>
              <w:rPr>
                <w:rFonts w:hint="eastAsia"/>
                <w:sz w:val="24"/>
                <w:szCs w:val="24"/>
                <w:lang w:val="en-US" w:eastAsia="zh-CN"/>
              </w:rPr>
              <w:t>为无组织排放，本项目拟将排气筒增加至15m，故天然气燃烧废气颗粒物、NO</w:t>
            </w:r>
            <w:r>
              <w:rPr>
                <w:rFonts w:hint="eastAsia"/>
                <w:sz w:val="24"/>
                <w:szCs w:val="24"/>
                <w:vertAlign w:val="subscript"/>
                <w:lang w:val="en-US" w:eastAsia="zh-CN"/>
              </w:rPr>
              <w:t>X</w:t>
            </w:r>
            <w:r>
              <w:rPr>
                <w:rFonts w:hint="eastAsia"/>
                <w:sz w:val="24"/>
                <w:szCs w:val="24"/>
                <w:lang w:val="en-US" w:eastAsia="zh-CN"/>
              </w:rPr>
              <w:t>、SO</w:t>
            </w:r>
            <w:r>
              <w:rPr>
                <w:rFonts w:hint="eastAsia"/>
                <w:sz w:val="24"/>
                <w:szCs w:val="24"/>
                <w:vertAlign w:val="subscript"/>
                <w:lang w:val="en-US" w:eastAsia="zh-CN"/>
              </w:rPr>
              <w:t>2</w:t>
            </w:r>
            <w:r>
              <w:rPr>
                <w:rFonts w:hint="eastAsia"/>
                <w:sz w:val="24"/>
                <w:szCs w:val="24"/>
                <w:vertAlign w:val="baseline"/>
                <w:lang w:val="en-US" w:eastAsia="zh-CN"/>
              </w:rPr>
              <w:t>变为有组织排放，排放量分别为0.042t/a、0.528t/a、0.012t/a。</w:t>
            </w:r>
          </w:p>
          <w:p>
            <w:pPr>
              <w:jc w:val="center"/>
              <w:rPr>
                <w:rFonts w:hint="eastAsia"/>
                <w:b/>
                <w:color w:val="000000" w:themeColor="text1"/>
                <w:sz w:val="24"/>
                <w:szCs w:val="24"/>
              </w:rPr>
            </w:pPr>
            <w:r>
              <w:rPr>
                <w:rFonts w:hint="eastAsia"/>
                <w:b/>
                <w:color w:val="000000" w:themeColor="text1"/>
                <w:sz w:val="24"/>
                <w:szCs w:val="24"/>
              </w:rPr>
              <w:t>表7-2</w:t>
            </w:r>
            <w:r>
              <w:rPr>
                <w:rFonts w:hint="eastAsia"/>
                <w:b/>
                <w:color w:val="000000" w:themeColor="text1"/>
                <w:sz w:val="24"/>
                <w:szCs w:val="24"/>
                <w:lang w:val="en-US" w:eastAsia="zh-CN"/>
              </w:rPr>
              <w:t>6</w:t>
            </w:r>
            <w:r>
              <w:rPr>
                <w:rFonts w:hint="eastAsia"/>
                <w:b/>
                <w:color w:val="000000" w:themeColor="text1"/>
                <w:sz w:val="24"/>
                <w:szCs w:val="24"/>
              </w:rPr>
              <w:t xml:space="preserve">  建设项目</w:t>
            </w:r>
            <w:r>
              <w:rPr>
                <w:rFonts w:hint="eastAsia"/>
                <w:b/>
                <w:color w:val="000000" w:themeColor="text1"/>
                <w:sz w:val="24"/>
                <w:szCs w:val="24"/>
                <w:lang w:eastAsia="zh-CN"/>
              </w:rPr>
              <w:t>改建</w:t>
            </w:r>
            <w:r>
              <w:rPr>
                <w:rFonts w:hint="eastAsia"/>
                <w:b/>
                <w:color w:val="000000" w:themeColor="text1"/>
                <w:sz w:val="24"/>
                <w:szCs w:val="24"/>
              </w:rPr>
              <w:t>前后污染物排放量统计表（</w:t>
            </w:r>
            <w:r>
              <w:rPr>
                <w:rFonts w:hint="eastAsia"/>
                <w:b/>
                <w:color w:val="000000" w:themeColor="text1"/>
                <w:sz w:val="24"/>
                <w:szCs w:val="24"/>
                <w:lang w:val="en-US"/>
              </w:rPr>
              <w:t>t/a</w:t>
            </w:r>
            <w:r>
              <w:rPr>
                <w:rFonts w:hint="eastAsia"/>
                <w:b/>
                <w:color w:val="000000" w:themeColor="text1"/>
                <w:sz w:val="24"/>
                <w:szCs w:val="24"/>
              </w:rPr>
              <w:t>）</w:t>
            </w:r>
          </w:p>
          <w:tbl>
            <w:tblPr>
              <w:tblStyle w:val="75"/>
              <w:tblW w:w="82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749"/>
              <w:gridCol w:w="723"/>
              <w:gridCol w:w="1004"/>
              <w:gridCol w:w="794"/>
              <w:gridCol w:w="713"/>
              <w:gridCol w:w="913"/>
              <w:gridCol w:w="759"/>
              <w:gridCol w:w="1004"/>
              <w:gridCol w:w="10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684" w:type="dxa"/>
                  <w:vMerge w:val="restart"/>
                  <w:vAlign w:val="center"/>
                </w:tcPr>
                <w:p>
                  <w:pPr>
                    <w:snapToGrid w:val="0"/>
                    <w:jc w:val="center"/>
                    <w:rPr>
                      <w:rFonts w:ascii="宋体" w:hAnsi="宋体"/>
                      <w:color w:val="000000" w:themeColor="text1"/>
                      <w:szCs w:val="21"/>
                    </w:rPr>
                  </w:pPr>
                  <w:r>
                    <w:rPr>
                      <w:rFonts w:hint="eastAsia" w:hAnsi="宋体"/>
                      <w:color w:val="000000" w:themeColor="text1"/>
                      <w:kern w:val="0"/>
                      <w:szCs w:val="21"/>
                    </w:rPr>
                    <w:t>类型</w:t>
                  </w:r>
                </w:p>
              </w:tc>
              <w:tc>
                <w:tcPr>
                  <w:tcW w:w="1732" w:type="dxa"/>
                  <w:gridSpan w:val="2"/>
                  <w:vMerge w:val="restart"/>
                  <w:vAlign w:val="center"/>
                </w:tcPr>
                <w:p>
                  <w:pPr>
                    <w:snapToGrid w:val="0"/>
                    <w:jc w:val="center"/>
                    <w:rPr>
                      <w:rFonts w:ascii="宋体" w:hAnsi="宋体"/>
                      <w:color w:val="000000" w:themeColor="text1"/>
                      <w:szCs w:val="21"/>
                    </w:rPr>
                  </w:pPr>
                  <w:r>
                    <w:rPr>
                      <w:rFonts w:hAnsi="宋体"/>
                      <w:color w:val="000000" w:themeColor="text1"/>
                      <w:kern w:val="0"/>
                      <w:szCs w:val="21"/>
                    </w:rPr>
                    <w:t>控制指标</w:t>
                  </w:r>
                </w:p>
              </w:tc>
              <w:tc>
                <w:tcPr>
                  <w:tcW w:w="802"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原有核定排放总量</w:t>
                  </w:r>
                </w:p>
              </w:tc>
              <w:tc>
                <w:tcPr>
                  <w:tcW w:w="2406" w:type="dxa"/>
                  <w:gridSpan w:val="3"/>
                  <w:vAlign w:val="center"/>
                </w:tcPr>
                <w:p>
                  <w:pPr>
                    <w:snapToGrid w:val="0"/>
                    <w:jc w:val="center"/>
                    <w:rPr>
                      <w:rFonts w:ascii="宋体" w:hAnsi="宋体"/>
                      <w:color w:val="000000" w:themeColor="text1"/>
                      <w:szCs w:val="21"/>
                    </w:rPr>
                  </w:pPr>
                  <w:r>
                    <w:rPr>
                      <w:rFonts w:hint="eastAsia" w:ascii="宋体" w:hAnsi="宋体"/>
                      <w:color w:val="000000" w:themeColor="text1"/>
                      <w:szCs w:val="21"/>
                    </w:rPr>
                    <w:t>本项目</w:t>
                  </w:r>
                </w:p>
              </w:tc>
              <w:tc>
                <w:tcPr>
                  <w:tcW w:w="802"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“以新带老”削减量</w:t>
                  </w:r>
                </w:p>
              </w:tc>
              <w:tc>
                <w:tcPr>
                  <w:tcW w:w="965"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全厂总排放量</w:t>
                  </w:r>
                </w:p>
              </w:tc>
              <w:tc>
                <w:tcPr>
                  <w:tcW w:w="871"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增减量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1732" w:type="dxa"/>
                  <w:gridSpan w:val="2"/>
                  <w:vMerge w:val="continue"/>
                  <w:vAlign w:val="center"/>
                </w:tcPr>
                <w:p>
                  <w:pPr>
                    <w:snapToGrid w:val="0"/>
                    <w:jc w:val="center"/>
                    <w:rPr>
                      <w:rFonts w:hAnsi="宋体"/>
                      <w:color w:val="000000" w:themeColor="text1"/>
                      <w:kern w:val="0"/>
                      <w:szCs w:val="21"/>
                    </w:rPr>
                  </w:pPr>
                </w:p>
              </w:tc>
              <w:tc>
                <w:tcPr>
                  <w:tcW w:w="802" w:type="dxa"/>
                  <w:vMerge w:val="continue"/>
                  <w:vAlign w:val="center"/>
                </w:tcPr>
                <w:p>
                  <w:pPr>
                    <w:snapToGrid w:val="0"/>
                    <w:jc w:val="center"/>
                    <w:rPr>
                      <w:rFonts w:ascii="宋体" w:hAnsi="宋体"/>
                      <w:color w:val="000000" w:themeColor="text1"/>
                      <w:szCs w:val="21"/>
                    </w:rPr>
                  </w:pPr>
                </w:p>
              </w:tc>
              <w:tc>
                <w:tcPr>
                  <w:tcW w:w="75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产生量</w:t>
                  </w:r>
                </w:p>
              </w:tc>
              <w:tc>
                <w:tcPr>
                  <w:tcW w:w="728"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削减量</w:t>
                  </w:r>
                </w:p>
              </w:tc>
              <w:tc>
                <w:tcPr>
                  <w:tcW w:w="921"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 xml:space="preserve">排放量 </w:t>
                  </w:r>
                </w:p>
              </w:tc>
              <w:tc>
                <w:tcPr>
                  <w:tcW w:w="802" w:type="dxa"/>
                  <w:vMerge w:val="continue"/>
                  <w:vAlign w:val="center"/>
                </w:tcPr>
                <w:p>
                  <w:pPr>
                    <w:snapToGrid w:val="0"/>
                    <w:jc w:val="center"/>
                    <w:rPr>
                      <w:rFonts w:ascii="宋体" w:hAnsi="宋体"/>
                      <w:color w:val="000000" w:themeColor="text1"/>
                      <w:szCs w:val="21"/>
                    </w:rPr>
                  </w:pPr>
                </w:p>
              </w:tc>
              <w:tc>
                <w:tcPr>
                  <w:tcW w:w="965" w:type="dxa"/>
                  <w:vMerge w:val="continue"/>
                  <w:vAlign w:val="center"/>
                </w:tcPr>
                <w:p>
                  <w:pPr>
                    <w:snapToGrid w:val="0"/>
                    <w:jc w:val="center"/>
                    <w:rPr>
                      <w:rFonts w:ascii="宋体" w:hAnsi="宋体"/>
                      <w:color w:val="000000" w:themeColor="text1"/>
                      <w:szCs w:val="21"/>
                    </w:rPr>
                  </w:pPr>
                </w:p>
              </w:tc>
              <w:tc>
                <w:tcPr>
                  <w:tcW w:w="871" w:type="dxa"/>
                  <w:vMerge w:val="continue"/>
                  <w:vAlign w:val="center"/>
                </w:tcPr>
                <w:p>
                  <w:pPr>
                    <w:snapToGrid w:val="0"/>
                    <w:jc w:val="center"/>
                    <w:rPr>
                      <w:rFonts w:ascii="宋体" w:hAnsi="宋体"/>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84" w:type="dxa"/>
                  <w:vMerge w:val="restart"/>
                  <w:vAlign w:val="center"/>
                </w:tcPr>
                <w:p>
                  <w:pPr>
                    <w:snapToGrid w:val="0"/>
                    <w:jc w:val="center"/>
                    <w:rPr>
                      <w:rFonts w:hAnsi="宋体"/>
                      <w:color w:val="000000" w:themeColor="text1"/>
                      <w:kern w:val="0"/>
                      <w:szCs w:val="21"/>
                    </w:rPr>
                  </w:pPr>
                  <w:r>
                    <w:rPr>
                      <w:rFonts w:hint="eastAsia" w:hAnsi="宋体"/>
                      <w:color w:val="000000" w:themeColor="text1"/>
                      <w:kern w:val="0"/>
                      <w:szCs w:val="21"/>
                    </w:rPr>
                    <w:t>废气</w:t>
                  </w:r>
                </w:p>
              </w:tc>
              <w:tc>
                <w:tcPr>
                  <w:tcW w:w="945" w:type="dxa"/>
                  <w:vMerge w:val="restart"/>
                  <w:vAlign w:val="center"/>
                </w:tcPr>
                <w:p>
                  <w:pPr>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有组织</w:t>
                  </w:r>
                </w:p>
              </w:tc>
              <w:tc>
                <w:tcPr>
                  <w:tcW w:w="787" w:type="dxa"/>
                  <w:vAlign w:val="center"/>
                </w:tcPr>
                <w:p>
                  <w:pPr>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颗粒物</w:t>
                  </w:r>
                </w:p>
              </w:tc>
              <w:tc>
                <w:tcPr>
                  <w:tcW w:w="802" w:type="dxa"/>
                  <w:vAlign w:val="center"/>
                </w:tcPr>
                <w:p>
                  <w:pPr>
                    <w:snapToGrid w:val="0"/>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3.406</w:t>
                  </w:r>
                </w:p>
              </w:tc>
              <w:tc>
                <w:tcPr>
                  <w:tcW w:w="728" w:type="dxa"/>
                  <w:vAlign w:val="center"/>
                </w:tcPr>
                <w:p>
                  <w:pPr>
                    <w:jc w:val="center"/>
                    <w:rPr>
                      <w:rFonts w:hint="default" w:eastAsia="宋体"/>
                      <w:bCs/>
                      <w:color w:val="000000" w:themeColor="text1"/>
                      <w:szCs w:val="21"/>
                      <w:lang w:val="en-US" w:eastAsia="zh-CN"/>
                    </w:rPr>
                  </w:pPr>
                  <w:r>
                    <w:rPr>
                      <w:rFonts w:hint="eastAsia"/>
                      <w:bCs/>
                      <w:color w:val="000000" w:themeColor="text1"/>
                      <w:szCs w:val="21"/>
                      <w:lang w:val="en-US" w:eastAsia="zh-CN"/>
                    </w:rPr>
                    <w:t>3.293</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0.113</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0"/>
                      <w:sz w:val="21"/>
                      <w:szCs w:val="21"/>
                      <w:lang w:val="en-US" w:eastAsia="zh-CN" w:bidi="ar-SA"/>
                    </w:rPr>
                    <w:t>0</w:t>
                  </w:r>
                </w:p>
              </w:tc>
              <w:tc>
                <w:tcPr>
                  <w:tcW w:w="965"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0.155</w:t>
                  </w:r>
                </w:p>
              </w:tc>
              <w:tc>
                <w:tcPr>
                  <w:tcW w:w="871" w:type="dxa"/>
                  <w:vAlign w:val="center"/>
                </w:tcPr>
                <w:p>
                  <w:pPr>
                    <w:snapToGrid w:val="0"/>
                    <w:jc w:val="center"/>
                    <w:rPr>
                      <w:rFonts w:hint="default" w:eastAsia="宋体"/>
                      <w:color w:val="000000" w:themeColor="text1"/>
                      <w:kern w:val="0"/>
                      <w:szCs w:val="21"/>
                      <w:lang w:val="en-US" w:eastAsia="zh-CN"/>
                    </w:rPr>
                  </w:pPr>
                  <w:r>
                    <w:rPr>
                      <w:rFonts w:hint="eastAsia"/>
                      <w:color w:val="000000" w:themeColor="text1"/>
                      <w:kern w:val="0"/>
                      <w:szCs w:val="21"/>
                      <w:lang w:val="en-US"/>
                    </w:rPr>
                    <w:t>+0.</w:t>
                  </w:r>
                  <w:r>
                    <w:rPr>
                      <w:rFonts w:hint="eastAsia"/>
                      <w:color w:val="000000" w:themeColor="text1"/>
                      <w:kern w:val="0"/>
                      <w:szCs w:val="21"/>
                      <w:lang w:val="en-US" w:eastAsia="zh-CN"/>
                    </w:rPr>
                    <w:t>113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945" w:type="dxa"/>
                  <w:vMerge w:val="continue"/>
                  <w:vAlign w:val="center"/>
                </w:tcPr>
                <w:p>
                  <w:pPr>
                    <w:jc w:val="center"/>
                    <w:rPr>
                      <w:rFonts w:ascii="宋体" w:hAnsi="宋体" w:cs="宋体"/>
                      <w:color w:val="000000" w:themeColor="text1"/>
                      <w:kern w:val="0"/>
                      <w:szCs w:val="21"/>
                      <w:lang w:val="en-US"/>
                    </w:rPr>
                  </w:pPr>
                </w:p>
              </w:tc>
              <w:tc>
                <w:tcPr>
                  <w:tcW w:w="787" w:type="dxa"/>
                  <w:vAlign w:val="center"/>
                </w:tcPr>
                <w:p>
                  <w:pPr>
                    <w:jc w:val="center"/>
                    <w:rPr>
                      <w:rFonts w:ascii="宋体" w:hAnsi="宋体" w:cs="宋体"/>
                      <w:color w:val="000000" w:themeColor="text1"/>
                      <w:kern w:val="0"/>
                      <w:szCs w:val="21"/>
                      <w:lang w:val="en-US"/>
                    </w:rPr>
                  </w:pPr>
                  <w:r>
                    <w:rPr>
                      <w:rFonts w:eastAsiaTheme="minorEastAsia"/>
                      <w:color w:val="000000" w:themeColor="text1"/>
                      <w:szCs w:val="21"/>
                    </w:rPr>
                    <w:t>NO</w:t>
                  </w:r>
                  <w:r>
                    <w:rPr>
                      <w:rFonts w:eastAsiaTheme="minorEastAsia"/>
                      <w:color w:val="000000" w:themeColor="text1"/>
                      <w:szCs w:val="21"/>
                      <w:vertAlign w:val="subscript"/>
                    </w:rPr>
                    <w:t>X</w:t>
                  </w:r>
                </w:p>
              </w:tc>
              <w:tc>
                <w:tcPr>
                  <w:tcW w:w="802" w:type="dxa"/>
                  <w:vAlign w:val="center"/>
                </w:tcPr>
                <w:p>
                  <w:pPr>
                    <w:snapToGrid w:val="0"/>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757" w:type="dxa"/>
                  <w:vAlign w:val="center"/>
                </w:tcPr>
                <w:p>
                  <w:pPr>
                    <w:jc w:val="center"/>
                    <w:rPr>
                      <w:color w:val="000000" w:themeColor="text1"/>
                      <w:szCs w:val="21"/>
                      <w:lang w:val="en-US"/>
                    </w:rPr>
                  </w:pPr>
                  <w:r>
                    <w:rPr>
                      <w:rFonts w:hint="eastAsia" w:eastAsiaTheme="minorEastAsia"/>
                      <w:color w:val="000000" w:themeColor="text1"/>
                      <w:szCs w:val="21"/>
                      <w:lang w:val="en-US" w:eastAsia="zh-CN"/>
                    </w:rPr>
                    <w:t>0.75</w:t>
                  </w:r>
                </w:p>
              </w:tc>
              <w:tc>
                <w:tcPr>
                  <w:tcW w:w="728" w:type="dxa"/>
                  <w:vAlign w:val="center"/>
                </w:tcPr>
                <w:p>
                  <w:pPr>
                    <w:jc w:val="center"/>
                    <w:rPr>
                      <w:rFonts w:hint="eastAsia" w:eastAsia="宋体"/>
                      <w:bCs/>
                      <w:color w:val="000000" w:themeColor="text1"/>
                      <w:szCs w:val="21"/>
                      <w:lang w:val="en-US" w:eastAsia="zh-CN"/>
                    </w:rPr>
                  </w:pPr>
                  <w:r>
                    <w:rPr>
                      <w:rFonts w:hint="eastAsia"/>
                      <w:bCs/>
                      <w:color w:val="000000" w:themeColor="text1"/>
                      <w:szCs w:val="21"/>
                      <w:lang w:val="en-US" w:eastAsia="zh-CN"/>
                    </w:rPr>
                    <w:t>0</w:t>
                  </w:r>
                </w:p>
              </w:tc>
              <w:tc>
                <w:tcPr>
                  <w:tcW w:w="921" w:type="dxa"/>
                  <w:vAlign w:val="center"/>
                </w:tcPr>
                <w:p>
                  <w:pPr>
                    <w:jc w:val="center"/>
                    <w:rPr>
                      <w:color w:val="000000" w:themeColor="text1"/>
                      <w:szCs w:val="21"/>
                      <w:lang w:val="en-US"/>
                    </w:rPr>
                  </w:pPr>
                  <w:r>
                    <w:rPr>
                      <w:rFonts w:hint="eastAsia" w:eastAsiaTheme="minorEastAsia"/>
                      <w:color w:val="000000" w:themeColor="text1"/>
                      <w:szCs w:val="21"/>
                      <w:lang w:val="en-US" w:eastAsia="zh-CN"/>
                    </w:rPr>
                    <w:t>0.75</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0"/>
                      <w:sz w:val="21"/>
                      <w:szCs w:val="21"/>
                      <w:lang w:val="en-US" w:eastAsia="zh-CN" w:bidi="ar-SA"/>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1.278</w:t>
                  </w:r>
                </w:p>
              </w:tc>
              <w:tc>
                <w:tcPr>
                  <w:tcW w:w="871" w:type="dxa"/>
                  <w:vAlign w:val="center"/>
                </w:tcPr>
                <w:p>
                  <w:pPr>
                    <w:snapToGrid w:val="0"/>
                    <w:jc w:val="center"/>
                    <w:rPr>
                      <w:rFonts w:hint="default" w:eastAsia="宋体"/>
                      <w:color w:val="000000" w:themeColor="text1"/>
                      <w:kern w:val="0"/>
                      <w:szCs w:val="21"/>
                      <w:lang w:val="en-US" w:eastAsia="zh-CN"/>
                    </w:rPr>
                  </w:pPr>
                  <w:r>
                    <w:rPr>
                      <w:rFonts w:hint="eastAsia"/>
                      <w:color w:val="000000" w:themeColor="text1"/>
                      <w:kern w:val="0"/>
                      <w:szCs w:val="21"/>
                      <w:lang w:val="en-US"/>
                    </w:rPr>
                    <w:t>+0.</w:t>
                  </w:r>
                  <w:r>
                    <w:rPr>
                      <w:rFonts w:hint="eastAsia"/>
                      <w:color w:val="000000" w:themeColor="text1"/>
                      <w:kern w:val="0"/>
                      <w:szCs w:val="21"/>
                      <w:lang w:val="en-US" w:eastAsia="zh-CN"/>
                    </w:rPr>
                    <w:t>75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945" w:type="dxa"/>
                  <w:vMerge w:val="continue"/>
                  <w:vAlign w:val="center"/>
                </w:tcPr>
                <w:p>
                  <w:pPr>
                    <w:jc w:val="center"/>
                    <w:rPr>
                      <w:rFonts w:hint="eastAsia" w:ascii="宋体" w:hAnsi="宋体" w:cs="宋体"/>
                      <w:color w:val="000000" w:themeColor="text1"/>
                      <w:kern w:val="0"/>
                      <w:szCs w:val="21"/>
                      <w:lang w:val="en-US"/>
                    </w:rPr>
                  </w:pPr>
                </w:p>
              </w:tc>
              <w:tc>
                <w:tcPr>
                  <w:tcW w:w="787" w:type="dxa"/>
                  <w:vAlign w:val="center"/>
                </w:tcPr>
                <w:p>
                  <w:pPr>
                    <w:jc w:val="center"/>
                    <w:rPr>
                      <w:rFonts w:hint="eastAsia" w:ascii="宋体" w:hAnsi="宋体" w:cs="宋体"/>
                      <w:color w:val="000000" w:themeColor="text1"/>
                      <w:kern w:val="0"/>
                      <w:szCs w:val="21"/>
                      <w:lang w:val="en-US"/>
                    </w:rPr>
                  </w:pPr>
                  <w:r>
                    <w:rPr>
                      <w:rFonts w:eastAsiaTheme="minorEastAsia"/>
                      <w:color w:val="000000" w:themeColor="text1"/>
                      <w:szCs w:val="21"/>
                    </w:rPr>
                    <w:t>SO</w:t>
                  </w:r>
                  <w:r>
                    <w:rPr>
                      <w:rFonts w:eastAsiaTheme="minorEastAsia"/>
                      <w:color w:val="000000" w:themeColor="text1"/>
                      <w:szCs w:val="21"/>
                      <w:vertAlign w:val="subscript"/>
                    </w:rPr>
                    <w:t>2</w:t>
                  </w:r>
                </w:p>
              </w:tc>
              <w:tc>
                <w:tcPr>
                  <w:tcW w:w="802" w:type="dxa"/>
                  <w:vAlign w:val="center"/>
                </w:tcPr>
                <w:p>
                  <w:pPr>
                    <w:snapToGrid w:val="0"/>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757" w:type="dxa"/>
                  <w:vAlign w:val="center"/>
                </w:tcPr>
                <w:p>
                  <w:pPr>
                    <w:jc w:val="center"/>
                    <w:rPr>
                      <w:rFonts w:hint="eastAsia"/>
                      <w:color w:val="000000" w:themeColor="text1"/>
                      <w:szCs w:val="21"/>
                      <w:lang w:val="en-US"/>
                    </w:rPr>
                  </w:pPr>
                  <w:r>
                    <w:rPr>
                      <w:rFonts w:hint="eastAsia" w:eastAsiaTheme="minorEastAsia"/>
                      <w:color w:val="000000" w:themeColor="text1"/>
                      <w:szCs w:val="21"/>
                      <w:lang w:val="en-US" w:eastAsia="zh-CN"/>
                    </w:rPr>
                    <w:t>0.16</w:t>
                  </w:r>
                </w:p>
              </w:tc>
              <w:tc>
                <w:tcPr>
                  <w:tcW w:w="728" w:type="dxa"/>
                  <w:vAlign w:val="center"/>
                </w:tcPr>
                <w:p>
                  <w:pPr>
                    <w:jc w:val="center"/>
                    <w:rPr>
                      <w:rFonts w:hint="eastAsia" w:eastAsia="宋体"/>
                      <w:bCs/>
                      <w:color w:val="000000" w:themeColor="text1"/>
                      <w:szCs w:val="21"/>
                      <w:lang w:val="en-US" w:eastAsia="zh-CN"/>
                    </w:rPr>
                  </w:pPr>
                  <w:r>
                    <w:rPr>
                      <w:rFonts w:hint="eastAsia"/>
                      <w:bCs/>
                      <w:color w:val="000000" w:themeColor="text1"/>
                      <w:szCs w:val="21"/>
                      <w:lang w:val="en-US" w:eastAsia="zh-CN"/>
                    </w:rPr>
                    <w:t>0</w:t>
                  </w:r>
                </w:p>
              </w:tc>
              <w:tc>
                <w:tcPr>
                  <w:tcW w:w="921" w:type="dxa"/>
                  <w:vAlign w:val="center"/>
                </w:tcPr>
                <w:p>
                  <w:pPr>
                    <w:jc w:val="center"/>
                    <w:rPr>
                      <w:rFonts w:hint="eastAsia"/>
                      <w:color w:val="000000" w:themeColor="text1"/>
                      <w:szCs w:val="21"/>
                      <w:lang w:val="en-US"/>
                    </w:rPr>
                  </w:pPr>
                  <w:r>
                    <w:rPr>
                      <w:rFonts w:hint="eastAsia" w:eastAsiaTheme="minorEastAsia"/>
                      <w:color w:val="000000" w:themeColor="text1"/>
                      <w:szCs w:val="21"/>
                      <w:lang w:val="en-US" w:eastAsia="zh-CN"/>
                    </w:rPr>
                    <w:t>0.16</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0"/>
                      <w:sz w:val="21"/>
                      <w:szCs w:val="21"/>
                      <w:lang w:val="en-US" w:eastAsia="zh-CN" w:bidi="ar-SA"/>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0.172</w:t>
                  </w:r>
                </w:p>
              </w:tc>
              <w:tc>
                <w:tcPr>
                  <w:tcW w:w="871" w:type="dxa"/>
                  <w:vAlign w:val="center"/>
                </w:tcPr>
                <w:p>
                  <w:pPr>
                    <w:snapToGrid w:val="0"/>
                    <w:jc w:val="center"/>
                    <w:rPr>
                      <w:rFonts w:hint="default"/>
                      <w:color w:val="000000" w:themeColor="text1"/>
                      <w:kern w:val="0"/>
                      <w:szCs w:val="21"/>
                      <w:lang w:val="en-US"/>
                    </w:rPr>
                  </w:pPr>
                  <w:r>
                    <w:rPr>
                      <w:rFonts w:hint="eastAsia"/>
                      <w:color w:val="000000" w:themeColor="text1"/>
                      <w:kern w:val="0"/>
                      <w:szCs w:val="21"/>
                      <w:lang w:val="en-US"/>
                    </w:rPr>
                    <w:t>+0.</w:t>
                  </w:r>
                  <w:r>
                    <w:rPr>
                      <w:rFonts w:hint="eastAsia"/>
                      <w:color w:val="000000" w:themeColor="text1"/>
                      <w:kern w:val="0"/>
                      <w:szCs w:val="21"/>
                      <w:lang w:val="en-US" w:eastAsia="zh-CN"/>
                    </w:rPr>
                    <w:t>16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945" w:type="dxa"/>
                  <w:vMerge w:val="restart"/>
                  <w:vAlign w:val="center"/>
                </w:tcPr>
                <w:p>
                  <w:pPr>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无组织</w:t>
                  </w:r>
                </w:p>
              </w:tc>
              <w:tc>
                <w:tcPr>
                  <w:tcW w:w="787" w:type="dxa"/>
                  <w:vAlign w:val="center"/>
                </w:tcPr>
                <w:p>
                  <w:pPr>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颗粒物</w:t>
                  </w:r>
                </w:p>
              </w:tc>
              <w:tc>
                <w:tcPr>
                  <w:tcW w:w="802" w:type="dxa"/>
                  <w:vAlign w:val="center"/>
                </w:tcPr>
                <w:p>
                  <w:pPr>
                    <w:snapToGrid w:val="0"/>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0.042</w:t>
                  </w:r>
                </w:p>
              </w:tc>
              <w:tc>
                <w:tcPr>
                  <w:tcW w:w="757"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0.11</w:t>
                  </w:r>
                </w:p>
              </w:tc>
              <w:tc>
                <w:tcPr>
                  <w:tcW w:w="728" w:type="dxa"/>
                  <w:vAlign w:val="center"/>
                </w:tcPr>
                <w:p>
                  <w:pPr>
                    <w:jc w:val="center"/>
                    <w:rPr>
                      <w:rFonts w:hint="eastAsia" w:eastAsia="宋体"/>
                      <w:bCs/>
                      <w:color w:val="000000" w:themeColor="text1"/>
                      <w:szCs w:val="21"/>
                      <w:lang w:val="en-US" w:eastAsia="zh-CN"/>
                    </w:rPr>
                  </w:pPr>
                  <w:r>
                    <w:rPr>
                      <w:rFonts w:hint="eastAsia"/>
                      <w:bCs/>
                      <w:color w:val="000000" w:themeColor="text1"/>
                      <w:szCs w:val="21"/>
                      <w:lang w:val="en-US" w:eastAsia="zh-CN"/>
                    </w:rPr>
                    <w:t>0</w:t>
                  </w:r>
                </w:p>
              </w:tc>
              <w:tc>
                <w:tcPr>
                  <w:tcW w:w="921"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0.11</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0.042</w:t>
                  </w:r>
                </w:p>
              </w:tc>
              <w:tc>
                <w:tcPr>
                  <w:tcW w:w="965"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0.11</w:t>
                  </w:r>
                </w:p>
              </w:tc>
              <w:tc>
                <w:tcPr>
                  <w:tcW w:w="871" w:type="dxa"/>
                  <w:vAlign w:val="center"/>
                </w:tcPr>
                <w:p>
                  <w:pPr>
                    <w:jc w:val="center"/>
                    <w:rPr>
                      <w:rFonts w:hint="default" w:eastAsiaTheme="minorEastAsia"/>
                      <w:color w:val="000000" w:themeColor="text1"/>
                      <w:kern w:val="0"/>
                      <w:szCs w:val="21"/>
                      <w:lang w:val="en-US" w:eastAsia="zh-CN"/>
                    </w:rPr>
                  </w:pPr>
                  <w:r>
                    <w:rPr>
                      <w:rFonts w:hint="eastAsia" w:eastAsiaTheme="minorEastAsia"/>
                      <w:color w:val="000000" w:themeColor="text1"/>
                      <w:szCs w:val="21"/>
                      <w:lang w:val="en-US" w:eastAsia="zh-CN"/>
                    </w:rPr>
                    <w:t>+</w:t>
                  </w:r>
                  <w:r>
                    <w:rPr>
                      <w:rFonts w:hint="eastAsia" w:eastAsiaTheme="minorEastAsia"/>
                      <w:color w:val="000000" w:themeColor="text1"/>
                      <w:szCs w:val="21"/>
                    </w:rPr>
                    <w:t>0.</w:t>
                  </w:r>
                  <w:r>
                    <w:rPr>
                      <w:rFonts w:hint="eastAsia" w:eastAsiaTheme="minorEastAsia"/>
                      <w:color w:val="000000" w:themeColor="text1"/>
                      <w:szCs w:val="21"/>
                      <w:lang w:val="en-US" w:eastAsia="zh-CN"/>
                    </w:rPr>
                    <w:t>068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945" w:type="dxa"/>
                  <w:vMerge w:val="continue"/>
                  <w:vAlign w:val="center"/>
                </w:tcPr>
                <w:p>
                  <w:pPr>
                    <w:jc w:val="center"/>
                    <w:rPr>
                      <w:rFonts w:ascii="宋体" w:hAnsi="宋体" w:cs="宋体"/>
                      <w:color w:val="000000" w:themeColor="text1"/>
                      <w:kern w:val="0"/>
                      <w:szCs w:val="21"/>
                      <w:lang w:val="en-US"/>
                    </w:rPr>
                  </w:pPr>
                </w:p>
              </w:tc>
              <w:tc>
                <w:tcPr>
                  <w:tcW w:w="787" w:type="dxa"/>
                  <w:vAlign w:val="center"/>
                </w:tcPr>
                <w:p>
                  <w:pPr>
                    <w:jc w:val="center"/>
                    <w:rPr>
                      <w:rFonts w:ascii="宋体" w:hAnsi="宋体" w:eastAsia="宋体" w:cs="宋体"/>
                      <w:color w:val="000000" w:themeColor="text1"/>
                      <w:kern w:val="0"/>
                      <w:sz w:val="21"/>
                      <w:szCs w:val="21"/>
                      <w:lang w:val="en-US" w:eastAsia="zh-CN" w:bidi="ar-SA"/>
                    </w:rPr>
                  </w:pPr>
                  <w:r>
                    <w:rPr>
                      <w:rFonts w:eastAsiaTheme="minorEastAsia"/>
                      <w:color w:val="000000" w:themeColor="text1"/>
                      <w:szCs w:val="21"/>
                    </w:rPr>
                    <w:t>NO</w:t>
                  </w:r>
                  <w:r>
                    <w:rPr>
                      <w:rFonts w:eastAsiaTheme="minorEastAsia"/>
                      <w:color w:val="000000" w:themeColor="text1"/>
                      <w:szCs w:val="21"/>
                      <w:vertAlign w:val="subscript"/>
                    </w:rPr>
                    <w:t>X</w:t>
                  </w:r>
                </w:p>
              </w:tc>
              <w:tc>
                <w:tcPr>
                  <w:tcW w:w="802" w:type="dxa"/>
                  <w:vAlign w:val="center"/>
                </w:tcPr>
                <w:p>
                  <w:pPr>
                    <w:snapToGrid w:val="0"/>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0.528</w:t>
                  </w:r>
                </w:p>
              </w:tc>
              <w:tc>
                <w:tcPr>
                  <w:tcW w:w="757"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728" w:type="dxa"/>
                  <w:vAlign w:val="center"/>
                </w:tcPr>
                <w:p>
                  <w:pPr>
                    <w:jc w:val="center"/>
                    <w:rPr>
                      <w:rFonts w:hint="eastAsia" w:eastAsia="宋体"/>
                      <w:bCs/>
                      <w:color w:val="000000" w:themeColor="text1"/>
                      <w:szCs w:val="21"/>
                      <w:lang w:val="en-US" w:eastAsia="zh-CN"/>
                    </w:rPr>
                  </w:pPr>
                  <w:r>
                    <w:rPr>
                      <w:rFonts w:hint="eastAsia"/>
                      <w:bCs/>
                      <w:color w:val="000000" w:themeColor="text1"/>
                      <w:szCs w:val="21"/>
                      <w:lang w:val="en-US" w:eastAsia="zh-CN"/>
                    </w:rPr>
                    <w:t>0</w:t>
                  </w:r>
                </w:p>
              </w:tc>
              <w:tc>
                <w:tcPr>
                  <w:tcW w:w="921"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0.528</w:t>
                  </w:r>
                </w:p>
              </w:tc>
              <w:tc>
                <w:tcPr>
                  <w:tcW w:w="965"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871"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-0.528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684" w:type="dxa"/>
                  <w:vMerge w:val="continue"/>
                  <w:vAlign w:val="center"/>
                </w:tcPr>
                <w:p>
                  <w:pPr>
                    <w:snapToGrid w:val="0"/>
                    <w:jc w:val="center"/>
                    <w:rPr>
                      <w:rFonts w:hAnsi="宋体"/>
                      <w:color w:val="000000" w:themeColor="text1"/>
                      <w:kern w:val="0"/>
                      <w:szCs w:val="21"/>
                    </w:rPr>
                  </w:pPr>
                </w:p>
              </w:tc>
              <w:tc>
                <w:tcPr>
                  <w:tcW w:w="945" w:type="dxa"/>
                  <w:vMerge w:val="continue"/>
                  <w:vAlign w:val="center"/>
                </w:tcPr>
                <w:p>
                  <w:pPr>
                    <w:jc w:val="center"/>
                    <w:rPr>
                      <w:rFonts w:ascii="宋体" w:hAnsi="宋体" w:cs="宋体"/>
                      <w:color w:val="000000" w:themeColor="text1"/>
                      <w:kern w:val="0"/>
                      <w:szCs w:val="21"/>
                      <w:lang w:val="en-US"/>
                    </w:rPr>
                  </w:pPr>
                </w:p>
              </w:tc>
              <w:tc>
                <w:tcPr>
                  <w:tcW w:w="787" w:type="dxa"/>
                  <w:vAlign w:val="center"/>
                </w:tcPr>
                <w:p>
                  <w:pPr>
                    <w:jc w:val="center"/>
                    <w:rPr>
                      <w:rFonts w:hint="eastAsia" w:ascii="宋体" w:hAnsi="宋体" w:eastAsia="宋体" w:cs="宋体"/>
                      <w:color w:val="000000" w:themeColor="text1"/>
                      <w:kern w:val="0"/>
                      <w:sz w:val="21"/>
                      <w:szCs w:val="21"/>
                      <w:lang w:val="en-US" w:eastAsia="zh-CN" w:bidi="ar-SA"/>
                    </w:rPr>
                  </w:pPr>
                  <w:r>
                    <w:rPr>
                      <w:rFonts w:eastAsiaTheme="minorEastAsia"/>
                      <w:color w:val="000000" w:themeColor="text1"/>
                      <w:szCs w:val="21"/>
                    </w:rPr>
                    <w:t>SO</w:t>
                  </w:r>
                  <w:r>
                    <w:rPr>
                      <w:rFonts w:eastAsiaTheme="minorEastAsia"/>
                      <w:color w:val="000000" w:themeColor="text1"/>
                      <w:szCs w:val="21"/>
                      <w:vertAlign w:val="subscript"/>
                    </w:rPr>
                    <w:t>2</w:t>
                  </w:r>
                </w:p>
              </w:tc>
              <w:tc>
                <w:tcPr>
                  <w:tcW w:w="802" w:type="dxa"/>
                  <w:vAlign w:val="center"/>
                </w:tcPr>
                <w:p>
                  <w:pPr>
                    <w:snapToGrid w:val="0"/>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0.012</w:t>
                  </w:r>
                </w:p>
              </w:tc>
              <w:tc>
                <w:tcPr>
                  <w:tcW w:w="757"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728" w:type="dxa"/>
                  <w:vAlign w:val="center"/>
                </w:tcPr>
                <w:p>
                  <w:pPr>
                    <w:jc w:val="center"/>
                    <w:rPr>
                      <w:rFonts w:hint="eastAsia" w:eastAsia="宋体"/>
                      <w:bCs/>
                      <w:color w:val="000000" w:themeColor="text1"/>
                      <w:szCs w:val="21"/>
                      <w:lang w:val="en-US" w:eastAsia="zh-CN"/>
                    </w:rPr>
                  </w:pPr>
                  <w:r>
                    <w:rPr>
                      <w:rFonts w:hint="eastAsia"/>
                      <w:bCs/>
                      <w:color w:val="000000" w:themeColor="text1"/>
                      <w:szCs w:val="21"/>
                      <w:lang w:val="en-US" w:eastAsia="zh-CN"/>
                    </w:rPr>
                    <w:t>0</w:t>
                  </w:r>
                </w:p>
              </w:tc>
              <w:tc>
                <w:tcPr>
                  <w:tcW w:w="921"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802" w:type="dxa"/>
                  <w:vAlign w:val="center"/>
                </w:tcPr>
                <w:p>
                  <w:pPr>
                    <w:snapToGrid w:val="0"/>
                    <w:jc w:val="center"/>
                    <w:rPr>
                      <w:rFonts w:hint="default" w:ascii="Times New Roman" w:hAnsi="Times New Roman" w:eastAsia="宋体" w:cs="Times New Roman"/>
                      <w:color w:val="000000" w:themeColor="text1"/>
                      <w:kern w:val="0"/>
                      <w:sz w:val="21"/>
                      <w:szCs w:val="21"/>
                      <w:lang w:val="en-US" w:eastAsia="zh-CN" w:bidi="ar-SA"/>
                    </w:rPr>
                  </w:pPr>
                  <w:r>
                    <w:rPr>
                      <w:rFonts w:hint="eastAsia"/>
                      <w:color w:val="000000" w:themeColor="text1"/>
                      <w:kern w:val="0"/>
                      <w:szCs w:val="21"/>
                      <w:lang w:val="en-US" w:eastAsia="zh-CN"/>
                    </w:rPr>
                    <w:t>0.012</w:t>
                  </w:r>
                </w:p>
              </w:tc>
              <w:tc>
                <w:tcPr>
                  <w:tcW w:w="965" w:type="dxa"/>
                  <w:vAlign w:val="center"/>
                </w:tcPr>
                <w:p>
                  <w:pPr>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0</w:t>
                  </w:r>
                </w:p>
              </w:tc>
              <w:tc>
                <w:tcPr>
                  <w:tcW w:w="871" w:type="dxa"/>
                  <w:vAlign w:val="center"/>
                </w:tcPr>
                <w:p>
                  <w:pPr>
                    <w:jc w:val="center"/>
                    <w:rPr>
                      <w:rFonts w:hint="default" w:eastAsia="宋体"/>
                      <w:color w:val="000000" w:themeColor="text1"/>
                      <w:kern w:val="0"/>
                      <w:szCs w:val="21"/>
                      <w:lang w:val="en-US" w:eastAsia="zh-CN"/>
                    </w:rPr>
                  </w:pPr>
                  <w:r>
                    <w:rPr>
                      <w:rFonts w:hint="eastAsia"/>
                      <w:color w:val="000000" w:themeColor="text1"/>
                      <w:kern w:val="0"/>
                      <w:szCs w:val="21"/>
                      <w:lang w:val="en-US" w:eastAsia="zh-CN"/>
                    </w:rPr>
                    <w:t>-0.012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84"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废水</w:t>
                  </w:r>
                </w:p>
              </w:tc>
              <w:tc>
                <w:tcPr>
                  <w:tcW w:w="1732" w:type="dxa"/>
                  <w:gridSpan w:val="2"/>
                  <w:vAlign w:val="center"/>
                </w:tcPr>
                <w:p>
                  <w:pPr>
                    <w:snapToGrid w:val="0"/>
                    <w:jc w:val="center"/>
                    <w:rPr>
                      <w:rFonts w:ascii="宋体" w:hAnsi="宋体"/>
                      <w:color w:val="000000" w:themeColor="text1"/>
                      <w:szCs w:val="21"/>
                    </w:rPr>
                  </w:pPr>
                  <w:r>
                    <w:rPr>
                      <w:rFonts w:hint="eastAsia" w:ascii="宋体" w:hAnsi="宋体"/>
                      <w:color w:val="000000" w:themeColor="text1"/>
                      <w:szCs w:val="21"/>
                    </w:rPr>
                    <w:t>水量</w:t>
                  </w:r>
                </w:p>
              </w:tc>
              <w:tc>
                <w:tcPr>
                  <w:tcW w:w="802" w:type="dxa"/>
                  <w:vAlign w:val="center"/>
                </w:tcPr>
                <w:p>
                  <w:pPr>
                    <w:snapToGrid w:val="0"/>
                    <w:jc w:val="center"/>
                    <w:rPr>
                      <w:rFonts w:hint="default" w:eastAsia="宋体"/>
                      <w:color w:val="000000" w:themeColor="text1"/>
                      <w:szCs w:val="21"/>
                      <w:lang w:val="en-US" w:eastAsia="zh-CN"/>
                    </w:rPr>
                  </w:pPr>
                  <w:r>
                    <w:rPr>
                      <w:rFonts w:hint="eastAsia"/>
                      <w:color w:val="000000" w:themeColor="text1"/>
                      <w:szCs w:val="21"/>
                      <w:lang w:val="en-US" w:eastAsia="zh-CN"/>
                    </w:rPr>
                    <w:t>144</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99.84</w:t>
                  </w:r>
                </w:p>
              </w:tc>
              <w:tc>
                <w:tcPr>
                  <w:tcW w:w="728" w:type="dxa"/>
                  <w:vAlign w:val="center"/>
                </w:tcPr>
                <w:p>
                  <w:pPr>
                    <w:jc w:val="center"/>
                    <w:rPr>
                      <w:color w:val="000000" w:themeColor="text1"/>
                      <w:szCs w:val="21"/>
                      <w:lang w:val="en-US"/>
                    </w:rPr>
                  </w:pPr>
                  <w:r>
                    <w:rPr>
                      <w:rFonts w:hint="eastAsia"/>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99.84</w:t>
                  </w:r>
                </w:p>
              </w:tc>
              <w:tc>
                <w:tcPr>
                  <w:tcW w:w="802" w:type="dxa"/>
                  <w:vAlign w:val="center"/>
                </w:tcPr>
                <w:p>
                  <w:pPr>
                    <w:snapToGrid w:val="0"/>
                    <w:jc w:val="center"/>
                    <w:rPr>
                      <w:color w:val="000000" w:themeColor="text1"/>
                      <w:szCs w:val="21"/>
                      <w:lang w:val="en-US"/>
                    </w:rPr>
                  </w:pPr>
                  <w:r>
                    <w:rPr>
                      <w:rFonts w:hint="eastAsia"/>
                      <w:color w:val="000000" w:themeColor="text1"/>
                      <w:szCs w:val="21"/>
                      <w:lang w:val="en-US"/>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243.84</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+99.84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4" w:type="dxa"/>
                  <w:vMerge w:val="continue"/>
                  <w:vAlign w:val="center"/>
                </w:tcPr>
                <w:p>
                  <w:pPr>
                    <w:snapToGrid w:val="0"/>
                    <w:jc w:val="center"/>
                    <w:rPr>
                      <w:rFonts w:ascii="宋体" w:hAnsi="宋体"/>
                      <w:color w:val="000000" w:themeColor="text1"/>
                      <w:szCs w:val="21"/>
                    </w:rPr>
                  </w:pPr>
                </w:p>
              </w:tc>
              <w:tc>
                <w:tcPr>
                  <w:tcW w:w="1732" w:type="dxa"/>
                  <w:gridSpan w:val="2"/>
                  <w:vAlign w:val="center"/>
                </w:tcPr>
                <w:p>
                  <w:pPr>
                    <w:jc w:val="center"/>
                    <w:rPr>
                      <w:color w:val="000000" w:themeColor="text1"/>
                      <w:szCs w:val="21"/>
                      <w:lang w:val="en-US"/>
                    </w:rPr>
                  </w:pPr>
                  <w:r>
                    <w:rPr>
                      <w:bCs/>
                      <w:color w:val="000000" w:themeColor="text1"/>
                      <w:szCs w:val="21"/>
                    </w:rPr>
                    <w:t>COD</w:t>
                  </w:r>
                </w:p>
              </w:tc>
              <w:tc>
                <w:tcPr>
                  <w:tcW w:w="802"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0.0072</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0.035</w:t>
                  </w:r>
                </w:p>
              </w:tc>
              <w:tc>
                <w:tcPr>
                  <w:tcW w:w="728" w:type="dxa"/>
                  <w:vAlign w:val="center"/>
                </w:tcPr>
                <w:p>
                  <w:pPr>
                    <w:jc w:val="center"/>
                    <w:rPr>
                      <w:color w:val="000000" w:themeColor="text1"/>
                      <w:szCs w:val="21"/>
                      <w:lang w:val="en-US"/>
                    </w:rPr>
                  </w:pPr>
                  <w:r>
                    <w:rPr>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0.005</w:t>
                  </w:r>
                </w:p>
              </w:tc>
              <w:tc>
                <w:tcPr>
                  <w:tcW w:w="802" w:type="dxa"/>
                  <w:vAlign w:val="center"/>
                </w:tcPr>
                <w:p>
                  <w:pPr>
                    <w:jc w:val="center"/>
                    <w:rPr>
                      <w:color w:val="000000" w:themeColor="text1"/>
                      <w:szCs w:val="21"/>
                      <w:lang w:val="en-US"/>
                    </w:rPr>
                  </w:pPr>
                  <w:r>
                    <w:rPr>
                      <w:rFonts w:hint="eastAsia"/>
                      <w:color w:val="000000" w:themeColor="text1"/>
                      <w:szCs w:val="21"/>
                      <w:lang w:val="en-US"/>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0.0122</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4" w:type="dxa"/>
                  <w:vMerge w:val="continue"/>
                  <w:vAlign w:val="center"/>
                </w:tcPr>
                <w:p>
                  <w:pPr>
                    <w:snapToGrid w:val="0"/>
                    <w:jc w:val="center"/>
                    <w:rPr>
                      <w:rFonts w:ascii="宋体" w:hAnsi="宋体"/>
                      <w:color w:val="000000" w:themeColor="text1"/>
                      <w:szCs w:val="21"/>
                    </w:rPr>
                  </w:pPr>
                </w:p>
              </w:tc>
              <w:tc>
                <w:tcPr>
                  <w:tcW w:w="1732" w:type="dxa"/>
                  <w:gridSpan w:val="2"/>
                  <w:vAlign w:val="center"/>
                </w:tcPr>
                <w:p>
                  <w:pPr>
                    <w:jc w:val="center"/>
                    <w:rPr>
                      <w:color w:val="000000" w:themeColor="text1"/>
                      <w:szCs w:val="21"/>
                      <w:lang w:val="en-US"/>
                    </w:rPr>
                  </w:pPr>
                  <w:r>
                    <w:rPr>
                      <w:bCs/>
                      <w:color w:val="000000" w:themeColor="text1"/>
                      <w:szCs w:val="21"/>
                    </w:rPr>
                    <w:t>SS</w:t>
                  </w:r>
                </w:p>
              </w:tc>
              <w:tc>
                <w:tcPr>
                  <w:tcW w:w="802"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0.00144</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0.02</w:t>
                  </w:r>
                </w:p>
              </w:tc>
              <w:tc>
                <w:tcPr>
                  <w:tcW w:w="728" w:type="dxa"/>
                  <w:vAlign w:val="center"/>
                </w:tcPr>
                <w:p>
                  <w:pPr>
                    <w:jc w:val="center"/>
                    <w:rPr>
                      <w:color w:val="000000" w:themeColor="text1"/>
                      <w:szCs w:val="21"/>
                      <w:lang w:val="en-US"/>
                    </w:rPr>
                  </w:pPr>
                  <w:r>
                    <w:rPr>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0.001</w:t>
                  </w:r>
                </w:p>
              </w:tc>
              <w:tc>
                <w:tcPr>
                  <w:tcW w:w="802" w:type="dxa"/>
                  <w:vAlign w:val="center"/>
                </w:tcPr>
                <w:p>
                  <w:pPr>
                    <w:jc w:val="center"/>
                    <w:rPr>
                      <w:color w:val="000000" w:themeColor="text1"/>
                      <w:szCs w:val="21"/>
                      <w:lang w:val="en-US"/>
                    </w:rPr>
                  </w:pPr>
                  <w:r>
                    <w:rPr>
                      <w:rFonts w:hint="eastAsia"/>
                      <w:color w:val="000000" w:themeColor="text1"/>
                      <w:szCs w:val="21"/>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0.00224</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+0.001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4" w:type="dxa"/>
                  <w:vMerge w:val="continue"/>
                  <w:vAlign w:val="center"/>
                </w:tcPr>
                <w:p>
                  <w:pPr>
                    <w:snapToGrid w:val="0"/>
                    <w:jc w:val="center"/>
                    <w:rPr>
                      <w:rFonts w:ascii="宋体" w:hAnsi="宋体"/>
                      <w:color w:val="000000" w:themeColor="text1"/>
                      <w:szCs w:val="21"/>
                    </w:rPr>
                  </w:pPr>
                </w:p>
              </w:tc>
              <w:tc>
                <w:tcPr>
                  <w:tcW w:w="1732" w:type="dxa"/>
                  <w:gridSpan w:val="2"/>
                  <w:vAlign w:val="center"/>
                </w:tcPr>
                <w:p>
                  <w:pPr>
                    <w:jc w:val="center"/>
                    <w:rPr>
                      <w:color w:val="000000" w:themeColor="text1"/>
                      <w:szCs w:val="21"/>
                      <w:lang w:val="en-US"/>
                    </w:rPr>
                  </w:pPr>
                  <w:r>
                    <w:rPr>
                      <w:bCs/>
                      <w:color w:val="000000" w:themeColor="text1"/>
                      <w:szCs w:val="21"/>
                    </w:rPr>
                    <w:t>NH</w:t>
                  </w:r>
                  <w:r>
                    <w:rPr>
                      <w:bCs/>
                      <w:color w:val="000000" w:themeColor="text1"/>
                      <w:szCs w:val="21"/>
                      <w:vertAlign w:val="subscript"/>
                    </w:rPr>
                    <w:t>3</w:t>
                  </w:r>
                  <w:r>
                    <w:rPr>
                      <w:bCs/>
                      <w:color w:val="000000" w:themeColor="text1"/>
                      <w:szCs w:val="21"/>
                    </w:rPr>
                    <w:t>-N</w:t>
                  </w:r>
                </w:p>
              </w:tc>
              <w:tc>
                <w:tcPr>
                  <w:tcW w:w="802"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0.00072</w:t>
                  </w:r>
                </w:p>
              </w:tc>
              <w:tc>
                <w:tcPr>
                  <w:tcW w:w="757" w:type="dxa"/>
                  <w:vAlign w:val="center"/>
                </w:tcPr>
                <w:p>
                  <w:pPr>
                    <w:jc w:val="center"/>
                    <w:rPr>
                      <w:rFonts w:hint="default" w:ascii="宋体" w:hAnsi="宋体" w:eastAsia="宋体" w:cs="宋体"/>
                      <w:color w:val="000000" w:themeColor="text1"/>
                      <w:szCs w:val="21"/>
                      <w:lang w:val="en-US" w:eastAsia="zh-CN"/>
                    </w:rPr>
                  </w:pPr>
                  <w:r>
                    <w:rPr>
                      <w:rFonts w:hint="eastAsia"/>
                      <w:color w:val="000000" w:themeColor="text1"/>
                      <w:szCs w:val="21"/>
                      <w:lang w:val="en-US" w:eastAsia="zh-CN"/>
                    </w:rPr>
                    <w:t>0.0035</w:t>
                  </w:r>
                </w:p>
              </w:tc>
              <w:tc>
                <w:tcPr>
                  <w:tcW w:w="728" w:type="dxa"/>
                  <w:vAlign w:val="center"/>
                </w:tcPr>
                <w:p>
                  <w:pPr>
                    <w:jc w:val="center"/>
                    <w:rPr>
                      <w:color w:val="000000" w:themeColor="text1"/>
                      <w:szCs w:val="21"/>
                      <w:lang w:val="en-US"/>
                    </w:rPr>
                  </w:pPr>
                  <w:r>
                    <w:rPr>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0.0005</w:t>
                  </w:r>
                </w:p>
              </w:tc>
              <w:tc>
                <w:tcPr>
                  <w:tcW w:w="802" w:type="dxa"/>
                  <w:vAlign w:val="center"/>
                </w:tcPr>
                <w:p>
                  <w:pPr>
                    <w:jc w:val="center"/>
                    <w:rPr>
                      <w:color w:val="000000" w:themeColor="text1"/>
                      <w:szCs w:val="21"/>
                      <w:lang w:val="en-US"/>
                    </w:rPr>
                  </w:pPr>
                  <w:r>
                    <w:rPr>
                      <w:rFonts w:hint="eastAsia"/>
                      <w:color w:val="000000" w:themeColor="text1"/>
                      <w:szCs w:val="21"/>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0.00122</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4" w:type="dxa"/>
                  <w:vMerge w:val="continue"/>
                  <w:vAlign w:val="center"/>
                </w:tcPr>
                <w:p>
                  <w:pPr>
                    <w:snapToGrid w:val="0"/>
                    <w:jc w:val="center"/>
                    <w:rPr>
                      <w:rFonts w:ascii="宋体" w:hAnsi="宋体"/>
                      <w:color w:val="000000" w:themeColor="text1"/>
                      <w:szCs w:val="21"/>
                    </w:rPr>
                  </w:pPr>
                </w:p>
              </w:tc>
              <w:tc>
                <w:tcPr>
                  <w:tcW w:w="1732" w:type="dxa"/>
                  <w:gridSpan w:val="2"/>
                  <w:vAlign w:val="center"/>
                </w:tcPr>
                <w:p>
                  <w:pPr>
                    <w:jc w:val="center"/>
                    <w:rPr>
                      <w:color w:val="000000" w:themeColor="text1"/>
                      <w:szCs w:val="21"/>
                      <w:lang w:val="en-US"/>
                    </w:rPr>
                  </w:pPr>
                  <w:r>
                    <w:rPr>
                      <w:bCs/>
                      <w:color w:val="000000" w:themeColor="text1"/>
                      <w:szCs w:val="21"/>
                    </w:rPr>
                    <w:t>TP</w:t>
                  </w:r>
                </w:p>
              </w:tc>
              <w:tc>
                <w:tcPr>
                  <w:tcW w:w="802"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0.000072</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0.0005</w:t>
                  </w:r>
                </w:p>
              </w:tc>
              <w:tc>
                <w:tcPr>
                  <w:tcW w:w="728" w:type="dxa"/>
                  <w:vAlign w:val="center"/>
                </w:tcPr>
                <w:p>
                  <w:pPr>
                    <w:jc w:val="center"/>
                    <w:rPr>
                      <w:color w:val="000000" w:themeColor="text1"/>
                      <w:szCs w:val="21"/>
                      <w:lang w:val="en-US"/>
                    </w:rPr>
                  </w:pPr>
                  <w:r>
                    <w:rPr>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0.00005</w:t>
                  </w:r>
                </w:p>
              </w:tc>
              <w:tc>
                <w:tcPr>
                  <w:tcW w:w="802" w:type="dxa"/>
                  <w:vAlign w:val="center"/>
                </w:tcPr>
                <w:p>
                  <w:pPr>
                    <w:jc w:val="center"/>
                    <w:rPr>
                      <w:color w:val="000000" w:themeColor="text1"/>
                      <w:szCs w:val="21"/>
                      <w:lang w:val="en-US"/>
                    </w:rPr>
                  </w:pPr>
                  <w:r>
                    <w:rPr>
                      <w:rFonts w:hint="eastAsia"/>
                      <w:color w:val="000000" w:themeColor="text1"/>
                      <w:szCs w:val="21"/>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0.000122</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+0.00005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4" w:type="dxa"/>
                  <w:vMerge w:val="continue"/>
                  <w:vAlign w:val="center"/>
                </w:tcPr>
                <w:p>
                  <w:pPr>
                    <w:snapToGrid w:val="0"/>
                    <w:jc w:val="center"/>
                    <w:rPr>
                      <w:rFonts w:ascii="宋体" w:hAnsi="宋体"/>
                      <w:color w:val="000000" w:themeColor="text1"/>
                      <w:szCs w:val="21"/>
                    </w:rPr>
                  </w:pPr>
                </w:p>
              </w:tc>
              <w:tc>
                <w:tcPr>
                  <w:tcW w:w="1732" w:type="dxa"/>
                  <w:gridSpan w:val="2"/>
                  <w:vAlign w:val="center"/>
                </w:tcPr>
                <w:p>
                  <w:pPr>
                    <w:jc w:val="center"/>
                    <w:rPr>
                      <w:color w:val="000000" w:themeColor="text1"/>
                      <w:szCs w:val="21"/>
                      <w:lang w:val="en-US"/>
                    </w:rPr>
                  </w:pPr>
                  <w:r>
                    <w:rPr>
                      <w:bCs/>
                      <w:color w:val="000000" w:themeColor="text1"/>
                      <w:szCs w:val="21"/>
                    </w:rPr>
                    <w:t>TN</w:t>
                  </w:r>
                </w:p>
              </w:tc>
              <w:tc>
                <w:tcPr>
                  <w:tcW w:w="802"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0.00216</w:t>
                  </w:r>
                </w:p>
              </w:tc>
              <w:tc>
                <w:tcPr>
                  <w:tcW w:w="757"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0.0045</w:t>
                  </w:r>
                </w:p>
              </w:tc>
              <w:tc>
                <w:tcPr>
                  <w:tcW w:w="728" w:type="dxa"/>
                  <w:vAlign w:val="center"/>
                </w:tcPr>
                <w:p>
                  <w:pPr>
                    <w:jc w:val="center"/>
                    <w:rPr>
                      <w:color w:val="000000" w:themeColor="text1"/>
                      <w:szCs w:val="21"/>
                      <w:lang w:val="en-US"/>
                    </w:rPr>
                  </w:pPr>
                  <w:r>
                    <w:rPr>
                      <w:rFonts w:hint="eastAsia"/>
                      <w:color w:val="000000" w:themeColor="text1"/>
                      <w:szCs w:val="21"/>
                      <w:lang w:val="en-US"/>
                    </w:rPr>
                    <w:t>0</w:t>
                  </w:r>
                </w:p>
              </w:tc>
              <w:tc>
                <w:tcPr>
                  <w:tcW w:w="921"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0.0015</w:t>
                  </w:r>
                </w:p>
              </w:tc>
              <w:tc>
                <w:tcPr>
                  <w:tcW w:w="802" w:type="dxa"/>
                  <w:vAlign w:val="center"/>
                </w:tcPr>
                <w:p>
                  <w:pPr>
                    <w:jc w:val="center"/>
                    <w:rPr>
                      <w:color w:val="000000" w:themeColor="text1"/>
                      <w:szCs w:val="21"/>
                    </w:rPr>
                  </w:pPr>
                  <w:r>
                    <w:rPr>
                      <w:rFonts w:hint="eastAsia"/>
                      <w:color w:val="000000" w:themeColor="text1"/>
                      <w:szCs w:val="21"/>
                    </w:rPr>
                    <w:t>0</w:t>
                  </w:r>
                </w:p>
              </w:tc>
              <w:tc>
                <w:tcPr>
                  <w:tcW w:w="965" w:type="dxa"/>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0.00366</w:t>
                  </w:r>
                </w:p>
              </w:tc>
              <w:tc>
                <w:tcPr>
                  <w:tcW w:w="871" w:type="dxa"/>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+0.0015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84"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kern w:val="0"/>
                      <w:szCs w:val="21"/>
                    </w:rPr>
                    <w:t>固废</w:t>
                  </w:r>
                </w:p>
              </w:tc>
              <w:tc>
                <w:tcPr>
                  <w:tcW w:w="1732" w:type="dxa"/>
                  <w:gridSpan w:val="2"/>
                  <w:vAlign w:val="center"/>
                </w:tcPr>
                <w:p>
                  <w:pPr>
                    <w:snapToGrid w:val="0"/>
                    <w:jc w:val="center"/>
                    <w:rPr>
                      <w:rFonts w:ascii="宋体" w:hAnsi="宋体"/>
                      <w:color w:val="000000" w:themeColor="text1"/>
                      <w:kern w:val="0"/>
                      <w:szCs w:val="21"/>
                    </w:rPr>
                  </w:pPr>
                  <w:r>
                    <w:rPr>
                      <w:rFonts w:hint="eastAsia" w:ascii="宋体" w:hAnsi="宋体"/>
                      <w:color w:val="000000" w:themeColor="text1"/>
                      <w:kern w:val="0"/>
                      <w:szCs w:val="21"/>
                    </w:rPr>
                    <w:t>生活垃圾</w:t>
                  </w:r>
                </w:p>
              </w:tc>
              <w:tc>
                <w:tcPr>
                  <w:tcW w:w="802" w:type="dxa"/>
                  <w:vAlign w:val="center"/>
                </w:tcPr>
                <w:p>
                  <w:pPr>
                    <w:jc w:val="center"/>
                    <w:rPr>
                      <w:color w:val="000000" w:themeColor="text1"/>
                      <w:kern w:val="0"/>
                      <w:szCs w:val="21"/>
                      <w:lang w:val="en-US"/>
                    </w:rPr>
                  </w:pPr>
                  <w:r>
                    <w:rPr>
                      <w:color w:val="000000" w:themeColor="text1"/>
                      <w:kern w:val="0"/>
                      <w:szCs w:val="21"/>
                      <w:lang w:val="en-US"/>
                    </w:rPr>
                    <w:t>0</w:t>
                  </w:r>
                </w:p>
              </w:tc>
              <w:tc>
                <w:tcPr>
                  <w:tcW w:w="757"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1.25</w:t>
                  </w:r>
                </w:p>
              </w:tc>
              <w:tc>
                <w:tcPr>
                  <w:tcW w:w="728"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1.25</w:t>
                  </w:r>
                </w:p>
              </w:tc>
              <w:tc>
                <w:tcPr>
                  <w:tcW w:w="921" w:type="dxa"/>
                  <w:vAlign w:val="center"/>
                </w:tcPr>
                <w:p>
                  <w:pPr>
                    <w:jc w:val="center"/>
                    <w:rPr>
                      <w:color w:val="000000" w:themeColor="text1"/>
                      <w:kern w:val="0"/>
                      <w:szCs w:val="21"/>
                      <w:lang w:val="en-US"/>
                    </w:rPr>
                  </w:pPr>
                  <w:r>
                    <w:rPr>
                      <w:color w:val="000000" w:themeColor="text1"/>
                      <w:kern w:val="0"/>
                      <w:szCs w:val="21"/>
                      <w:lang w:val="en-US"/>
                    </w:rPr>
                    <w:t>0</w:t>
                  </w:r>
                </w:p>
              </w:tc>
              <w:tc>
                <w:tcPr>
                  <w:tcW w:w="802" w:type="dxa"/>
                  <w:vAlign w:val="center"/>
                </w:tcPr>
                <w:p>
                  <w:pPr>
                    <w:jc w:val="center"/>
                    <w:rPr>
                      <w:color w:val="000000" w:themeColor="text1"/>
                      <w:kern w:val="0"/>
                      <w:szCs w:val="21"/>
                      <w:lang w:val="en-US"/>
                    </w:rPr>
                  </w:pPr>
                  <w:r>
                    <w:rPr>
                      <w:color w:val="000000" w:themeColor="text1"/>
                      <w:kern w:val="0"/>
                      <w:szCs w:val="21"/>
                      <w:lang w:val="en-US"/>
                    </w:rPr>
                    <w:t>0</w:t>
                  </w:r>
                </w:p>
              </w:tc>
              <w:tc>
                <w:tcPr>
                  <w:tcW w:w="965" w:type="dxa"/>
                  <w:vAlign w:val="center"/>
                </w:tcPr>
                <w:p>
                  <w:pPr>
                    <w:jc w:val="center"/>
                    <w:rPr>
                      <w:color w:val="000000" w:themeColor="text1"/>
                      <w:kern w:val="0"/>
                      <w:szCs w:val="21"/>
                      <w:lang w:val="en-US"/>
                    </w:rPr>
                  </w:pPr>
                  <w:r>
                    <w:rPr>
                      <w:color w:val="000000" w:themeColor="text1"/>
                      <w:kern w:val="0"/>
                      <w:szCs w:val="21"/>
                      <w:lang w:val="en-US"/>
                    </w:rPr>
                    <w:t>0</w:t>
                  </w:r>
                </w:p>
              </w:tc>
              <w:tc>
                <w:tcPr>
                  <w:tcW w:w="871" w:type="dxa"/>
                  <w:vAlign w:val="center"/>
                </w:tcPr>
                <w:p>
                  <w:pPr>
                    <w:jc w:val="center"/>
                    <w:rPr>
                      <w:color w:val="000000" w:themeColor="text1"/>
                      <w:kern w:val="0"/>
                      <w:szCs w:val="21"/>
                      <w:lang w:val="en-US"/>
                    </w:rPr>
                  </w:pPr>
                  <w:r>
                    <w:rPr>
                      <w:color w:val="000000" w:themeColor="text1"/>
                      <w:kern w:val="0"/>
                      <w:szCs w:val="21"/>
                      <w:lang w:val="en-US"/>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84" w:type="dxa"/>
                  <w:vMerge w:val="continue"/>
                  <w:vAlign w:val="center"/>
                </w:tcPr>
                <w:p>
                  <w:pPr>
                    <w:snapToGrid w:val="0"/>
                    <w:jc w:val="center"/>
                    <w:rPr>
                      <w:rFonts w:ascii="宋体" w:hAnsi="宋体"/>
                      <w:color w:val="000000" w:themeColor="text1"/>
                      <w:kern w:val="0"/>
                      <w:szCs w:val="21"/>
                    </w:rPr>
                  </w:pPr>
                </w:p>
              </w:tc>
              <w:tc>
                <w:tcPr>
                  <w:tcW w:w="1732" w:type="dxa"/>
                  <w:gridSpan w:val="2"/>
                  <w:vAlign w:val="center"/>
                </w:tcPr>
                <w:p>
                  <w:pPr>
                    <w:snapToGrid w:val="0"/>
                    <w:jc w:val="center"/>
                    <w:rPr>
                      <w:rFonts w:ascii="宋体" w:hAnsi="宋体"/>
                      <w:color w:val="000000" w:themeColor="text1"/>
                      <w:kern w:val="0"/>
                      <w:szCs w:val="21"/>
                    </w:rPr>
                  </w:pPr>
                  <w:r>
                    <w:rPr>
                      <w:rFonts w:hint="eastAsia" w:ascii="宋体" w:hAnsi="宋体"/>
                      <w:color w:val="000000" w:themeColor="text1"/>
                      <w:kern w:val="0"/>
                      <w:szCs w:val="21"/>
                    </w:rPr>
                    <w:t>次品</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757"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10</w:t>
                  </w:r>
                </w:p>
              </w:tc>
              <w:tc>
                <w:tcPr>
                  <w:tcW w:w="728"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10</w:t>
                  </w:r>
                </w:p>
              </w:tc>
              <w:tc>
                <w:tcPr>
                  <w:tcW w:w="921"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965"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71" w:type="dxa"/>
                  <w:vAlign w:val="center"/>
                </w:tcPr>
                <w:p>
                  <w:pPr>
                    <w:jc w:val="center"/>
                    <w:rPr>
                      <w:color w:val="000000" w:themeColor="text1"/>
                      <w:kern w:val="0"/>
                      <w:szCs w:val="21"/>
                      <w:lang w:val="en-US"/>
                    </w:rPr>
                  </w:pPr>
                  <w:r>
                    <w:rPr>
                      <w:rFonts w:hint="eastAsia"/>
                      <w:color w:val="000000" w:themeColor="text1"/>
                      <w:kern w:val="0"/>
                      <w:szCs w:val="21"/>
                      <w:lang w:val="en-US"/>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4" w:type="dxa"/>
                  <w:vMerge w:val="continue"/>
                  <w:vAlign w:val="center"/>
                </w:tcPr>
                <w:p>
                  <w:pPr>
                    <w:snapToGrid w:val="0"/>
                    <w:jc w:val="center"/>
                    <w:rPr>
                      <w:rFonts w:ascii="宋体" w:hAnsi="宋体"/>
                      <w:color w:val="000000" w:themeColor="text1"/>
                      <w:kern w:val="0"/>
                      <w:szCs w:val="21"/>
                    </w:rPr>
                  </w:pPr>
                </w:p>
              </w:tc>
              <w:tc>
                <w:tcPr>
                  <w:tcW w:w="1732" w:type="dxa"/>
                  <w:gridSpan w:val="2"/>
                  <w:vAlign w:val="center"/>
                </w:tcPr>
                <w:p>
                  <w:pPr>
                    <w:snapToGrid w:val="0"/>
                    <w:jc w:val="center"/>
                    <w:rPr>
                      <w:rFonts w:ascii="宋体" w:hAnsi="宋体"/>
                      <w:color w:val="000000" w:themeColor="text1"/>
                      <w:kern w:val="0"/>
                      <w:szCs w:val="21"/>
                    </w:rPr>
                  </w:pPr>
                  <w:r>
                    <w:rPr>
                      <w:rFonts w:hint="eastAsia" w:ascii="宋体" w:hAnsi="宋体"/>
                      <w:color w:val="000000" w:themeColor="text1"/>
                      <w:kern w:val="0"/>
                      <w:szCs w:val="21"/>
                    </w:rPr>
                    <w:t>收集粉尘</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757" w:type="dxa"/>
                  <w:vAlign w:val="center"/>
                </w:tcPr>
                <w:p>
                  <w:pPr>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3.25</w:t>
                  </w:r>
                </w:p>
              </w:tc>
              <w:tc>
                <w:tcPr>
                  <w:tcW w:w="728"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3.25</w:t>
                  </w:r>
                </w:p>
              </w:tc>
              <w:tc>
                <w:tcPr>
                  <w:tcW w:w="921"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965"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71" w:type="dxa"/>
                  <w:vAlign w:val="center"/>
                </w:tcPr>
                <w:p>
                  <w:pPr>
                    <w:jc w:val="center"/>
                    <w:rPr>
                      <w:color w:val="000000" w:themeColor="text1"/>
                      <w:kern w:val="0"/>
                      <w:szCs w:val="21"/>
                      <w:lang w:val="en-US"/>
                    </w:rPr>
                  </w:pPr>
                  <w:r>
                    <w:rPr>
                      <w:rFonts w:hint="eastAsia"/>
                      <w:color w:val="000000" w:themeColor="text1"/>
                      <w:kern w:val="0"/>
                      <w:szCs w:val="21"/>
                      <w:lang w:val="en-US"/>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84" w:type="dxa"/>
                  <w:vMerge w:val="continue"/>
                  <w:vAlign w:val="center"/>
                </w:tcPr>
                <w:p>
                  <w:pPr>
                    <w:snapToGrid w:val="0"/>
                    <w:jc w:val="center"/>
                    <w:rPr>
                      <w:rFonts w:ascii="宋体" w:hAnsi="宋体"/>
                      <w:color w:val="000000" w:themeColor="text1"/>
                      <w:kern w:val="0"/>
                      <w:szCs w:val="21"/>
                    </w:rPr>
                  </w:pPr>
                </w:p>
              </w:tc>
              <w:tc>
                <w:tcPr>
                  <w:tcW w:w="1732" w:type="dxa"/>
                  <w:gridSpan w:val="2"/>
                  <w:vAlign w:val="center"/>
                </w:tcPr>
                <w:p>
                  <w:pPr>
                    <w:snapToGrid w:val="0"/>
                    <w:jc w:val="center"/>
                    <w:rPr>
                      <w:rFonts w:ascii="宋体" w:hAnsi="宋体"/>
                      <w:color w:val="000000" w:themeColor="text1"/>
                      <w:kern w:val="0"/>
                      <w:szCs w:val="21"/>
                    </w:rPr>
                  </w:pPr>
                  <w:r>
                    <w:rPr>
                      <w:rFonts w:hint="eastAsia" w:ascii="宋体" w:hAnsi="宋体"/>
                      <w:color w:val="000000" w:themeColor="text1"/>
                      <w:kern w:val="0"/>
                      <w:szCs w:val="21"/>
                    </w:rPr>
                    <w:t>废包装袋</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757" w:type="dxa"/>
                  <w:vAlign w:val="center"/>
                </w:tcPr>
                <w:p>
                  <w:pPr>
                    <w:jc w:val="center"/>
                    <w:rPr>
                      <w:rFonts w:hint="eastAsia" w:eastAsiaTheme="minorEastAsia"/>
                      <w:color w:val="000000" w:themeColor="text1"/>
                      <w:szCs w:val="21"/>
                      <w:lang w:val="en-US" w:eastAsia="zh-CN"/>
                    </w:rPr>
                  </w:pPr>
                  <w:r>
                    <w:rPr>
                      <w:rFonts w:hint="eastAsia" w:eastAsiaTheme="minorEastAsia"/>
                      <w:color w:val="000000" w:themeColor="text1"/>
                      <w:szCs w:val="21"/>
                      <w:lang w:val="en-US" w:eastAsia="zh-CN"/>
                    </w:rPr>
                    <w:t>2</w:t>
                  </w:r>
                </w:p>
              </w:tc>
              <w:tc>
                <w:tcPr>
                  <w:tcW w:w="728" w:type="dxa"/>
                  <w:vAlign w:val="center"/>
                </w:tcPr>
                <w:p>
                  <w:pPr>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eastAsiaTheme="minorEastAsia"/>
                      <w:color w:val="000000" w:themeColor="text1"/>
                      <w:szCs w:val="21"/>
                      <w:lang w:val="en-US" w:eastAsia="zh-CN"/>
                    </w:rPr>
                    <w:t>2</w:t>
                  </w:r>
                </w:p>
              </w:tc>
              <w:tc>
                <w:tcPr>
                  <w:tcW w:w="921"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02"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965" w:type="dxa"/>
                  <w:vAlign w:val="center"/>
                </w:tcPr>
                <w:p>
                  <w:pPr>
                    <w:jc w:val="center"/>
                    <w:rPr>
                      <w:color w:val="000000" w:themeColor="text1"/>
                      <w:kern w:val="0"/>
                      <w:szCs w:val="21"/>
                      <w:lang w:val="en-US"/>
                    </w:rPr>
                  </w:pPr>
                  <w:r>
                    <w:rPr>
                      <w:rFonts w:hint="eastAsia"/>
                      <w:color w:val="000000" w:themeColor="text1"/>
                      <w:kern w:val="0"/>
                      <w:szCs w:val="21"/>
                      <w:lang w:val="en-US"/>
                    </w:rPr>
                    <w:t>0</w:t>
                  </w:r>
                </w:p>
              </w:tc>
              <w:tc>
                <w:tcPr>
                  <w:tcW w:w="871" w:type="dxa"/>
                  <w:vAlign w:val="center"/>
                </w:tcPr>
                <w:p>
                  <w:pPr>
                    <w:jc w:val="center"/>
                    <w:rPr>
                      <w:color w:val="000000" w:themeColor="text1"/>
                      <w:kern w:val="0"/>
                      <w:szCs w:val="21"/>
                      <w:lang w:val="en-US"/>
                    </w:rPr>
                  </w:pPr>
                  <w:r>
                    <w:rPr>
                      <w:rFonts w:hint="eastAsia"/>
                      <w:color w:val="000000" w:themeColor="text1"/>
                      <w:kern w:val="0"/>
                      <w:szCs w:val="21"/>
                      <w:lang w:val="en-US"/>
                    </w:rPr>
                    <w:t>0</w:t>
                  </w:r>
                </w:p>
              </w:tc>
            </w:tr>
          </w:tbl>
          <w:p>
            <w:pPr>
              <w:widowControl/>
              <w:adjustRightInd w:val="0"/>
              <w:snapToGrid w:val="0"/>
              <w:spacing w:line="360" w:lineRule="auto"/>
              <w:rPr>
                <w:color w:val="0070C0"/>
                <w:sz w:val="24"/>
              </w:rPr>
            </w:pPr>
          </w:p>
          <w:p>
            <w:pPr>
              <w:widowControl/>
              <w:adjustRightInd w:val="0"/>
              <w:snapToGrid w:val="0"/>
              <w:spacing w:line="360" w:lineRule="auto"/>
              <w:rPr>
                <w:color w:val="0070C0"/>
                <w:sz w:val="24"/>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62" w:name="_Toc367970831"/>
      <w:bookmarkStart w:id="63" w:name="_Toc367970637"/>
      <w:bookmarkStart w:id="64" w:name="_Toc294082159"/>
      <w:bookmarkStart w:id="65" w:name="_Toc303260180"/>
      <w:bookmarkStart w:id="66" w:name="_Toc367970392"/>
    </w:p>
    <w:p>
      <w:pPr>
        <w:pStyle w:val="4"/>
        <w:snapToGrid/>
        <w:spacing w:line="240" w:lineRule="auto"/>
        <w:jc w:val="both"/>
        <w:rPr>
          <w:bCs w:val="0"/>
          <w:kern w:val="0"/>
        </w:rPr>
      </w:pPr>
      <w:bookmarkStart w:id="67" w:name="_Toc386379880"/>
      <w:r>
        <w:rPr>
          <w:bCs w:val="0"/>
          <w:spacing w:val="0"/>
          <w:kern w:val="0"/>
          <w:sz w:val="32"/>
          <w:szCs w:val="32"/>
        </w:rPr>
        <w:t>8</w:t>
      </w:r>
      <w:r>
        <w:rPr>
          <w:rFonts w:hAnsi="宋体"/>
          <w:bCs w:val="0"/>
          <w:spacing w:val="0"/>
          <w:kern w:val="0"/>
          <w:sz w:val="32"/>
          <w:szCs w:val="32"/>
        </w:rPr>
        <w:t>、建设项目拟采取的防治措施及预期治理效果</w:t>
      </w:r>
      <w:bookmarkEnd w:id="48"/>
      <w:bookmarkEnd w:id="62"/>
      <w:bookmarkEnd w:id="63"/>
      <w:bookmarkEnd w:id="64"/>
      <w:bookmarkEnd w:id="65"/>
      <w:bookmarkEnd w:id="66"/>
      <w:bookmarkEnd w:id="67"/>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354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l2br w:val="single" w:color="auto" w:sz="6" w:space="0"/>
            </w:tcBorders>
            <w:vAlign w:val="center"/>
          </w:tcPr>
          <w:p>
            <w:pPr>
              <w:ind w:firstLine="352" w:firstLineChars="146"/>
              <w:rPr>
                <w:b/>
                <w:sz w:val="24"/>
                <w:szCs w:val="24"/>
              </w:rPr>
            </w:pPr>
            <w:bookmarkStart w:id="68" w:name="_Toc303260181"/>
            <w:bookmarkStart w:id="69" w:name="_Toc199814218"/>
            <w:bookmarkStart w:id="70" w:name="_Toc294082160"/>
            <w:r>
              <w:rPr>
                <w:rFonts w:hAnsi="宋体"/>
                <w:b/>
                <w:sz w:val="24"/>
                <w:szCs w:val="24"/>
              </w:rPr>
              <w:t>内容</w:t>
            </w:r>
          </w:p>
          <w:p>
            <w:pPr>
              <w:rPr>
                <w:b/>
                <w:sz w:val="24"/>
                <w:szCs w:val="24"/>
              </w:rPr>
            </w:pPr>
            <w:r>
              <w:rPr>
                <w:rFonts w:hAnsi="宋体"/>
                <w:b/>
                <w:sz w:val="24"/>
                <w:szCs w:val="24"/>
              </w:rPr>
              <w:t>类型</w:t>
            </w:r>
          </w:p>
        </w:tc>
        <w:tc>
          <w:tcPr>
            <w:tcW w:w="1134" w:type="dxa"/>
            <w:vAlign w:val="center"/>
          </w:tcPr>
          <w:p>
            <w:pPr>
              <w:jc w:val="center"/>
              <w:rPr>
                <w:b/>
                <w:sz w:val="24"/>
                <w:szCs w:val="24"/>
              </w:rPr>
            </w:pPr>
            <w:r>
              <w:rPr>
                <w:rFonts w:hAnsi="宋体"/>
                <w:b/>
                <w:sz w:val="24"/>
                <w:szCs w:val="24"/>
              </w:rPr>
              <w:t>排放源</w:t>
            </w:r>
          </w:p>
        </w:tc>
        <w:tc>
          <w:tcPr>
            <w:tcW w:w="1134" w:type="dxa"/>
            <w:vAlign w:val="center"/>
          </w:tcPr>
          <w:p>
            <w:pPr>
              <w:jc w:val="center"/>
              <w:rPr>
                <w:b/>
                <w:sz w:val="24"/>
                <w:szCs w:val="24"/>
              </w:rPr>
            </w:pPr>
            <w:r>
              <w:rPr>
                <w:rFonts w:hAnsi="宋体"/>
                <w:b/>
                <w:sz w:val="24"/>
                <w:szCs w:val="24"/>
              </w:rPr>
              <w:t>污染物名称</w:t>
            </w:r>
          </w:p>
        </w:tc>
        <w:tc>
          <w:tcPr>
            <w:tcW w:w="3544" w:type="dxa"/>
            <w:vAlign w:val="center"/>
          </w:tcPr>
          <w:p>
            <w:pPr>
              <w:jc w:val="center"/>
              <w:rPr>
                <w:b/>
                <w:sz w:val="24"/>
                <w:szCs w:val="24"/>
              </w:rPr>
            </w:pPr>
            <w:r>
              <w:rPr>
                <w:rFonts w:hAnsi="宋体"/>
                <w:b/>
                <w:sz w:val="24"/>
                <w:szCs w:val="24"/>
              </w:rPr>
              <w:t>防治措施</w:t>
            </w:r>
          </w:p>
        </w:tc>
        <w:tc>
          <w:tcPr>
            <w:tcW w:w="1758" w:type="dxa"/>
            <w:vAlign w:val="center"/>
          </w:tcPr>
          <w:p>
            <w:pPr>
              <w:jc w:val="center"/>
              <w:rPr>
                <w:b/>
                <w:sz w:val="24"/>
                <w:szCs w:val="24"/>
              </w:rPr>
            </w:pPr>
            <w:r>
              <w:rPr>
                <w:rFonts w:hAnsi="宋体"/>
                <w:b/>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59" w:type="dxa"/>
            <w:vMerge w:val="restart"/>
            <w:vAlign w:val="center"/>
          </w:tcPr>
          <w:p>
            <w:pPr>
              <w:jc w:val="center"/>
              <w:rPr>
                <w:rFonts w:hint="eastAsia" w:hAnsi="宋体" w:eastAsia="宋体"/>
                <w:szCs w:val="21"/>
                <w:lang w:eastAsia="zh-CN"/>
              </w:rPr>
            </w:pPr>
            <w:r>
              <w:rPr>
                <w:rFonts w:hint="eastAsia" w:hAnsi="宋体"/>
                <w:szCs w:val="21"/>
                <w:lang w:eastAsia="zh-CN"/>
              </w:rPr>
              <w:t>大气污染物</w:t>
            </w:r>
          </w:p>
        </w:tc>
        <w:tc>
          <w:tcPr>
            <w:tcW w:w="1134" w:type="dxa"/>
            <w:vAlign w:val="center"/>
          </w:tcPr>
          <w:p>
            <w:pPr>
              <w:jc w:val="center"/>
              <w:rPr>
                <w:lang w:val="en-US"/>
              </w:rPr>
            </w:pPr>
          </w:p>
          <w:p>
            <w:pPr>
              <w:jc w:val="center"/>
              <w:rPr>
                <w:lang w:val="en-US"/>
              </w:rPr>
            </w:pPr>
            <w:r>
              <w:rPr>
                <w:rFonts w:hint="eastAsia"/>
                <w:lang w:val="en-US" w:eastAsia="zh-CN"/>
              </w:rPr>
              <w:t>投料、球磨、</w:t>
            </w:r>
            <w:r>
              <w:rPr>
                <w:rFonts w:hint="eastAsia"/>
                <w:lang w:val="en-US"/>
              </w:rPr>
              <w:t>喷雾干燥造粒工序</w:t>
            </w:r>
          </w:p>
          <w:p>
            <w:pPr>
              <w:jc w:val="center"/>
              <w:rPr>
                <w:rFonts w:hAnsi="宋体"/>
                <w:szCs w:val="21"/>
              </w:rPr>
            </w:pPr>
          </w:p>
        </w:tc>
        <w:tc>
          <w:tcPr>
            <w:tcW w:w="1134" w:type="dxa"/>
            <w:vAlign w:val="center"/>
          </w:tcPr>
          <w:p>
            <w:pPr>
              <w:jc w:val="center"/>
              <w:rPr>
                <w:rFonts w:hAnsi="宋体"/>
                <w:szCs w:val="21"/>
              </w:rPr>
            </w:pPr>
            <w:r>
              <w:rPr>
                <w:rFonts w:hint="eastAsia"/>
              </w:rPr>
              <w:t xml:space="preserve">颗粒物                      </w:t>
            </w:r>
          </w:p>
        </w:tc>
        <w:tc>
          <w:tcPr>
            <w:tcW w:w="3544" w:type="dxa"/>
            <w:vAlign w:val="center"/>
          </w:tcPr>
          <w:p>
            <w:pPr>
              <w:pStyle w:val="107"/>
              <w:spacing w:line="240" w:lineRule="auto"/>
              <w:rPr>
                <w:kern w:val="2"/>
                <w:lang w:val="fi-FI"/>
              </w:rPr>
            </w:pPr>
            <w:r>
              <w:rPr>
                <w:rFonts w:hint="eastAsia"/>
                <w:lang w:val="fi-FI"/>
              </w:rPr>
              <w:t>收尘管道</w:t>
            </w:r>
            <w:r>
              <w:rPr>
                <w:lang w:val="fi-FI"/>
              </w:rPr>
              <w:t>、</w:t>
            </w:r>
            <w:r>
              <w:rPr>
                <w:rFonts w:hint="eastAsia"/>
              </w:rPr>
              <w:t>布袋除尘器、</w:t>
            </w:r>
            <w:r>
              <w:rPr>
                <w:rFonts w:ascii="Times New Roman" w:hAnsi="Times New Roman"/>
              </w:rPr>
              <w:t>15</w:t>
            </w:r>
            <w:r>
              <w:rPr>
                <w:rFonts w:ascii="Times New Roman" w:hAnsi="Times New Roman"/>
                <w:lang w:val="fi-FI"/>
              </w:rPr>
              <w:t>m</w:t>
            </w:r>
            <w:r>
              <w:rPr>
                <w:rFonts w:ascii="Times New Roman"/>
                <w:lang w:val="fi-FI"/>
              </w:rPr>
              <w:t>排气筒</w:t>
            </w:r>
          </w:p>
        </w:tc>
        <w:tc>
          <w:tcPr>
            <w:tcW w:w="1758" w:type="dxa"/>
            <w:vAlign w:val="center"/>
          </w:tcPr>
          <w:p>
            <w:pPr>
              <w:pStyle w:val="59"/>
              <w:spacing w:after="0" w:line="240" w:lineRule="auto"/>
              <w:ind w:left="0"/>
              <w:jc w:val="center"/>
              <w:rPr>
                <w:sz w:val="21"/>
                <w:szCs w:val="21"/>
              </w:rPr>
            </w:pPr>
            <w:r>
              <w:rPr>
                <w:rFonts w:hint="eastAsia" w:hAnsi="宋体"/>
                <w:kern w:val="0"/>
                <w:sz w:val="21"/>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9" w:type="dxa"/>
            <w:vMerge w:val="continue"/>
            <w:vAlign w:val="center"/>
          </w:tcPr>
          <w:p>
            <w:pPr>
              <w:jc w:val="center"/>
              <w:rPr>
                <w:rFonts w:hAnsi="宋体"/>
                <w:szCs w:val="21"/>
              </w:rPr>
            </w:pPr>
          </w:p>
        </w:tc>
        <w:tc>
          <w:tcPr>
            <w:tcW w:w="1134" w:type="dxa"/>
            <w:vAlign w:val="center"/>
          </w:tcPr>
          <w:p>
            <w:pPr>
              <w:jc w:val="center"/>
              <w:rPr>
                <w:rFonts w:hAnsi="宋体"/>
                <w:szCs w:val="21"/>
              </w:rPr>
            </w:pPr>
            <w:r>
              <w:rPr>
                <w:rFonts w:hint="eastAsia"/>
                <w:lang w:val="en-US"/>
              </w:rPr>
              <w:t>烧成工序</w:t>
            </w:r>
          </w:p>
        </w:tc>
        <w:tc>
          <w:tcPr>
            <w:tcW w:w="1134" w:type="dxa"/>
            <w:vAlign w:val="center"/>
          </w:tcPr>
          <w:p>
            <w:pPr>
              <w:jc w:val="center"/>
              <w:rPr>
                <w:rFonts w:hAnsi="宋体"/>
                <w:szCs w:val="21"/>
              </w:rPr>
            </w:pPr>
            <w:r>
              <w:rPr>
                <w:rFonts w:hint="eastAsia" w:hAnsi="宋体"/>
                <w:szCs w:val="21"/>
              </w:rPr>
              <w:t>天然气燃烧废气</w:t>
            </w:r>
          </w:p>
        </w:tc>
        <w:tc>
          <w:tcPr>
            <w:tcW w:w="3544" w:type="dxa"/>
            <w:vAlign w:val="center"/>
          </w:tcPr>
          <w:p>
            <w:pPr>
              <w:pStyle w:val="107"/>
              <w:spacing w:line="240" w:lineRule="auto"/>
              <w:rPr>
                <w:kern w:val="2"/>
                <w:lang w:val="fi-FI"/>
              </w:rPr>
            </w:pPr>
            <w:r>
              <w:rPr>
                <w:rFonts w:ascii="Times New Roman" w:hAnsi="Times New Roman"/>
                <w:szCs w:val="21"/>
              </w:rPr>
              <w:t>15m</w:t>
            </w:r>
            <w:r>
              <w:rPr>
                <w:szCs w:val="21"/>
              </w:rPr>
              <w:t>排气筒</w:t>
            </w:r>
          </w:p>
        </w:tc>
        <w:tc>
          <w:tcPr>
            <w:tcW w:w="1758" w:type="dxa"/>
            <w:vAlign w:val="center"/>
          </w:tcPr>
          <w:p>
            <w:pPr>
              <w:pStyle w:val="59"/>
              <w:spacing w:after="0" w:line="240" w:lineRule="auto"/>
              <w:ind w:left="0"/>
              <w:jc w:val="center"/>
              <w:rPr>
                <w:sz w:val="21"/>
                <w:szCs w:val="21"/>
              </w:rPr>
            </w:pPr>
            <w:r>
              <w:rPr>
                <w:rFonts w:hint="eastAsia" w:hAnsi="宋体"/>
                <w:kern w:val="0"/>
                <w:sz w:val="21"/>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59" w:type="dxa"/>
            <w:vAlign w:val="center"/>
          </w:tcPr>
          <w:p>
            <w:pPr>
              <w:jc w:val="center"/>
              <w:rPr>
                <w:rFonts w:hAnsi="宋体"/>
                <w:szCs w:val="21"/>
              </w:rPr>
            </w:pPr>
            <w:r>
              <w:rPr>
                <w:rFonts w:hAnsi="宋体"/>
                <w:szCs w:val="21"/>
              </w:rPr>
              <w:t>水污</w:t>
            </w:r>
          </w:p>
          <w:p>
            <w:pPr>
              <w:jc w:val="center"/>
              <w:rPr>
                <w:szCs w:val="21"/>
              </w:rPr>
            </w:pPr>
            <w:r>
              <w:rPr>
                <w:rFonts w:hAnsi="宋体"/>
                <w:szCs w:val="21"/>
              </w:rPr>
              <w:t>染物</w:t>
            </w:r>
          </w:p>
        </w:tc>
        <w:tc>
          <w:tcPr>
            <w:tcW w:w="1134" w:type="dxa"/>
            <w:vAlign w:val="center"/>
          </w:tcPr>
          <w:p>
            <w:pPr>
              <w:jc w:val="center"/>
              <w:rPr>
                <w:szCs w:val="21"/>
              </w:rPr>
            </w:pPr>
            <w:r>
              <w:rPr>
                <w:rFonts w:hint="eastAsia" w:hAnsi="宋体"/>
                <w:szCs w:val="21"/>
              </w:rPr>
              <w:t>生活污水</w:t>
            </w:r>
          </w:p>
        </w:tc>
        <w:tc>
          <w:tcPr>
            <w:tcW w:w="1134" w:type="dxa"/>
            <w:vAlign w:val="center"/>
          </w:tcPr>
          <w:p>
            <w:pPr>
              <w:jc w:val="center"/>
              <w:rPr>
                <w:szCs w:val="21"/>
              </w:rPr>
            </w:pPr>
            <w:r>
              <w:rPr>
                <w:rFonts w:hint="eastAsia" w:hAnsi="宋体"/>
                <w:szCs w:val="21"/>
              </w:rPr>
              <w:t>COD</w:t>
            </w:r>
            <w:r>
              <w:rPr>
                <w:rFonts w:hint="eastAsia" w:hAnsi="宋体"/>
                <w:szCs w:val="21"/>
                <w:vertAlign w:val="subscript"/>
              </w:rPr>
              <w:t>Cr</w:t>
            </w:r>
            <w:r>
              <w:rPr>
                <w:rFonts w:hint="eastAsia" w:hAnsi="宋体"/>
                <w:szCs w:val="21"/>
              </w:rPr>
              <w:t>、SS、NH</w:t>
            </w:r>
            <w:r>
              <w:rPr>
                <w:rFonts w:hint="eastAsia" w:hAnsi="宋体"/>
                <w:szCs w:val="21"/>
                <w:vertAlign w:val="subscript"/>
              </w:rPr>
              <w:t>3</w:t>
            </w:r>
            <w:r>
              <w:rPr>
                <w:rFonts w:hint="eastAsia" w:hAnsi="宋体"/>
                <w:szCs w:val="21"/>
              </w:rPr>
              <w:t>-N、TP、TN</w:t>
            </w:r>
          </w:p>
        </w:tc>
        <w:tc>
          <w:tcPr>
            <w:tcW w:w="3544" w:type="dxa"/>
            <w:vAlign w:val="center"/>
          </w:tcPr>
          <w:p>
            <w:pPr>
              <w:rPr>
                <w:szCs w:val="21"/>
              </w:rPr>
            </w:pPr>
            <w:r>
              <w:rPr>
                <w:rFonts w:hAnsi="宋体"/>
                <w:kern w:val="0"/>
                <w:szCs w:val="21"/>
                <w:lang w:val="en-US"/>
              </w:rPr>
              <w:t>经</w:t>
            </w:r>
            <w:r>
              <w:rPr>
                <w:rFonts w:hint="eastAsia" w:hAnsi="宋体"/>
                <w:kern w:val="0"/>
                <w:szCs w:val="21"/>
                <w:lang w:val="en-US"/>
              </w:rPr>
              <w:t>化粪池预</w:t>
            </w:r>
            <w:r>
              <w:rPr>
                <w:rFonts w:hAnsi="宋体"/>
                <w:kern w:val="0"/>
                <w:szCs w:val="21"/>
                <w:lang w:val="en-US"/>
              </w:rPr>
              <w:t>处理后</w:t>
            </w:r>
            <w:r>
              <w:rPr>
                <w:rFonts w:hint="eastAsia" w:hAnsi="宋体"/>
                <w:kern w:val="0"/>
                <w:szCs w:val="21"/>
                <w:lang w:val="en-US"/>
              </w:rPr>
              <w:t>接入宜兴市华骐污水处理有限公司</w:t>
            </w:r>
          </w:p>
        </w:tc>
        <w:tc>
          <w:tcPr>
            <w:tcW w:w="1758" w:type="dxa"/>
            <w:vAlign w:val="center"/>
          </w:tcPr>
          <w:p>
            <w:pPr>
              <w:jc w:val="center"/>
              <w:rPr>
                <w:szCs w:val="21"/>
              </w:rPr>
            </w:pPr>
            <w:r>
              <w:rPr>
                <w:rFonts w:hint="eastAsia" w:hAnsi="宋体"/>
                <w:kern w:val="0"/>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restart"/>
            <w:vAlign w:val="center"/>
          </w:tcPr>
          <w:p>
            <w:pPr>
              <w:jc w:val="center"/>
              <w:rPr>
                <w:szCs w:val="21"/>
              </w:rPr>
            </w:pPr>
            <w:r>
              <w:rPr>
                <w:rFonts w:hAnsi="宋体"/>
                <w:szCs w:val="21"/>
              </w:rPr>
              <w:t>固体</w:t>
            </w:r>
          </w:p>
          <w:p>
            <w:pPr>
              <w:jc w:val="center"/>
              <w:rPr>
                <w:rFonts w:hAnsi="宋体"/>
                <w:szCs w:val="21"/>
              </w:rPr>
            </w:pPr>
            <w:r>
              <w:rPr>
                <w:rFonts w:hAnsi="宋体"/>
                <w:szCs w:val="21"/>
              </w:rPr>
              <w:t>废物</w:t>
            </w:r>
          </w:p>
        </w:tc>
        <w:tc>
          <w:tcPr>
            <w:tcW w:w="1134" w:type="dxa"/>
            <w:vMerge w:val="restart"/>
            <w:vAlign w:val="center"/>
          </w:tcPr>
          <w:p>
            <w:pPr>
              <w:jc w:val="center"/>
              <w:rPr>
                <w:rFonts w:hAnsi="宋体"/>
                <w:kern w:val="0"/>
                <w:szCs w:val="21"/>
              </w:rPr>
            </w:pPr>
            <w:r>
              <w:rPr>
                <w:rFonts w:hint="eastAsia" w:hAnsi="宋体"/>
                <w:kern w:val="0"/>
                <w:szCs w:val="21"/>
              </w:rPr>
              <w:t>生产车间</w:t>
            </w:r>
          </w:p>
        </w:tc>
        <w:tc>
          <w:tcPr>
            <w:tcW w:w="113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次品</w:t>
            </w:r>
          </w:p>
        </w:tc>
        <w:tc>
          <w:tcPr>
            <w:tcW w:w="354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收集后统一外售</w:t>
            </w:r>
          </w:p>
        </w:tc>
        <w:tc>
          <w:tcPr>
            <w:tcW w:w="1758" w:type="dxa"/>
            <w:vMerge w:val="restart"/>
            <w:vAlign w:val="center"/>
          </w:tcPr>
          <w:p>
            <w:pPr>
              <w:jc w:val="center"/>
              <w:rPr>
                <w:szCs w:val="21"/>
              </w:rPr>
            </w:pPr>
            <w:r>
              <w:rPr>
                <w:rFonts w:hint="eastAsia" w:hAnsi="宋体"/>
                <w:kern w:val="0"/>
                <w:szCs w:val="21"/>
                <w:lang w:val="en-US"/>
              </w:rPr>
              <w:t>无害化、减量化、资源化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jc w:val="center"/>
              <w:rPr>
                <w:rFonts w:hAnsi="宋体"/>
                <w:szCs w:val="21"/>
              </w:rPr>
            </w:pPr>
          </w:p>
        </w:tc>
        <w:tc>
          <w:tcPr>
            <w:tcW w:w="1134" w:type="dxa"/>
            <w:vMerge w:val="continue"/>
            <w:vAlign w:val="center"/>
          </w:tcPr>
          <w:p>
            <w:pPr>
              <w:jc w:val="center"/>
              <w:rPr>
                <w:rFonts w:hAnsi="宋体"/>
                <w:kern w:val="0"/>
                <w:szCs w:val="21"/>
              </w:rPr>
            </w:pPr>
          </w:p>
        </w:tc>
        <w:tc>
          <w:tcPr>
            <w:tcW w:w="113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废包装袋</w:t>
            </w:r>
          </w:p>
        </w:tc>
        <w:tc>
          <w:tcPr>
            <w:tcW w:w="354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收集后统一外售</w:t>
            </w:r>
          </w:p>
        </w:tc>
        <w:tc>
          <w:tcPr>
            <w:tcW w:w="1758" w:type="dxa"/>
            <w:vMerge w:val="continue"/>
            <w:vAlign w:val="center"/>
          </w:tcPr>
          <w:p>
            <w:pPr>
              <w:jc w:val="center"/>
              <w:rPr>
                <w:rFonts w:hAnsi="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jc w:val="center"/>
              <w:rPr>
                <w:rFonts w:hAnsi="宋体"/>
                <w:szCs w:val="21"/>
              </w:rPr>
            </w:pPr>
          </w:p>
        </w:tc>
        <w:tc>
          <w:tcPr>
            <w:tcW w:w="1134" w:type="dxa"/>
            <w:vMerge w:val="continue"/>
            <w:vAlign w:val="center"/>
          </w:tcPr>
          <w:p>
            <w:pPr>
              <w:jc w:val="center"/>
              <w:rPr>
                <w:rFonts w:hAnsi="宋体"/>
                <w:kern w:val="0"/>
                <w:szCs w:val="21"/>
              </w:rPr>
            </w:pPr>
          </w:p>
        </w:tc>
        <w:tc>
          <w:tcPr>
            <w:tcW w:w="113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收集粉尘</w:t>
            </w:r>
          </w:p>
        </w:tc>
        <w:tc>
          <w:tcPr>
            <w:tcW w:w="354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收集后回用于生产</w:t>
            </w:r>
          </w:p>
        </w:tc>
        <w:tc>
          <w:tcPr>
            <w:tcW w:w="1758" w:type="dxa"/>
            <w:vMerge w:val="continue"/>
            <w:vAlign w:val="center"/>
          </w:tcPr>
          <w:p>
            <w:pPr>
              <w:jc w:val="center"/>
              <w:rPr>
                <w:rFonts w:hAnsi="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jc w:val="center"/>
              <w:rPr>
                <w:szCs w:val="21"/>
              </w:rPr>
            </w:pPr>
          </w:p>
        </w:tc>
        <w:tc>
          <w:tcPr>
            <w:tcW w:w="1134" w:type="dxa"/>
            <w:vAlign w:val="center"/>
          </w:tcPr>
          <w:p>
            <w:pPr>
              <w:jc w:val="center"/>
              <w:rPr>
                <w:kern w:val="0"/>
                <w:szCs w:val="21"/>
              </w:rPr>
            </w:pPr>
            <w:r>
              <w:rPr>
                <w:rFonts w:hint="eastAsia"/>
                <w:kern w:val="0"/>
                <w:szCs w:val="21"/>
              </w:rPr>
              <w:t>职工生活</w:t>
            </w:r>
          </w:p>
        </w:tc>
        <w:tc>
          <w:tcPr>
            <w:tcW w:w="113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生活垃圾</w:t>
            </w:r>
          </w:p>
        </w:tc>
        <w:tc>
          <w:tcPr>
            <w:tcW w:w="3544"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收集后由环卫部门统一清运</w:t>
            </w:r>
          </w:p>
        </w:tc>
        <w:tc>
          <w:tcPr>
            <w:tcW w:w="175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szCs w:val="21"/>
              </w:rPr>
            </w:pPr>
            <w:r>
              <w:rPr>
                <w:rFonts w:hAnsi="宋体"/>
                <w:szCs w:val="21"/>
              </w:rPr>
              <w:t>噪声</w:t>
            </w:r>
          </w:p>
        </w:tc>
        <w:tc>
          <w:tcPr>
            <w:tcW w:w="1134" w:type="dxa"/>
            <w:vAlign w:val="center"/>
          </w:tcPr>
          <w:p>
            <w:pPr>
              <w:jc w:val="center"/>
              <w:rPr>
                <w:kern w:val="0"/>
                <w:szCs w:val="21"/>
              </w:rPr>
            </w:pPr>
            <w:r>
              <w:rPr>
                <w:rFonts w:hint="eastAsia" w:hAnsi="宋体"/>
                <w:kern w:val="0"/>
                <w:szCs w:val="21"/>
              </w:rPr>
              <w:t>营运</w:t>
            </w:r>
            <w:r>
              <w:rPr>
                <w:rFonts w:hAnsi="宋体"/>
                <w:kern w:val="0"/>
                <w:szCs w:val="21"/>
              </w:rPr>
              <w:t>期</w:t>
            </w:r>
            <w:r>
              <w:rPr>
                <w:rFonts w:hint="eastAsia" w:hAnsi="宋体"/>
                <w:kern w:val="0"/>
                <w:szCs w:val="21"/>
              </w:rPr>
              <w:t>、生产车间</w:t>
            </w:r>
          </w:p>
        </w:tc>
        <w:tc>
          <w:tcPr>
            <w:tcW w:w="4678" w:type="dxa"/>
            <w:gridSpan w:val="2"/>
            <w:vAlign w:val="center"/>
          </w:tcPr>
          <w:p>
            <w:pPr>
              <w:autoSpaceDE w:val="0"/>
              <w:autoSpaceDN w:val="0"/>
              <w:adjustRightInd w:val="0"/>
              <w:jc w:val="left"/>
              <w:rPr>
                <w:rFonts w:hAnsi="宋体"/>
                <w:kern w:val="0"/>
                <w:szCs w:val="21"/>
                <w:lang w:val="en-US"/>
              </w:rPr>
            </w:pPr>
            <w:r>
              <w:rPr>
                <w:rFonts w:hint="eastAsia" w:hAnsi="宋体"/>
                <w:kern w:val="0"/>
                <w:szCs w:val="21"/>
                <w:lang w:val="en-US"/>
              </w:rPr>
              <w:t>生产设备产生的噪声经合理布局、厂房隔声、厂界隔声、距离衰减、绿化降噪后，到达厂界噪声可满足《工业企业厂界环境噪声排放标准》（GB12348-2008）中3类标准限值要求，即昼间≤65dB(A)</w:t>
            </w:r>
            <w:r>
              <w:rPr>
                <w:rFonts w:hint="eastAsia" w:hAnsi="宋体"/>
                <w:sz w:val="24"/>
              </w:rPr>
              <w:t xml:space="preserve"> 、</w:t>
            </w:r>
            <w:r>
              <w:rPr>
                <w:rFonts w:hint="eastAsia" w:hAnsi="宋体"/>
                <w:kern w:val="0"/>
                <w:szCs w:val="21"/>
              </w:rPr>
              <w:t>夜间55dB(A)</w:t>
            </w:r>
            <w:r>
              <w:rPr>
                <w:rFonts w:hint="eastAsia" w:hAnsi="宋体"/>
                <w:kern w:val="0"/>
                <w:szCs w:val="21"/>
                <w:lang w:val="en-US"/>
              </w:rPr>
              <w:t>。</w:t>
            </w:r>
          </w:p>
        </w:tc>
        <w:tc>
          <w:tcPr>
            <w:tcW w:w="1758" w:type="dxa"/>
            <w:vAlign w:val="center"/>
          </w:tcPr>
          <w:p>
            <w:pPr>
              <w:jc w:val="center"/>
              <w:rPr>
                <w:szCs w:val="21"/>
              </w:rPr>
            </w:pPr>
            <w:r>
              <w:rPr>
                <w:rFonts w:hAnsi="宋体"/>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szCs w:val="21"/>
              </w:rPr>
            </w:pPr>
            <w:r>
              <w:rPr>
                <w:rFonts w:hAnsi="宋体"/>
                <w:szCs w:val="21"/>
              </w:rPr>
              <w:t>其他</w:t>
            </w:r>
          </w:p>
        </w:tc>
        <w:tc>
          <w:tcPr>
            <w:tcW w:w="7570" w:type="dxa"/>
            <w:gridSpan w:val="4"/>
            <w:vAlign w:val="center"/>
          </w:tcPr>
          <w:p>
            <w:pPr>
              <w:jc w:val="center"/>
              <w:rPr>
                <w:szCs w:val="21"/>
              </w:rPr>
            </w:pPr>
            <w:r>
              <w:rPr>
                <w:rFonts w:hint="eastAsia"/>
                <w:szCs w:val="21"/>
              </w:rPr>
              <w:t>本项目在运营过程中应加强管理、注意环境卫生。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9" w:type="dxa"/>
            <w:gridSpan w:val="5"/>
            <w:vAlign w:val="center"/>
          </w:tcPr>
          <w:p>
            <w:pPr>
              <w:spacing w:line="360" w:lineRule="auto"/>
              <w:rPr>
                <w:b/>
                <w:szCs w:val="21"/>
              </w:rPr>
            </w:pPr>
            <w:r>
              <w:rPr>
                <w:rFonts w:hAnsi="宋体"/>
                <w:b/>
                <w:szCs w:val="21"/>
              </w:rPr>
              <w:t>生态保护措施及预期效果</w:t>
            </w:r>
          </w:p>
          <w:p>
            <w:pPr>
              <w:autoSpaceDE w:val="0"/>
              <w:autoSpaceDN w:val="0"/>
              <w:adjustRightInd w:val="0"/>
              <w:spacing w:line="360" w:lineRule="auto"/>
              <w:ind w:firstLine="420" w:firstLineChars="200"/>
              <w:jc w:val="left"/>
              <w:rPr>
                <w:rFonts w:ascii="宋体" w:cs="宋体"/>
                <w:kern w:val="0"/>
                <w:szCs w:val="21"/>
                <w:lang w:val="en-US"/>
              </w:rPr>
            </w:pPr>
            <w:r>
              <w:rPr>
                <w:rFonts w:hint="eastAsia" w:hAnsi="宋体"/>
                <w:kern w:val="0"/>
                <w:szCs w:val="21"/>
              </w:rPr>
              <w:t>本项目位于</w:t>
            </w:r>
            <w:r>
              <w:rPr>
                <w:rFonts w:hint="eastAsia" w:hAnsi="宋体"/>
                <w:kern w:val="0"/>
                <w:szCs w:val="21"/>
                <w:lang w:val="en-US" w:eastAsia="zh-CN"/>
              </w:rPr>
              <w:t>宜兴市丁蜀镇查林村</w:t>
            </w:r>
            <w:r>
              <w:rPr>
                <w:rFonts w:hint="eastAsia" w:hAnsi="宋体"/>
                <w:kern w:val="0"/>
                <w:szCs w:val="21"/>
              </w:rPr>
              <w:t>，</w:t>
            </w:r>
            <w:r>
              <w:rPr>
                <w:rFonts w:hint="eastAsia" w:hAnsi="宋体"/>
                <w:kern w:val="0"/>
                <w:szCs w:val="21"/>
                <w:lang w:val="en-US"/>
              </w:rPr>
              <w:t>利用原有闲置厂房</w:t>
            </w:r>
            <w:r>
              <w:rPr>
                <w:rFonts w:hint="eastAsia" w:hAnsi="宋体"/>
                <w:kern w:val="0"/>
                <w:szCs w:val="21"/>
              </w:rPr>
              <w:t>。</w:t>
            </w:r>
            <w:r>
              <w:rPr>
                <w:rFonts w:hint="eastAsia" w:ascii="宋体" w:cs="宋体"/>
                <w:kern w:val="0"/>
                <w:szCs w:val="21"/>
                <w:lang w:val="en-US"/>
              </w:rPr>
              <w:t>项目在营运期产生的“三废”经过有效的处理后，对周围生态环境基本无影响。建议营运期间应加强厂区绿化建设，美化厂区环境。</w:t>
            </w:r>
          </w:p>
          <w:p>
            <w:pPr>
              <w:autoSpaceDE w:val="0"/>
              <w:autoSpaceDN w:val="0"/>
              <w:adjustRightInd w:val="0"/>
              <w:ind w:firstLine="420" w:firstLineChars="200"/>
              <w:jc w:val="left"/>
              <w:rPr>
                <w:rFonts w:ascii="宋体" w:cs="宋体"/>
                <w:kern w:val="0"/>
                <w:szCs w:val="21"/>
                <w:lang w:val="en-US"/>
              </w:rPr>
            </w:pPr>
          </w:p>
          <w:p>
            <w:pPr>
              <w:autoSpaceDE w:val="0"/>
              <w:autoSpaceDN w:val="0"/>
              <w:adjustRightInd w:val="0"/>
              <w:ind w:firstLine="420" w:firstLineChars="20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p>
            <w:pPr>
              <w:autoSpaceDE w:val="0"/>
              <w:autoSpaceDN w:val="0"/>
              <w:adjustRightInd w:val="0"/>
              <w:jc w:val="left"/>
              <w:rPr>
                <w:rFonts w:ascii="宋体" w:cs="宋体"/>
                <w:kern w:val="0"/>
                <w:szCs w:val="21"/>
                <w:lang w:val="en-US"/>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bookmarkEnd w:id="68"/>
    <w:p>
      <w:pPr>
        <w:pStyle w:val="4"/>
        <w:spacing w:line="240" w:lineRule="auto"/>
        <w:jc w:val="both"/>
        <w:rPr>
          <w:bCs w:val="0"/>
          <w:spacing w:val="0"/>
          <w:kern w:val="0"/>
          <w:sz w:val="32"/>
          <w:szCs w:val="32"/>
        </w:rPr>
      </w:pPr>
      <w:bookmarkStart w:id="71" w:name="_Toc386379881"/>
      <w:r>
        <w:rPr>
          <w:bCs w:val="0"/>
          <w:spacing w:val="0"/>
          <w:kern w:val="0"/>
          <w:sz w:val="32"/>
          <w:szCs w:val="32"/>
        </w:rPr>
        <w:t>9</w:t>
      </w:r>
      <w:r>
        <w:rPr>
          <w:rFonts w:hAnsi="宋体"/>
          <w:bCs w:val="0"/>
          <w:spacing w:val="0"/>
          <w:kern w:val="0"/>
          <w:sz w:val="32"/>
          <w:szCs w:val="32"/>
        </w:rPr>
        <w:t>、结论与建议</w:t>
      </w:r>
      <w:bookmarkEnd w:id="71"/>
    </w:p>
    <w:tbl>
      <w:tblPr>
        <w:tblStyle w:val="7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napToGrid w:val="0"/>
              <w:spacing w:line="360" w:lineRule="auto"/>
              <w:rPr>
                <w:rFonts w:hAnsi="宋体"/>
                <w:b/>
                <w:kern w:val="0"/>
                <w:sz w:val="28"/>
                <w:szCs w:val="28"/>
              </w:rPr>
            </w:pPr>
            <w:r>
              <w:rPr>
                <w:rFonts w:hint="eastAsia" w:hAnsi="宋体"/>
                <w:b/>
                <w:kern w:val="0"/>
                <w:sz w:val="28"/>
                <w:szCs w:val="28"/>
              </w:rPr>
              <w:t>一、</w:t>
            </w:r>
            <w:r>
              <w:rPr>
                <w:rFonts w:hAnsi="宋体"/>
                <w:b/>
                <w:kern w:val="0"/>
                <w:sz w:val="28"/>
                <w:szCs w:val="28"/>
              </w:rPr>
              <w:t>结论</w:t>
            </w:r>
          </w:p>
          <w:p>
            <w:pPr>
              <w:spacing w:line="360" w:lineRule="auto"/>
              <w:ind w:firstLine="482" w:firstLineChars="200"/>
              <w:jc w:val="left"/>
              <w:rPr>
                <w:b/>
                <w:sz w:val="24"/>
              </w:rPr>
            </w:pPr>
            <w:r>
              <w:rPr>
                <w:rFonts w:hint="eastAsia"/>
                <w:b/>
                <w:sz w:val="24"/>
              </w:rPr>
              <w:t>1、项目概况</w:t>
            </w:r>
          </w:p>
          <w:p>
            <w:pPr>
              <w:spacing w:line="360" w:lineRule="auto"/>
              <w:ind w:firstLine="480" w:firstLineChars="200"/>
              <w:outlineLvl w:val="2"/>
              <w:rPr>
                <w:rFonts w:hint="eastAsia" w:hAnsi="宋体"/>
                <w:kern w:val="0"/>
                <w:sz w:val="24"/>
                <w:szCs w:val="24"/>
                <w:lang w:val="en-US"/>
              </w:rPr>
            </w:pPr>
            <w:r>
              <w:rPr>
                <w:rFonts w:hint="eastAsia" w:hAnsi="宋体"/>
                <w:kern w:val="0"/>
                <w:sz w:val="24"/>
                <w:szCs w:val="24"/>
                <w:lang w:eastAsia="zh-CN"/>
              </w:rPr>
              <w:t>宜兴市宜桥陶瓷有限公司位于</w:t>
            </w:r>
            <w:r>
              <w:rPr>
                <w:rFonts w:hint="eastAsia" w:hAnsi="宋体"/>
                <w:kern w:val="0"/>
                <w:sz w:val="24"/>
                <w:szCs w:val="24"/>
                <w:lang w:val="en-US" w:eastAsia="zh-CN"/>
              </w:rPr>
              <w:t>宜兴市丁蜀镇查林村，公司拟投资520万元，购置喷雾造粒设备、干压机等设备进行陶瓷制品的制造改建项目的生产，</w:t>
            </w:r>
            <w:r>
              <w:rPr>
                <w:rFonts w:hint="eastAsia" w:hAnsi="宋体"/>
                <w:kern w:val="0"/>
                <w:sz w:val="24"/>
                <w:szCs w:val="24"/>
              </w:rPr>
              <w:t>项目</w:t>
            </w:r>
            <w:r>
              <w:rPr>
                <w:rFonts w:hint="eastAsia" w:hAnsi="宋体"/>
                <w:kern w:val="0"/>
                <w:sz w:val="24"/>
                <w:szCs w:val="24"/>
                <w:lang w:val="en-US"/>
              </w:rPr>
              <w:t>建成后形成年加工</w:t>
            </w:r>
            <w:r>
              <w:rPr>
                <w:rFonts w:hint="eastAsia" w:hAnsi="宋体"/>
                <w:kern w:val="0"/>
                <w:sz w:val="24"/>
                <w:szCs w:val="24"/>
                <w:lang w:val="en-US" w:eastAsia="zh-CN"/>
              </w:rPr>
              <w:t>瓷件200万件</w:t>
            </w:r>
            <w:r>
              <w:rPr>
                <w:rFonts w:hint="eastAsia" w:hAnsi="宋体"/>
                <w:kern w:val="0"/>
                <w:sz w:val="24"/>
                <w:szCs w:val="24"/>
                <w:lang w:val="en-US"/>
              </w:rPr>
              <w:t>的生产能力。</w:t>
            </w:r>
          </w:p>
          <w:p>
            <w:pPr>
              <w:spacing w:line="360" w:lineRule="auto"/>
              <w:ind w:firstLine="482" w:firstLineChars="200"/>
              <w:rPr>
                <w:rFonts w:ascii="Calibri" w:hAnsi="Calibri"/>
                <w:b/>
                <w:sz w:val="24"/>
                <w:szCs w:val="18"/>
              </w:rPr>
            </w:pPr>
            <w:r>
              <w:rPr>
                <w:rFonts w:hint="eastAsia"/>
                <w:b/>
                <w:sz w:val="24"/>
              </w:rPr>
              <w:t>2、</w:t>
            </w:r>
            <w:r>
              <w:rPr>
                <w:rFonts w:hint="eastAsia"/>
                <w:b/>
                <w:sz w:val="24"/>
                <w:lang w:val="en-US"/>
              </w:rPr>
              <w:t>项目建设与地方规划兼容</w:t>
            </w:r>
          </w:p>
          <w:p>
            <w:pPr>
              <w:spacing w:line="360" w:lineRule="auto"/>
              <w:ind w:firstLine="480" w:firstLineChars="200"/>
              <w:rPr>
                <w:rFonts w:hAnsi="宋体"/>
                <w:sz w:val="24"/>
                <w:szCs w:val="24"/>
              </w:rPr>
            </w:pPr>
            <w:r>
              <w:rPr>
                <w:rFonts w:hint="eastAsia" w:hAnsi="宋体"/>
                <w:sz w:val="24"/>
                <w:szCs w:val="24"/>
              </w:rPr>
              <w:t>江苏宜兴陶瓷产业园定位坚持专业性陶瓷研发和生产基地，以陶瓷行业为主，优先发展特种工业陶瓷、高档日用陶瓷，高档建筑陶瓷和高新技术陶瓷等产业，适当建设与陶瓷行业配套的研发类项目。本项目主要进行</w:t>
            </w:r>
            <w:r>
              <w:rPr>
                <w:rFonts w:hint="eastAsia" w:hAnsi="宋体"/>
                <w:bCs/>
                <w:sz w:val="24"/>
                <w:szCs w:val="24"/>
                <w:lang w:val="en-US"/>
              </w:rPr>
              <w:t>特种陶瓷制品制造</w:t>
            </w:r>
            <w:r>
              <w:rPr>
                <w:rFonts w:hint="eastAsia" w:hAnsi="宋体"/>
                <w:sz w:val="24"/>
                <w:szCs w:val="24"/>
              </w:rPr>
              <w:t>，项目行业类别为</w:t>
            </w:r>
            <w:r>
              <w:rPr>
                <w:rFonts w:hAnsi="宋体"/>
                <w:sz w:val="24"/>
                <w:szCs w:val="24"/>
              </w:rPr>
              <w:t>C3072特种陶瓷制品制造</w:t>
            </w:r>
            <w:r>
              <w:rPr>
                <w:rFonts w:hint="eastAsia" w:hAnsi="宋体"/>
                <w:sz w:val="24"/>
                <w:szCs w:val="24"/>
              </w:rPr>
              <w:t>，</w:t>
            </w:r>
            <w:r>
              <w:rPr>
                <w:rFonts w:hAnsi="宋体"/>
                <w:sz w:val="24"/>
                <w:szCs w:val="24"/>
              </w:rPr>
              <w:t>与园区规划相符。</w:t>
            </w:r>
          </w:p>
          <w:p>
            <w:pPr>
              <w:spacing w:line="360" w:lineRule="auto"/>
              <w:ind w:firstLine="480" w:firstLineChars="200"/>
              <w:rPr>
                <w:rFonts w:hAnsi="宋体"/>
                <w:sz w:val="24"/>
                <w:szCs w:val="24"/>
                <w:lang w:val="en-US"/>
              </w:rPr>
            </w:pPr>
            <w:r>
              <w:rPr>
                <w:rFonts w:hint="eastAsia" w:hAnsi="宋体"/>
                <w:sz w:val="24"/>
                <w:szCs w:val="24"/>
                <w:lang w:val="en-US"/>
              </w:rPr>
              <w:t>本项目位于</w:t>
            </w:r>
            <w:r>
              <w:rPr>
                <w:rFonts w:hint="eastAsia" w:hAnsi="宋体"/>
                <w:sz w:val="24"/>
                <w:szCs w:val="24"/>
                <w:lang w:val="en-US" w:eastAsia="zh-CN"/>
              </w:rPr>
              <w:t>宜兴市丁蜀镇查林村</w:t>
            </w:r>
            <w:r>
              <w:rPr>
                <w:rFonts w:hint="eastAsia" w:hAnsi="宋体"/>
                <w:sz w:val="24"/>
                <w:szCs w:val="24"/>
                <w:lang w:val="en-US"/>
              </w:rPr>
              <w:t>，根据《江苏省太湖流域三级保护区范围》（苏政办发〔</w:t>
            </w:r>
            <w:r>
              <w:rPr>
                <w:rFonts w:hAnsi="宋体"/>
                <w:sz w:val="24"/>
                <w:szCs w:val="24"/>
                <w:lang w:val="en-US"/>
              </w:rPr>
              <w:t>2012</w:t>
            </w:r>
            <w:r>
              <w:rPr>
                <w:rFonts w:hint="eastAsia" w:hAnsi="宋体"/>
                <w:sz w:val="24"/>
                <w:szCs w:val="24"/>
                <w:lang w:val="en-US"/>
              </w:rPr>
              <w:t>〕</w:t>
            </w:r>
            <w:r>
              <w:rPr>
                <w:rFonts w:hAnsi="宋体"/>
                <w:sz w:val="24"/>
                <w:szCs w:val="24"/>
                <w:lang w:val="en-US"/>
              </w:rPr>
              <w:t>221</w:t>
            </w:r>
            <w:r>
              <w:rPr>
                <w:rFonts w:hint="eastAsia" w:hAnsi="宋体"/>
                <w:sz w:val="24"/>
                <w:szCs w:val="24"/>
                <w:lang w:val="en-US"/>
              </w:rPr>
              <w:t>号），本项目位于太湖流域二级保护区。</w:t>
            </w:r>
          </w:p>
          <w:p>
            <w:pPr>
              <w:spacing w:line="360" w:lineRule="auto"/>
              <w:ind w:firstLine="480" w:firstLineChars="200"/>
              <w:rPr>
                <w:rFonts w:hAnsi="宋体"/>
                <w:sz w:val="24"/>
                <w:szCs w:val="24"/>
                <w:lang w:val="en-US"/>
              </w:rPr>
            </w:pPr>
            <w:r>
              <w:rPr>
                <w:rFonts w:hint="eastAsia" w:hAnsi="宋体"/>
                <w:sz w:val="24"/>
                <w:szCs w:val="24"/>
                <w:lang w:val="en-US"/>
              </w:rPr>
              <w:t>根据《江苏省太湖水污染防治条例》（</w:t>
            </w:r>
            <w:r>
              <w:rPr>
                <w:rFonts w:hAnsi="宋体"/>
                <w:sz w:val="24"/>
                <w:szCs w:val="24"/>
                <w:lang w:val="en-US"/>
              </w:rPr>
              <w:t>2018</w:t>
            </w:r>
            <w:r>
              <w:rPr>
                <w:rFonts w:hint="eastAsia" w:hAnsi="宋体"/>
                <w:sz w:val="24"/>
                <w:szCs w:val="24"/>
                <w:lang w:val="en-US"/>
              </w:rPr>
              <w:t>年</w:t>
            </w:r>
            <w:r>
              <w:rPr>
                <w:rFonts w:hAnsi="宋体"/>
                <w:sz w:val="24"/>
                <w:szCs w:val="24"/>
                <w:lang w:val="en-US"/>
              </w:rPr>
              <w:t>5</w:t>
            </w:r>
            <w:r>
              <w:rPr>
                <w:rFonts w:hint="eastAsia" w:hAnsi="宋体"/>
                <w:sz w:val="24"/>
                <w:szCs w:val="24"/>
                <w:lang w:val="en-US"/>
              </w:rPr>
              <w:t>月</w:t>
            </w:r>
            <w:r>
              <w:rPr>
                <w:rFonts w:hAnsi="宋体"/>
                <w:sz w:val="24"/>
                <w:szCs w:val="24"/>
                <w:lang w:val="en-US"/>
              </w:rPr>
              <w:t>1</w:t>
            </w:r>
            <w:r>
              <w:rPr>
                <w:rFonts w:hint="eastAsia" w:hAnsi="宋体"/>
                <w:sz w:val="24"/>
                <w:szCs w:val="24"/>
                <w:lang w:val="en-US"/>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rFonts w:hAnsi="宋体"/>
                <w:sz w:val="24"/>
                <w:szCs w:val="24"/>
                <w:lang w:val="en-US"/>
              </w:rPr>
              <w:t>2018</w:t>
            </w:r>
            <w:r>
              <w:rPr>
                <w:rFonts w:hint="eastAsia" w:hAnsi="宋体"/>
                <w:sz w:val="24"/>
                <w:szCs w:val="24"/>
                <w:lang w:val="en-US"/>
              </w:rPr>
              <w:t>年</w:t>
            </w:r>
            <w:r>
              <w:rPr>
                <w:rFonts w:hAnsi="宋体"/>
                <w:sz w:val="24"/>
                <w:szCs w:val="24"/>
                <w:lang w:val="en-US"/>
              </w:rPr>
              <w:t>5</w:t>
            </w:r>
            <w:r>
              <w:rPr>
                <w:rFonts w:hint="eastAsia" w:hAnsi="宋体"/>
                <w:sz w:val="24"/>
                <w:szCs w:val="24"/>
                <w:lang w:val="en-US"/>
              </w:rPr>
              <w:t>月</w:t>
            </w:r>
            <w:r>
              <w:rPr>
                <w:rFonts w:hAnsi="宋体"/>
                <w:sz w:val="24"/>
                <w:szCs w:val="24"/>
                <w:lang w:val="en-US"/>
              </w:rPr>
              <w:t>1</w:t>
            </w:r>
            <w:r>
              <w:rPr>
                <w:rFonts w:hint="eastAsia" w:hAnsi="宋体"/>
                <w:sz w:val="24"/>
                <w:szCs w:val="24"/>
                <w:lang w:val="en-US"/>
              </w:rPr>
              <w:t>日实施）相关规定。</w:t>
            </w:r>
          </w:p>
          <w:p>
            <w:pPr>
              <w:spacing w:line="360" w:lineRule="auto"/>
              <w:ind w:firstLine="480" w:firstLineChars="200"/>
              <w:rPr>
                <w:rFonts w:hAnsi="宋体"/>
                <w:sz w:val="24"/>
                <w:szCs w:val="24"/>
                <w:lang w:val="en-US"/>
              </w:rPr>
            </w:pPr>
            <w:r>
              <w:rPr>
                <w:rFonts w:hint="eastAsia" w:hAnsi="宋体"/>
                <w:sz w:val="24"/>
                <w:szCs w:val="24"/>
                <w:lang w:val="en-US"/>
              </w:rPr>
              <w:t>《太湖流域管理条例》禁止在太湖流域设置不符合国家产业政策和水环境综合治理要求的造纸、制革、酒精、淀粉、冶金、酿造、印染、电镀等排放水污染物的生产项目，本项目不在上述禁止行业内，符合国家产业政策和水环境综合治理要求，生活污水纳入市政污水管网，由污水处理厂处理，不新增排污口。故本项目的建设符合《太湖流域管理条例》中要求。</w:t>
            </w:r>
          </w:p>
          <w:p>
            <w:pPr>
              <w:spacing w:line="360" w:lineRule="auto"/>
              <w:ind w:firstLine="480" w:firstLineChars="200"/>
              <w:rPr>
                <w:rFonts w:hAnsi="宋体"/>
                <w:sz w:val="24"/>
                <w:szCs w:val="24"/>
              </w:rPr>
            </w:pPr>
            <w:r>
              <w:rPr>
                <w:rFonts w:hint="eastAsia" w:hAnsi="宋体"/>
                <w:sz w:val="24"/>
                <w:szCs w:val="24"/>
                <w:lang w:val="en-US"/>
              </w:rPr>
              <w:t>根据《无锡市水环境保护条例》中“第十六条：各类开发建设活动应当符合国家和地方产业政策指导目录和环保准入条件。禁止下列产生水污染的建设行为：（一）新建、改建、扩建化学制浆造纸、制革、酿造、染料、印染、电镀以及其他排放含磷、氮等污染物的企业和项目；（二）新建、改建、扩建污水不能接入城镇污水集中处理设施的建设项目和经营项目；（三）除污染治理项目外，在工业园区以外新建、扩建工业项目；（四）法律、法规禁止的其他建设行为。”根据《无锡市水环境保护条例》中“第二十八条：在符合接管标准和具备处理能力的条件下，城镇污水集中处理设施运营单位应当接纳除含有重金属和不易生物降解的有毒污染物外的所有污水。城镇污水集中处理设施运营单位一般不得通过管网以外方式接纳污水；不具备接管条件或者有其他特殊原因，需要通过管网以外方式接纳污水的，应当经市政行政主管部门批准。本项目位于</w:t>
            </w:r>
            <w:r>
              <w:rPr>
                <w:rFonts w:hint="eastAsia" w:hAnsi="宋体"/>
                <w:sz w:val="24"/>
                <w:szCs w:val="24"/>
                <w:lang w:val="en-US" w:eastAsia="zh-CN"/>
              </w:rPr>
              <w:t>宜兴市丁蜀镇查林村</w:t>
            </w:r>
            <w:r>
              <w:rPr>
                <w:rFonts w:hint="eastAsia" w:hAnsi="宋体"/>
                <w:sz w:val="24"/>
                <w:szCs w:val="24"/>
                <w:lang w:val="en-US"/>
              </w:rPr>
              <w:t>，根据宜兴市公用事业管理局出具的《污水纳管意见书》，拟建项目所在厂区已具备接管条件。生活污水经市政污水管网排入宜兴市城市污水处理厂集中处理，故符合《无锡市水环境保护条例》中的相关规定。</w:t>
            </w:r>
          </w:p>
          <w:p>
            <w:pPr>
              <w:spacing w:line="360" w:lineRule="auto"/>
              <w:ind w:firstLine="482"/>
              <w:rPr>
                <w:rFonts w:asciiTheme="minorEastAsia" w:hAnsiTheme="minorEastAsia" w:eastAsiaTheme="minorEastAsia"/>
                <w:sz w:val="24"/>
              </w:rPr>
            </w:pPr>
            <w:r>
              <w:rPr>
                <w:rFonts w:hint="eastAsia"/>
                <w:b/>
                <w:sz w:val="24"/>
              </w:rPr>
              <w:t>3、项目建设与国家与地方产业政策相符</w:t>
            </w:r>
          </w:p>
          <w:p>
            <w:pPr>
              <w:spacing w:line="360" w:lineRule="auto"/>
              <w:ind w:firstLine="480" w:firstLineChars="200"/>
              <w:rPr>
                <w:rFonts w:hAnsi="宋体"/>
                <w:sz w:val="24"/>
                <w:szCs w:val="24"/>
                <w:lang w:val="en-US"/>
              </w:rPr>
            </w:pPr>
            <w:r>
              <w:rPr>
                <w:rFonts w:hint="eastAsia" w:hAnsi="宋体"/>
                <w:bCs/>
                <w:sz w:val="24"/>
                <w:szCs w:val="24"/>
                <w:lang w:val="en-US"/>
              </w:rPr>
              <w:t>本项目</w:t>
            </w:r>
            <w:r>
              <w:rPr>
                <w:rFonts w:hAnsi="宋体"/>
                <w:bCs/>
                <w:sz w:val="24"/>
                <w:szCs w:val="24"/>
                <w:lang w:val="en-US"/>
              </w:rPr>
              <w:t>为</w:t>
            </w:r>
            <w:r>
              <w:rPr>
                <w:rFonts w:hint="eastAsia" w:hAnsi="宋体"/>
                <w:bCs/>
                <w:sz w:val="24"/>
                <w:szCs w:val="24"/>
                <w:lang w:val="en-US" w:eastAsia="zh-CN"/>
              </w:rPr>
              <w:t>陶瓷制品的制造</w:t>
            </w:r>
            <w:r>
              <w:rPr>
                <w:rFonts w:hAnsi="宋体"/>
                <w:bCs/>
                <w:sz w:val="24"/>
                <w:szCs w:val="24"/>
                <w:lang w:val="en-US"/>
              </w:rPr>
              <w:t>，</w:t>
            </w:r>
            <w:r>
              <w:rPr>
                <w:rFonts w:hint="eastAsia" w:hAnsi="宋体"/>
                <w:bCs/>
                <w:sz w:val="24"/>
                <w:szCs w:val="24"/>
                <w:lang w:val="en-US"/>
              </w:rPr>
              <w:t>行业类别为</w:t>
            </w:r>
            <w:r>
              <w:rPr>
                <w:rFonts w:hint="eastAsia" w:hAnsi="宋体"/>
                <w:bCs/>
                <w:sz w:val="24"/>
                <w:szCs w:val="24"/>
              </w:rPr>
              <w:t>C</w:t>
            </w:r>
            <w:r>
              <w:rPr>
                <w:rFonts w:hAnsi="宋体"/>
                <w:bCs/>
                <w:sz w:val="24"/>
                <w:szCs w:val="24"/>
                <w:lang w:val="en-US"/>
              </w:rPr>
              <w:t>30</w:t>
            </w:r>
            <w:r>
              <w:rPr>
                <w:rFonts w:hint="eastAsia" w:hAnsi="宋体"/>
                <w:bCs/>
                <w:sz w:val="24"/>
                <w:szCs w:val="24"/>
                <w:lang w:val="en-US"/>
              </w:rPr>
              <w:t>73特种陶瓷制品制造。</w:t>
            </w:r>
            <w:r>
              <w:rPr>
                <w:rFonts w:hint="eastAsia"/>
                <w:sz w:val="24"/>
                <w:szCs w:val="24"/>
              </w:rPr>
              <w:t>本项目不属于</w:t>
            </w:r>
            <w:r>
              <w:rPr>
                <w:rFonts w:hint="eastAsia"/>
                <w:sz w:val="24"/>
                <w:szCs w:val="24"/>
                <w:shd w:val="clear" w:color="auto" w:fill="FFFFFF"/>
                <w:lang w:val="en-US"/>
              </w:rPr>
              <w:t>《产业结构调整指导目录（2019年本）》中规定的鼓励类、限制和淘汰类项目，</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r>
              <w:rPr>
                <w:rFonts w:hint="eastAsia" w:hAnsi="宋体"/>
                <w:bCs/>
                <w:sz w:val="24"/>
                <w:szCs w:val="24"/>
                <w:lang w:val="en-US"/>
              </w:rPr>
              <w:t>。</w:t>
            </w:r>
            <w:r>
              <w:rPr>
                <w:rFonts w:hint="eastAsia" w:hAnsi="宋体"/>
                <w:sz w:val="24"/>
                <w:szCs w:val="24"/>
                <w:lang w:val="en-US"/>
              </w:rPr>
              <w:t xml:space="preserve"> </w:t>
            </w:r>
          </w:p>
          <w:p>
            <w:pPr>
              <w:spacing w:line="360" w:lineRule="auto"/>
              <w:ind w:firstLine="480" w:firstLineChars="200"/>
              <w:rPr>
                <w:rFonts w:hAnsi="宋体"/>
                <w:sz w:val="24"/>
                <w:szCs w:val="24"/>
              </w:rPr>
            </w:pPr>
            <w:r>
              <w:rPr>
                <w:rFonts w:hAnsi="宋体"/>
                <w:sz w:val="24"/>
                <w:szCs w:val="24"/>
              </w:rPr>
              <w:t>因此，本项目符合国家和地方产业政策。</w:t>
            </w:r>
          </w:p>
          <w:p>
            <w:pPr>
              <w:spacing w:line="360" w:lineRule="auto"/>
              <w:ind w:firstLine="482" w:firstLineChars="200"/>
              <w:rPr>
                <w:rFonts w:hAnsi="宋体"/>
                <w:sz w:val="24"/>
              </w:rPr>
            </w:pPr>
            <w:r>
              <w:rPr>
                <w:rFonts w:hint="eastAsia"/>
                <w:b/>
                <w:sz w:val="24"/>
                <w:szCs w:val="24"/>
                <w:lang w:val="en-US"/>
              </w:rPr>
              <w:t>4、项目各种污染物达标排放</w:t>
            </w:r>
          </w:p>
          <w:p>
            <w:pPr>
              <w:spacing w:line="360" w:lineRule="auto"/>
              <w:ind w:firstLine="480" w:firstLineChars="200"/>
              <w:rPr>
                <w:rFonts w:hAnsi="宋体"/>
                <w:sz w:val="24"/>
                <w:lang w:val="en-US"/>
              </w:rPr>
            </w:pPr>
            <w:r>
              <w:rPr>
                <w:rFonts w:hint="eastAsia"/>
                <w:sz w:val="24"/>
                <w:lang w:val="en-US"/>
              </w:rPr>
              <w:t>项目</w:t>
            </w:r>
            <w:r>
              <w:rPr>
                <w:rFonts w:hint="eastAsia"/>
                <w:sz w:val="24"/>
              </w:rPr>
              <w:t>目所在区域属于</w:t>
            </w:r>
            <w:r>
              <w:rPr>
                <w:rFonts w:hint="eastAsia"/>
                <w:sz w:val="24"/>
                <w:lang w:val="en-US"/>
              </w:rPr>
              <w:t>大气</w:t>
            </w:r>
            <w:r>
              <w:rPr>
                <w:rFonts w:hint="eastAsia"/>
                <w:sz w:val="24"/>
              </w:rPr>
              <w:t>不达标区域，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sz w:val="24"/>
                <w:lang w:val="en-US"/>
              </w:rPr>
              <w:t>，水环境质量除NH</w:t>
            </w:r>
            <w:r>
              <w:rPr>
                <w:rFonts w:hAnsi="宋体"/>
                <w:sz w:val="24"/>
                <w:vertAlign w:val="subscript"/>
                <w:lang w:val="en-US"/>
              </w:rPr>
              <w:t>3</w:t>
            </w:r>
            <w:r>
              <w:rPr>
                <w:rFonts w:hAnsi="宋体"/>
                <w:sz w:val="24"/>
                <w:lang w:val="en-US"/>
              </w:rPr>
              <w:t>-N</w:t>
            </w:r>
            <w:r>
              <w:rPr>
                <w:rFonts w:hint="eastAsia" w:hAnsi="宋体"/>
                <w:sz w:val="24"/>
                <w:lang w:val="en-US"/>
              </w:rPr>
              <w:t>、</w:t>
            </w:r>
            <w:r>
              <w:rPr>
                <w:rFonts w:hint="eastAsia" w:hAnsi="宋体"/>
                <w:sz w:val="24"/>
              </w:rPr>
              <w:t>高锰酸盐指数、DO</w:t>
            </w:r>
            <w:r>
              <w:rPr>
                <w:rFonts w:hAnsi="宋体"/>
                <w:sz w:val="24"/>
                <w:lang w:val="en-US"/>
              </w:rPr>
              <w:t>超标外满足《地表水环境质量标准》（GB3838-2002）中Ⅲ类水质标准，</w:t>
            </w:r>
            <w:r>
              <w:rPr>
                <w:rFonts w:hint="eastAsia" w:hAnsi="宋体"/>
                <w:sz w:val="24"/>
                <w:lang w:val="en-US"/>
              </w:rPr>
              <w:t>本项目无生产废水产生及排放，生活污水接入管网至宜兴市华骐污水处理有限公司处理，对评价区水环境影响较小。</w:t>
            </w:r>
            <w:r>
              <w:rPr>
                <w:rFonts w:hint="eastAsia" w:hAnsi="宋体"/>
                <w:sz w:val="24"/>
              </w:rPr>
              <w:t>各厂界</w:t>
            </w:r>
            <w:r>
              <w:rPr>
                <w:rFonts w:hAnsi="宋体"/>
                <w:sz w:val="24"/>
              </w:rPr>
              <w:t>声环境质量</w:t>
            </w:r>
            <w:r>
              <w:rPr>
                <w:rFonts w:hint="eastAsia" w:hAnsi="宋体"/>
                <w:sz w:val="24"/>
              </w:rPr>
              <w:t>满足《声环境质量标准》（GB3096-2008）中3类标准，即昼间65dB(A)，夜间55dB(A)</w:t>
            </w:r>
            <w:r>
              <w:rPr>
                <w:rFonts w:hAnsi="宋体"/>
                <w:sz w:val="24"/>
                <w:lang w:val="en-US"/>
              </w:rPr>
              <w:t>。</w:t>
            </w:r>
          </w:p>
          <w:p>
            <w:pPr>
              <w:spacing w:line="360" w:lineRule="auto"/>
              <w:ind w:firstLine="482" w:firstLineChars="200"/>
              <w:jc w:val="left"/>
              <w:rPr>
                <w:b/>
                <w:sz w:val="24"/>
              </w:rPr>
            </w:pPr>
            <w:r>
              <w:rPr>
                <w:rFonts w:hint="eastAsia"/>
                <w:b/>
                <w:sz w:val="24"/>
              </w:rPr>
              <w:t>5</w:t>
            </w:r>
            <w:r>
              <w:rPr>
                <w:b/>
                <w:sz w:val="24"/>
              </w:rPr>
              <w:t>、</w:t>
            </w:r>
            <w:r>
              <w:rPr>
                <w:rFonts w:hint="eastAsia"/>
                <w:b/>
                <w:sz w:val="24"/>
              </w:rPr>
              <w:t>项目排放的各种污染物对环境的影响</w:t>
            </w:r>
          </w:p>
          <w:p>
            <w:pPr>
              <w:spacing w:line="360" w:lineRule="auto"/>
              <w:ind w:firstLine="480" w:firstLineChars="200"/>
              <w:rPr>
                <w:rFonts w:hAnsi="宋体"/>
                <w:kern w:val="0"/>
                <w:sz w:val="24"/>
                <w:szCs w:val="24"/>
              </w:rPr>
            </w:pPr>
            <w:r>
              <w:rPr>
                <w:rFonts w:hint="eastAsia" w:hAnsi="宋体"/>
                <w:kern w:val="0"/>
                <w:sz w:val="24"/>
                <w:szCs w:val="24"/>
              </w:rPr>
              <w:t>废水：本项目无生产废水产生及排放，</w:t>
            </w:r>
            <w:r>
              <w:rPr>
                <w:rFonts w:hint="eastAsia" w:hAnsi="宋体"/>
                <w:kern w:val="0"/>
                <w:sz w:val="24"/>
                <w:szCs w:val="24"/>
                <w:lang w:eastAsia="zh-CN"/>
              </w:rPr>
              <w:t>职工</w:t>
            </w:r>
            <w:r>
              <w:rPr>
                <w:rFonts w:hint="eastAsia" w:hAnsi="宋体"/>
                <w:kern w:val="0"/>
                <w:sz w:val="24"/>
                <w:szCs w:val="24"/>
              </w:rPr>
              <w:t>生活污水经化粪池预处理后接入</w:t>
            </w:r>
            <w:r>
              <w:rPr>
                <w:rFonts w:hint="eastAsia" w:hAnsi="宋体"/>
                <w:kern w:val="0"/>
                <w:sz w:val="24"/>
                <w:szCs w:val="24"/>
                <w:lang w:val="en-US"/>
              </w:rPr>
              <w:t>宜兴市华骐污水处理有限公司</w:t>
            </w:r>
            <w:r>
              <w:rPr>
                <w:rFonts w:hint="eastAsia" w:hAnsi="宋体"/>
                <w:kern w:val="0"/>
                <w:sz w:val="24"/>
                <w:szCs w:val="24"/>
              </w:rPr>
              <w:t>，达标后尾水排入</w:t>
            </w:r>
            <w:r>
              <w:rPr>
                <w:rFonts w:hint="eastAsia" w:hAnsi="宋体"/>
                <w:kern w:val="0"/>
                <w:sz w:val="24"/>
                <w:szCs w:val="24"/>
                <w:lang w:val="en-US"/>
              </w:rPr>
              <w:t>蠡河</w:t>
            </w:r>
            <w:r>
              <w:rPr>
                <w:rFonts w:hint="eastAsia" w:hAnsi="宋体"/>
                <w:kern w:val="0"/>
                <w:sz w:val="24"/>
                <w:szCs w:val="24"/>
              </w:rPr>
              <w:t>。</w:t>
            </w:r>
          </w:p>
          <w:p>
            <w:pPr>
              <w:autoSpaceDE w:val="0"/>
              <w:autoSpaceDN w:val="0"/>
              <w:adjustRightInd w:val="0"/>
              <w:spacing w:line="360" w:lineRule="auto"/>
              <w:ind w:firstLine="480" w:firstLineChars="200"/>
              <w:jc w:val="left"/>
              <w:rPr>
                <w:b/>
                <w:kern w:val="0"/>
                <w:sz w:val="24"/>
                <w:szCs w:val="24"/>
              </w:rPr>
            </w:pPr>
            <w:r>
              <w:rPr>
                <w:rFonts w:hint="eastAsia" w:hAnsi="宋体"/>
                <w:kern w:val="0"/>
                <w:sz w:val="24"/>
                <w:szCs w:val="24"/>
              </w:rPr>
              <w:t>固废：</w:t>
            </w:r>
            <w:r>
              <w:rPr>
                <w:rFonts w:hint="eastAsia"/>
                <w:kern w:val="0"/>
                <w:sz w:val="24"/>
                <w:szCs w:val="24"/>
              </w:rPr>
              <w:t>本项目生产过程产生</w:t>
            </w:r>
            <w:r>
              <w:rPr>
                <w:rFonts w:hint="eastAsia"/>
                <w:kern w:val="0"/>
                <w:sz w:val="24"/>
                <w:szCs w:val="24"/>
                <w:lang w:val="en-US"/>
              </w:rPr>
              <w:t>次品收集后</w:t>
            </w:r>
            <w:r>
              <w:rPr>
                <w:rFonts w:hint="eastAsia"/>
                <w:kern w:val="0"/>
                <w:sz w:val="24"/>
                <w:szCs w:val="24"/>
              </w:rPr>
              <w:t>统一外售；</w:t>
            </w:r>
            <w:r>
              <w:rPr>
                <w:rFonts w:hint="eastAsia"/>
                <w:kern w:val="0"/>
                <w:sz w:val="24"/>
                <w:szCs w:val="24"/>
                <w:lang w:val="en-US"/>
              </w:rPr>
              <w:t>废包装袋收集后</w:t>
            </w:r>
            <w:r>
              <w:rPr>
                <w:rFonts w:hint="eastAsia"/>
                <w:kern w:val="0"/>
                <w:sz w:val="24"/>
                <w:szCs w:val="24"/>
              </w:rPr>
              <w:t>统一外售；</w:t>
            </w:r>
            <w:r>
              <w:rPr>
                <w:rFonts w:hint="eastAsia"/>
                <w:kern w:val="0"/>
                <w:sz w:val="24"/>
                <w:szCs w:val="24"/>
                <w:lang w:val="en-US"/>
              </w:rPr>
              <w:t>收集</w:t>
            </w:r>
            <w:r>
              <w:rPr>
                <w:rFonts w:hint="eastAsia"/>
                <w:kern w:val="0"/>
                <w:sz w:val="24"/>
                <w:szCs w:val="24"/>
              </w:rPr>
              <w:t>粉尘</w:t>
            </w:r>
            <w:r>
              <w:rPr>
                <w:rFonts w:hint="eastAsia"/>
                <w:kern w:val="0"/>
                <w:sz w:val="24"/>
                <w:szCs w:val="24"/>
                <w:lang w:val="en-US"/>
              </w:rPr>
              <w:t>收集后</w:t>
            </w:r>
            <w:r>
              <w:rPr>
                <w:rFonts w:hint="eastAsia"/>
                <w:kern w:val="0"/>
                <w:sz w:val="24"/>
                <w:szCs w:val="24"/>
              </w:rPr>
              <w:t>回用于生产；</w:t>
            </w:r>
            <w:r>
              <w:rPr>
                <w:rFonts w:hint="eastAsia" w:hAnsi="宋体"/>
                <w:kern w:val="0"/>
                <w:sz w:val="24"/>
                <w:szCs w:val="24"/>
              </w:rPr>
              <w:t>职工生活垃圾收集后由环卫部门统一清运。</w:t>
            </w:r>
          </w:p>
          <w:p>
            <w:pPr>
              <w:spacing w:line="360" w:lineRule="auto"/>
              <w:ind w:firstLine="480" w:firstLineChars="200"/>
              <w:rPr>
                <w:rFonts w:hint="eastAsia" w:hAnsi="宋体" w:eastAsia="宋体"/>
                <w:kern w:val="0"/>
                <w:sz w:val="24"/>
                <w:szCs w:val="24"/>
                <w:lang w:val="en-US" w:eastAsia="zh-CN"/>
              </w:rPr>
            </w:pPr>
            <w:r>
              <w:rPr>
                <w:rFonts w:hint="eastAsia" w:hAnsi="宋体"/>
                <w:kern w:val="0"/>
                <w:sz w:val="24"/>
                <w:szCs w:val="24"/>
              </w:rPr>
              <w:t>废气：本项目生产过程中产生废气主要为投料、</w:t>
            </w:r>
            <w:r>
              <w:rPr>
                <w:rFonts w:hint="eastAsia" w:hAnsi="宋体"/>
                <w:kern w:val="0"/>
                <w:sz w:val="24"/>
                <w:szCs w:val="24"/>
                <w:lang w:eastAsia="zh-CN"/>
              </w:rPr>
              <w:t>球磨、</w:t>
            </w:r>
            <w:r>
              <w:rPr>
                <w:rFonts w:hint="eastAsia" w:hAnsi="宋体"/>
                <w:kern w:val="0"/>
                <w:sz w:val="24"/>
                <w:szCs w:val="24"/>
              </w:rPr>
              <w:t>喷雾干燥造粒工序产生的粉颗粒物与天然气燃烧废气，</w:t>
            </w:r>
            <w:r>
              <w:rPr>
                <w:rFonts w:hint="eastAsia"/>
                <w:sz w:val="24"/>
                <w:szCs w:val="24"/>
                <w:lang w:val="en-US"/>
              </w:rPr>
              <w:t>投料</w:t>
            </w:r>
            <w:r>
              <w:rPr>
                <w:rFonts w:hint="eastAsia"/>
                <w:sz w:val="24"/>
                <w:szCs w:val="24"/>
                <w:lang w:val="en-US" w:eastAsia="zh-CN"/>
              </w:rPr>
              <w:t>、球磨</w:t>
            </w:r>
            <w:r>
              <w:rPr>
                <w:rFonts w:hint="eastAsia"/>
                <w:sz w:val="24"/>
                <w:szCs w:val="24"/>
                <w:lang w:val="en-US"/>
              </w:rPr>
              <w:t>工序产生的颗粒物经集气罩收集后通过布袋除尘处理</w:t>
            </w:r>
            <w:r>
              <w:rPr>
                <w:rFonts w:hint="eastAsia"/>
                <w:sz w:val="24"/>
                <w:szCs w:val="24"/>
                <w:lang w:val="en-US" w:eastAsia="zh-CN"/>
              </w:rPr>
              <w:t>，</w:t>
            </w:r>
            <w:r>
              <w:rPr>
                <w:rFonts w:hint="eastAsia"/>
                <w:sz w:val="24"/>
                <w:szCs w:val="24"/>
                <w:lang w:val="en-US"/>
              </w:rPr>
              <w:t>喷雾干燥造粒工序产生的颗粒物全部经收尘管道收集后通过布袋除尘处理</w:t>
            </w:r>
            <w:r>
              <w:rPr>
                <w:rFonts w:hint="eastAsia"/>
                <w:sz w:val="24"/>
                <w:szCs w:val="24"/>
                <w:lang w:val="en-US" w:eastAsia="zh-CN"/>
              </w:rPr>
              <w:t>，</w:t>
            </w:r>
            <w:r>
              <w:rPr>
                <w:rFonts w:hint="eastAsia" w:hAnsi="宋体"/>
                <w:kern w:val="0"/>
                <w:sz w:val="24"/>
                <w:szCs w:val="24"/>
              </w:rPr>
              <w:t>天然气燃烧废气</w:t>
            </w:r>
            <w:r>
              <w:rPr>
                <w:rFonts w:hint="eastAsia" w:hAnsi="宋体"/>
                <w:kern w:val="0"/>
                <w:sz w:val="24"/>
                <w:szCs w:val="24"/>
                <w:lang w:eastAsia="zh-CN"/>
              </w:rPr>
              <w:t>通过</w:t>
            </w:r>
            <w:r>
              <w:rPr>
                <w:rFonts w:hint="eastAsia" w:hAnsi="宋体"/>
                <w:kern w:val="0"/>
                <w:sz w:val="24"/>
                <w:szCs w:val="24"/>
                <w:lang w:val="en-US" w:eastAsia="zh-CN"/>
              </w:rPr>
              <w:t>15m排气筒排放，颗粒物</w:t>
            </w:r>
            <w:r>
              <w:rPr>
                <w:rFonts w:hint="eastAsia" w:hAnsi="宋体"/>
                <w:kern w:val="0"/>
                <w:sz w:val="24"/>
                <w:szCs w:val="24"/>
                <w:lang w:val="en-US"/>
              </w:rPr>
              <w:t>排放浓度和排放速率均满足</w:t>
            </w:r>
            <w:r>
              <w:rPr>
                <w:rFonts w:hint="eastAsia" w:hAnsi="宋体"/>
                <w:bCs/>
                <w:kern w:val="0"/>
                <w:sz w:val="24"/>
                <w:szCs w:val="24"/>
              </w:rPr>
              <w:t>《大气污染物综合排放标准》（GB16297- 1996）二级排放标准</w:t>
            </w:r>
            <w:r>
              <w:rPr>
                <w:rFonts w:hint="eastAsia" w:hAnsi="宋体"/>
                <w:kern w:val="0"/>
                <w:sz w:val="24"/>
                <w:szCs w:val="24"/>
                <w:lang w:val="en-US"/>
              </w:rPr>
              <w:t>；</w:t>
            </w:r>
            <w:r>
              <w:rPr>
                <w:rFonts w:hint="eastAsia" w:hAnsi="宋体"/>
                <w:kern w:val="0"/>
                <w:sz w:val="24"/>
                <w:szCs w:val="24"/>
                <w:lang w:val="en-US" w:eastAsia="zh-CN"/>
              </w:rPr>
              <w:t>天然气燃烧废气NO</w:t>
            </w:r>
            <w:r>
              <w:rPr>
                <w:rFonts w:hint="eastAsia" w:hAnsi="宋体"/>
                <w:kern w:val="0"/>
                <w:sz w:val="24"/>
                <w:szCs w:val="24"/>
                <w:vertAlign w:val="subscript"/>
                <w:lang w:val="en-US" w:eastAsia="zh-CN"/>
              </w:rPr>
              <w:t>X</w:t>
            </w:r>
            <w:r>
              <w:rPr>
                <w:rFonts w:hint="eastAsia" w:hAnsi="宋体"/>
                <w:kern w:val="0"/>
                <w:sz w:val="24"/>
                <w:szCs w:val="24"/>
                <w:lang w:val="en-US" w:eastAsia="zh-CN"/>
              </w:rPr>
              <w:t>、SO</w:t>
            </w:r>
            <w:r>
              <w:rPr>
                <w:rFonts w:hint="eastAsia" w:hAnsi="宋体"/>
                <w:kern w:val="0"/>
                <w:sz w:val="24"/>
                <w:szCs w:val="24"/>
                <w:vertAlign w:val="subscript"/>
                <w:lang w:val="en-US" w:eastAsia="zh-CN"/>
              </w:rPr>
              <w:t>2</w:t>
            </w:r>
            <w:r>
              <w:rPr>
                <w:rFonts w:hint="eastAsia" w:hAnsi="宋体"/>
                <w:kern w:val="0"/>
                <w:sz w:val="24"/>
                <w:szCs w:val="24"/>
                <w:lang w:val="en-US"/>
              </w:rPr>
              <w:t>排放浓度满足</w:t>
            </w:r>
            <w:r>
              <w:rPr>
                <w:rFonts w:hAnsi="宋体"/>
                <w:bCs/>
                <w:kern w:val="0"/>
                <w:sz w:val="24"/>
                <w:szCs w:val="24"/>
              </w:rPr>
              <w:t>《陶瓷工业污染物排放标准》（GB25464-2010）及《陶瓷工业污染物排放标准》（GB25464-2010）修改单（2014 年第 83 号文）</w:t>
            </w:r>
            <w:r>
              <w:rPr>
                <w:rFonts w:hint="eastAsia" w:hAnsi="宋体"/>
                <w:kern w:val="0"/>
                <w:sz w:val="24"/>
                <w:szCs w:val="24"/>
                <w:lang w:val="en-US"/>
              </w:rPr>
              <w:t>中相关标准</w:t>
            </w:r>
            <w:r>
              <w:rPr>
                <w:rFonts w:hint="eastAsia" w:hAnsi="宋体"/>
                <w:kern w:val="0"/>
                <w:sz w:val="24"/>
                <w:szCs w:val="24"/>
                <w:lang w:val="en-US" w:eastAsia="zh-CN"/>
              </w:rPr>
              <w:t>。</w:t>
            </w:r>
          </w:p>
          <w:p>
            <w:pPr>
              <w:spacing w:line="360" w:lineRule="auto"/>
              <w:ind w:firstLine="480" w:firstLineChars="200"/>
              <w:rPr>
                <w:rFonts w:hint="eastAsia" w:hAnsi="宋体"/>
                <w:kern w:val="0"/>
                <w:sz w:val="24"/>
                <w:szCs w:val="24"/>
              </w:rPr>
            </w:pPr>
            <w:r>
              <w:rPr>
                <w:rFonts w:hint="eastAsia" w:hAnsi="宋体"/>
                <w:kern w:val="0"/>
                <w:sz w:val="24"/>
                <w:szCs w:val="24"/>
              </w:rPr>
              <w:t>噪声：本项目生产设备选用低噪声设备，经设备增设防震垫，合理布局、车间墙体、厂界采用实心隔音墙，绿化带等进行隔声降噪，厂界噪声可完全满足环境功能区要求。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sz w:val="24"/>
                <w:lang w:eastAsia="zh-CN"/>
              </w:rPr>
            </w:pPr>
            <w:r>
              <w:rPr>
                <w:rFonts w:hint="eastAsia"/>
                <w:b/>
                <w:sz w:val="24"/>
                <w:lang w:val="en-US" w:eastAsia="zh-CN"/>
              </w:rPr>
              <w:t>6、</w:t>
            </w:r>
            <w:r>
              <w:rPr>
                <w:rFonts w:hint="eastAsia" w:hAnsi="宋体"/>
                <w:b/>
                <w:sz w:val="24"/>
                <w:lang w:eastAsia="zh-CN"/>
              </w:rPr>
              <w:t>公众参与调查</w:t>
            </w:r>
          </w:p>
          <w:p>
            <w:pPr>
              <w:pStyle w:val="161"/>
              <w:snapToGrid w:val="0"/>
              <w:spacing w:line="360" w:lineRule="auto"/>
              <w:ind w:left="0" w:right="0" w:firstLine="480" w:firstLineChars="200"/>
              <w:jc w:val="both"/>
              <w:rPr>
                <w:rFonts w:hint="eastAsia" w:hAnsi="宋体"/>
              </w:rPr>
            </w:pPr>
            <w:r>
              <w:rPr>
                <w:rFonts w:hint="eastAsia" w:hAnsi="宋体"/>
              </w:rPr>
              <w:t>建设单位在本次环境影响评价进行过程中按照《环境影响评价公众参与暂行办法》进行了网络公示，并在公示后以发放公众参与调查表的形式开展了调查。</w:t>
            </w:r>
          </w:p>
          <w:p>
            <w:pPr>
              <w:pStyle w:val="161"/>
              <w:snapToGrid w:val="0"/>
              <w:spacing w:line="360" w:lineRule="auto"/>
              <w:ind w:left="0" w:leftChars="0" w:right="0" w:firstLine="0" w:firstLineChars="0"/>
              <w:jc w:val="both"/>
              <w:rPr>
                <w:rFonts w:hint="eastAsia" w:hAnsi="宋体"/>
              </w:rPr>
            </w:pPr>
            <w:r>
              <w:rPr>
                <w:rFonts w:hint="eastAsia" w:hAnsi="宋体"/>
              </w:rPr>
              <w:t>建设单位现场发放公众问</w:t>
            </w:r>
            <w:r>
              <w:rPr>
                <w:rFonts w:hint="eastAsia" w:hAnsi="宋体"/>
                <w:color w:val="000000"/>
              </w:rPr>
              <w:t>卷</w:t>
            </w:r>
            <w:r>
              <w:rPr>
                <w:rFonts w:hint="eastAsia" w:hAnsi="宋体"/>
                <w:color w:val="000000"/>
                <w:lang w:val="en-US" w:eastAsia="zh-CN"/>
              </w:rPr>
              <w:t>6</w:t>
            </w:r>
            <w:r>
              <w:rPr>
                <w:rFonts w:hint="eastAsia" w:hAnsi="宋体"/>
                <w:color w:val="000000"/>
              </w:rPr>
              <w:t>份，回收有效问卷合计</w:t>
            </w:r>
            <w:r>
              <w:rPr>
                <w:rFonts w:hint="eastAsia" w:hAnsi="宋体"/>
                <w:color w:val="000000"/>
                <w:lang w:val="en-US" w:eastAsia="zh-CN"/>
              </w:rPr>
              <w:t>6</w:t>
            </w:r>
            <w:r>
              <w:rPr>
                <w:rFonts w:hint="eastAsia" w:hAnsi="宋体"/>
                <w:color w:val="000000"/>
              </w:rPr>
              <w:t>份，所有调查者均支</w:t>
            </w:r>
            <w:r>
              <w:rPr>
                <w:rFonts w:hint="eastAsia" w:hAnsi="宋体"/>
              </w:rPr>
              <w:t>持该项目建设，无人持反对意见。建设单位在项目设计过程中充分考虑了公众提出的建议，采纳内容如下：1）建设单位高度重视环保工作，不断改进和优化生产工况，不断进行污染防止措施的优化与升级，以减少各类污染物的排放，减轻对环境的影响；2）建设单位承诺将认真落实项目设计及环境影响评价中提出的污染防治措施，做到节能减排、达标排放；3）建设单位将不断完善环境管理体系，强化企业的环境管理，增强职工的环保意识。</w:t>
            </w:r>
          </w:p>
          <w:p>
            <w:pPr>
              <w:spacing w:line="360" w:lineRule="auto"/>
              <w:ind w:firstLine="482" w:firstLineChars="200"/>
              <w:rPr>
                <w:rFonts w:hAnsi="宋体"/>
                <w:b/>
                <w:sz w:val="24"/>
                <w:szCs w:val="24"/>
              </w:rPr>
            </w:pPr>
            <w:r>
              <w:rPr>
                <w:rFonts w:hint="eastAsia"/>
                <w:b/>
                <w:sz w:val="24"/>
                <w:lang w:val="en-US" w:eastAsia="zh-CN"/>
              </w:rPr>
              <w:t>7</w:t>
            </w:r>
            <w:r>
              <w:rPr>
                <w:rFonts w:hint="eastAsia"/>
                <w:b/>
                <w:sz w:val="24"/>
              </w:rPr>
              <w:t>、总</w:t>
            </w:r>
            <w:r>
              <w:rPr>
                <w:rFonts w:hAnsi="宋体"/>
                <w:b/>
                <w:sz w:val="24"/>
                <w:szCs w:val="24"/>
              </w:rPr>
              <w:t>量控制</w:t>
            </w:r>
          </w:p>
          <w:p>
            <w:pPr>
              <w:snapToGrid w:val="0"/>
              <w:spacing w:line="360" w:lineRule="auto"/>
              <w:ind w:firstLine="480" w:firstLineChars="200"/>
              <w:rPr>
                <w:rFonts w:hint="eastAsia" w:eastAsia="宋体"/>
                <w:kern w:val="0"/>
                <w:sz w:val="24"/>
                <w:szCs w:val="24"/>
                <w:lang w:eastAsia="zh-CN"/>
              </w:rPr>
            </w:pPr>
            <w:r>
              <w:rPr>
                <w:rFonts w:hint="eastAsia"/>
                <w:kern w:val="0"/>
                <w:sz w:val="24"/>
                <w:szCs w:val="24"/>
              </w:rPr>
              <w:t>废气：</w:t>
            </w:r>
            <w:r>
              <w:rPr>
                <w:rFonts w:hint="eastAsia"/>
                <w:kern w:val="0"/>
                <w:sz w:val="24"/>
                <w:szCs w:val="24"/>
                <w:lang w:eastAsia="zh-CN"/>
              </w:rPr>
              <w:t>本项目</w:t>
            </w:r>
            <w:r>
              <w:rPr>
                <w:rFonts w:hint="eastAsia"/>
                <w:kern w:val="0"/>
                <w:sz w:val="24"/>
                <w:szCs w:val="24"/>
              </w:rPr>
              <w:t>颗粒物有组织排放量</w:t>
            </w:r>
            <w:r>
              <w:rPr>
                <w:kern w:val="0"/>
                <w:sz w:val="24"/>
                <w:szCs w:val="24"/>
              </w:rPr>
              <w:t>0.</w:t>
            </w:r>
            <w:r>
              <w:rPr>
                <w:rFonts w:hint="eastAsia"/>
                <w:kern w:val="0"/>
                <w:sz w:val="24"/>
                <w:szCs w:val="24"/>
                <w:lang w:val="en-US" w:eastAsia="zh-CN"/>
              </w:rPr>
              <w:t>113</w:t>
            </w:r>
            <w:r>
              <w:rPr>
                <w:kern w:val="0"/>
                <w:sz w:val="24"/>
                <w:szCs w:val="24"/>
              </w:rPr>
              <w:t>t/a</w:t>
            </w:r>
            <w:r>
              <w:rPr>
                <w:rFonts w:hint="eastAsia"/>
                <w:kern w:val="0"/>
                <w:sz w:val="24"/>
                <w:szCs w:val="24"/>
              </w:rPr>
              <w:t>，</w:t>
            </w:r>
            <w:r>
              <w:rPr>
                <w:kern w:val="0"/>
                <w:sz w:val="24"/>
                <w:szCs w:val="24"/>
              </w:rPr>
              <w:t>NO</w:t>
            </w:r>
            <w:r>
              <w:rPr>
                <w:kern w:val="0"/>
                <w:sz w:val="24"/>
                <w:szCs w:val="24"/>
                <w:vertAlign w:val="subscript"/>
              </w:rPr>
              <w:t>X</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0.75</w:t>
            </w:r>
            <w:r>
              <w:rPr>
                <w:kern w:val="0"/>
                <w:sz w:val="24"/>
                <w:szCs w:val="24"/>
              </w:rPr>
              <w:t xml:space="preserve">t/a </w:t>
            </w:r>
            <w:r>
              <w:rPr>
                <w:rFonts w:hint="eastAsia"/>
                <w:kern w:val="0"/>
                <w:sz w:val="24"/>
                <w:szCs w:val="24"/>
              </w:rPr>
              <w:t>、</w:t>
            </w:r>
            <w:r>
              <w:rPr>
                <w:kern w:val="0"/>
                <w:sz w:val="24"/>
                <w:szCs w:val="24"/>
              </w:rPr>
              <w:t>SO</w:t>
            </w:r>
            <w:r>
              <w:rPr>
                <w:kern w:val="0"/>
                <w:sz w:val="24"/>
                <w:szCs w:val="24"/>
                <w:vertAlign w:val="subscript"/>
              </w:rPr>
              <w:t>2</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0.16</w:t>
            </w:r>
            <w:r>
              <w:rPr>
                <w:kern w:val="0"/>
                <w:sz w:val="24"/>
                <w:szCs w:val="24"/>
              </w:rPr>
              <w:t xml:space="preserve"> t/a</w:t>
            </w:r>
            <w:r>
              <w:rPr>
                <w:rFonts w:hint="eastAsia"/>
                <w:kern w:val="0"/>
                <w:sz w:val="24"/>
                <w:szCs w:val="24"/>
              </w:rPr>
              <w:t>、颗粒物无组织排放量</w:t>
            </w:r>
            <w:r>
              <w:rPr>
                <w:kern w:val="0"/>
                <w:sz w:val="24"/>
                <w:szCs w:val="24"/>
              </w:rPr>
              <w:t>0.</w:t>
            </w:r>
            <w:r>
              <w:rPr>
                <w:rFonts w:hint="eastAsia"/>
                <w:kern w:val="0"/>
                <w:sz w:val="24"/>
                <w:szCs w:val="24"/>
                <w:lang w:val="en-US" w:eastAsia="zh-CN"/>
              </w:rPr>
              <w:t>11</w:t>
            </w:r>
            <w:r>
              <w:rPr>
                <w:kern w:val="0"/>
                <w:sz w:val="24"/>
                <w:szCs w:val="24"/>
              </w:rPr>
              <w:t xml:space="preserve"> t/a</w:t>
            </w:r>
            <w:r>
              <w:rPr>
                <w:rFonts w:hint="eastAsia"/>
                <w:kern w:val="0"/>
                <w:sz w:val="24"/>
                <w:szCs w:val="24"/>
              </w:rPr>
              <w:t>。</w:t>
            </w:r>
            <w:r>
              <w:rPr>
                <w:rFonts w:hint="eastAsia"/>
                <w:kern w:val="0"/>
                <w:sz w:val="24"/>
                <w:szCs w:val="24"/>
                <w:lang w:eastAsia="zh-CN"/>
              </w:rPr>
              <w:t>改建后全厂</w:t>
            </w:r>
            <w:r>
              <w:rPr>
                <w:rFonts w:hint="eastAsia"/>
                <w:kern w:val="0"/>
                <w:sz w:val="24"/>
                <w:szCs w:val="24"/>
              </w:rPr>
              <w:t>颗粒物有组织排放量</w:t>
            </w:r>
            <w:r>
              <w:rPr>
                <w:kern w:val="0"/>
                <w:sz w:val="24"/>
                <w:szCs w:val="24"/>
              </w:rPr>
              <w:t>0.</w:t>
            </w:r>
            <w:r>
              <w:rPr>
                <w:rFonts w:hint="eastAsia"/>
                <w:kern w:val="0"/>
                <w:sz w:val="24"/>
                <w:szCs w:val="24"/>
                <w:lang w:val="en-US" w:eastAsia="zh-CN"/>
              </w:rPr>
              <w:t>155</w:t>
            </w:r>
            <w:r>
              <w:rPr>
                <w:kern w:val="0"/>
                <w:sz w:val="24"/>
                <w:szCs w:val="24"/>
              </w:rPr>
              <w:t>t/a</w:t>
            </w:r>
            <w:r>
              <w:rPr>
                <w:rFonts w:hint="eastAsia"/>
                <w:kern w:val="0"/>
                <w:sz w:val="24"/>
                <w:szCs w:val="24"/>
              </w:rPr>
              <w:t>，</w:t>
            </w:r>
            <w:r>
              <w:rPr>
                <w:kern w:val="0"/>
                <w:sz w:val="24"/>
                <w:szCs w:val="24"/>
              </w:rPr>
              <w:t>NO</w:t>
            </w:r>
            <w:r>
              <w:rPr>
                <w:kern w:val="0"/>
                <w:sz w:val="24"/>
                <w:szCs w:val="24"/>
                <w:vertAlign w:val="subscript"/>
              </w:rPr>
              <w:t>X</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1.278</w:t>
            </w:r>
            <w:r>
              <w:rPr>
                <w:kern w:val="0"/>
                <w:sz w:val="24"/>
                <w:szCs w:val="24"/>
              </w:rPr>
              <w:t xml:space="preserve">t/a </w:t>
            </w:r>
            <w:r>
              <w:rPr>
                <w:rFonts w:hint="eastAsia"/>
                <w:kern w:val="0"/>
                <w:sz w:val="24"/>
                <w:szCs w:val="24"/>
              </w:rPr>
              <w:t>、</w:t>
            </w:r>
            <w:r>
              <w:rPr>
                <w:kern w:val="0"/>
                <w:sz w:val="24"/>
                <w:szCs w:val="24"/>
              </w:rPr>
              <w:t>SO</w:t>
            </w:r>
            <w:r>
              <w:rPr>
                <w:kern w:val="0"/>
                <w:sz w:val="24"/>
                <w:szCs w:val="24"/>
                <w:vertAlign w:val="subscript"/>
              </w:rPr>
              <w:t>2</w:t>
            </w:r>
            <w:r>
              <w:rPr>
                <w:rFonts w:hint="eastAsia"/>
                <w:kern w:val="0"/>
                <w:sz w:val="24"/>
                <w:szCs w:val="24"/>
                <w:vertAlign w:val="baseline"/>
                <w:lang w:eastAsia="zh-CN"/>
              </w:rPr>
              <w:t>有组织</w:t>
            </w:r>
            <w:r>
              <w:rPr>
                <w:rFonts w:hint="eastAsia"/>
                <w:kern w:val="0"/>
                <w:sz w:val="24"/>
                <w:szCs w:val="24"/>
              </w:rPr>
              <w:t>排放量</w:t>
            </w:r>
            <w:r>
              <w:rPr>
                <w:rFonts w:hint="eastAsia"/>
                <w:kern w:val="0"/>
                <w:sz w:val="24"/>
                <w:szCs w:val="24"/>
                <w:lang w:val="en-US" w:eastAsia="zh-CN"/>
              </w:rPr>
              <w:t>0.172</w:t>
            </w:r>
            <w:r>
              <w:rPr>
                <w:kern w:val="0"/>
                <w:sz w:val="24"/>
                <w:szCs w:val="24"/>
              </w:rPr>
              <w:t xml:space="preserve"> t/a</w:t>
            </w:r>
            <w:r>
              <w:rPr>
                <w:rFonts w:hint="eastAsia"/>
                <w:kern w:val="0"/>
                <w:sz w:val="24"/>
                <w:szCs w:val="24"/>
              </w:rPr>
              <w:t>、颗粒物无组织排放量</w:t>
            </w:r>
            <w:r>
              <w:rPr>
                <w:kern w:val="0"/>
                <w:sz w:val="24"/>
                <w:szCs w:val="24"/>
              </w:rPr>
              <w:t>0.</w:t>
            </w:r>
            <w:r>
              <w:rPr>
                <w:rFonts w:hint="eastAsia"/>
                <w:kern w:val="0"/>
                <w:sz w:val="24"/>
                <w:szCs w:val="24"/>
                <w:lang w:val="en-US" w:eastAsia="zh-CN"/>
              </w:rPr>
              <w:t>11</w:t>
            </w:r>
            <w:r>
              <w:rPr>
                <w:kern w:val="0"/>
                <w:sz w:val="24"/>
                <w:szCs w:val="24"/>
              </w:rPr>
              <w:t xml:space="preserve"> t/a</w:t>
            </w:r>
            <w:r>
              <w:rPr>
                <w:rFonts w:hint="eastAsia"/>
                <w:kern w:val="0"/>
                <w:sz w:val="24"/>
                <w:szCs w:val="24"/>
              </w:rPr>
              <w:t>。</w:t>
            </w:r>
          </w:p>
          <w:p>
            <w:pPr>
              <w:snapToGrid w:val="0"/>
              <w:spacing w:line="360" w:lineRule="auto"/>
              <w:ind w:firstLine="480" w:firstLineChars="200"/>
              <w:rPr>
                <w:kern w:val="0"/>
                <w:sz w:val="24"/>
                <w:szCs w:val="24"/>
              </w:rPr>
            </w:pPr>
            <w:r>
              <w:rPr>
                <w:rFonts w:hint="eastAsia"/>
                <w:kern w:val="0"/>
                <w:sz w:val="24"/>
                <w:szCs w:val="24"/>
                <w:lang w:eastAsia="zh-CN"/>
              </w:rPr>
              <w:t>本项目废水</w:t>
            </w:r>
            <w:r>
              <w:rPr>
                <w:rFonts w:hint="eastAsia"/>
                <w:kern w:val="0"/>
                <w:sz w:val="24"/>
                <w:szCs w:val="24"/>
              </w:rPr>
              <w:t>纳管考核指标分别为：</w:t>
            </w:r>
            <w:r>
              <w:rPr>
                <w:rFonts w:hint="eastAsia"/>
                <w:kern w:val="0"/>
                <w:sz w:val="24"/>
                <w:szCs w:val="24"/>
                <w:lang w:eastAsia="zh-CN"/>
              </w:rPr>
              <w:t>废</w:t>
            </w:r>
            <w:r>
              <w:rPr>
                <w:rFonts w:hint="eastAsia"/>
                <w:kern w:val="0"/>
                <w:sz w:val="24"/>
                <w:szCs w:val="24"/>
              </w:rPr>
              <w:t>水量</w:t>
            </w:r>
            <w:r>
              <w:rPr>
                <w:rFonts w:hint="eastAsia"/>
                <w:kern w:val="0"/>
                <w:sz w:val="24"/>
                <w:szCs w:val="24"/>
                <w:lang w:val="en-US" w:eastAsia="zh-CN"/>
              </w:rPr>
              <w:t>99.84</w:t>
            </w:r>
            <w:r>
              <w:rPr>
                <w:rFonts w:hint="eastAsia"/>
                <w:kern w:val="0"/>
                <w:sz w:val="24"/>
                <w:szCs w:val="24"/>
              </w:rPr>
              <w:t>t/a，CODCr：</w:t>
            </w:r>
            <w:r>
              <w:rPr>
                <w:rFonts w:hint="eastAsia"/>
                <w:kern w:val="0"/>
                <w:sz w:val="24"/>
                <w:szCs w:val="24"/>
                <w:lang w:val="en-US" w:eastAsia="zh-CN"/>
              </w:rPr>
              <w:t>0.035</w:t>
            </w:r>
            <w:r>
              <w:rPr>
                <w:rFonts w:hint="eastAsia"/>
                <w:kern w:val="0"/>
                <w:sz w:val="24"/>
                <w:szCs w:val="24"/>
              </w:rPr>
              <w:t>t/a</w:t>
            </w:r>
            <w:r>
              <w:rPr>
                <w:rFonts w:hint="eastAsia"/>
                <w:kern w:val="0"/>
                <w:sz w:val="24"/>
                <w:szCs w:val="24"/>
                <w:lang w:val="en-US"/>
              </w:rPr>
              <w:t>、</w:t>
            </w:r>
            <w:r>
              <w:rPr>
                <w:rFonts w:hint="eastAsia"/>
                <w:kern w:val="0"/>
                <w:sz w:val="24"/>
                <w:szCs w:val="24"/>
              </w:rPr>
              <w:t>SS 0.</w:t>
            </w:r>
            <w:r>
              <w:rPr>
                <w:rFonts w:hint="eastAsia"/>
                <w:kern w:val="0"/>
                <w:sz w:val="24"/>
                <w:szCs w:val="24"/>
                <w:lang w:val="en-US" w:eastAsia="zh-CN"/>
              </w:rPr>
              <w:t>02</w:t>
            </w:r>
            <w:r>
              <w:rPr>
                <w:rFonts w:hint="eastAsia"/>
                <w:kern w:val="0"/>
                <w:sz w:val="24"/>
                <w:szCs w:val="24"/>
              </w:rPr>
              <w:t>t/a</w:t>
            </w:r>
            <w:r>
              <w:rPr>
                <w:rFonts w:hint="eastAsia"/>
                <w:kern w:val="0"/>
                <w:sz w:val="24"/>
                <w:szCs w:val="24"/>
                <w:lang w:val="en-US"/>
              </w:rPr>
              <w:t>、</w:t>
            </w:r>
            <w:r>
              <w:rPr>
                <w:rFonts w:hint="eastAsia"/>
                <w:kern w:val="0"/>
                <w:sz w:val="24"/>
                <w:szCs w:val="24"/>
              </w:rPr>
              <w:t>NH3-N</w:t>
            </w:r>
            <w:r>
              <w:rPr>
                <w:rFonts w:hint="eastAsia"/>
                <w:kern w:val="0"/>
                <w:sz w:val="24"/>
                <w:szCs w:val="24"/>
                <w:lang w:val="en-US" w:eastAsia="zh-CN"/>
              </w:rPr>
              <w:t xml:space="preserve"> 0.0035</w:t>
            </w:r>
            <w:r>
              <w:rPr>
                <w:rFonts w:hint="eastAsia"/>
                <w:kern w:val="0"/>
                <w:sz w:val="24"/>
                <w:szCs w:val="24"/>
              </w:rPr>
              <w:t>t/a</w:t>
            </w:r>
            <w:r>
              <w:rPr>
                <w:rFonts w:hint="eastAsia"/>
                <w:kern w:val="0"/>
                <w:sz w:val="24"/>
                <w:szCs w:val="24"/>
                <w:lang w:val="en-US"/>
              </w:rPr>
              <w:t>、</w:t>
            </w:r>
            <w:r>
              <w:rPr>
                <w:rFonts w:hint="eastAsia"/>
                <w:kern w:val="0"/>
                <w:sz w:val="24"/>
                <w:szCs w:val="24"/>
              </w:rPr>
              <w:t>TP 0.00</w:t>
            </w:r>
            <w:r>
              <w:rPr>
                <w:rFonts w:hint="eastAsia"/>
                <w:kern w:val="0"/>
                <w:sz w:val="24"/>
                <w:szCs w:val="24"/>
                <w:lang w:val="en-US" w:eastAsia="zh-CN"/>
              </w:rPr>
              <w:t>05</w:t>
            </w:r>
            <w:r>
              <w:rPr>
                <w:rFonts w:hint="eastAsia"/>
                <w:kern w:val="0"/>
                <w:sz w:val="24"/>
                <w:szCs w:val="24"/>
              </w:rPr>
              <w:t>t/a，TN</w:t>
            </w:r>
            <w:r>
              <w:rPr>
                <w:rFonts w:hint="eastAsia"/>
                <w:kern w:val="0"/>
                <w:sz w:val="24"/>
                <w:szCs w:val="24"/>
                <w:lang w:val="en-US" w:eastAsia="zh-CN"/>
              </w:rPr>
              <w:t xml:space="preserve"> </w:t>
            </w:r>
            <w:r>
              <w:rPr>
                <w:rFonts w:hint="eastAsia"/>
                <w:kern w:val="0"/>
                <w:sz w:val="24"/>
                <w:szCs w:val="24"/>
              </w:rPr>
              <w:t>0.00</w:t>
            </w:r>
            <w:r>
              <w:rPr>
                <w:rFonts w:hint="eastAsia"/>
                <w:kern w:val="0"/>
                <w:sz w:val="24"/>
                <w:szCs w:val="24"/>
                <w:lang w:val="en-US" w:eastAsia="zh-CN"/>
              </w:rPr>
              <w:t>45</w:t>
            </w:r>
            <w:r>
              <w:rPr>
                <w:rFonts w:hint="eastAsia"/>
                <w:kern w:val="0"/>
                <w:sz w:val="24"/>
                <w:szCs w:val="24"/>
              </w:rPr>
              <w:t>t/a；最终排放量指标分别为：</w:t>
            </w:r>
            <w:r>
              <w:rPr>
                <w:rFonts w:hint="eastAsia"/>
                <w:kern w:val="0"/>
                <w:sz w:val="24"/>
                <w:szCs w:val="24"/>
                <w:lang w:val="en-US"/>
              </w:rPr>
              <w:t>污水量</w:t>
            </w:r>
            <w:r>
              <w:rPr>
                <w:rFonts w:hint="eastAsia"/>
                <w:kern w:val="0"/>
                <w:sz w:val="24"/>
                <w:szCs w:val="24"/>
              </w:rPr>
              <w:t xml:space="preserve">COD </w:t>
            </w:r>
            <w:r>
              <w:rPr>
                <w:rFonts w:hint="eastAsia"/>
                <w:kern w:val="0"/>
                <w:sz w:val="24"/>
                <w:szCs w:val="24"/>
                <w:lang w:val="en-US" w:eastAsia="zh-CN"/>
              </w:rPr>
              <w:t>0.005</w:t>
            </w:r>
            <w:r>
              <w:rPr>
                <w:rFonts w:hint="eastAsia"/>
                <w:kern w:val="0"/>
                <w:sz w:val="24"/>
                <w:szCs w:val="24"/>
              </w:rPr>
              <w:t>t/a</w:t>
            </w:r>
            <w:r>
              <w:rPr>
                <w:rFonts w:hint="eastAsia"/>
                <w:kern w:val="0"/>
                <w:sz w:val="24"/>
                <w:szCs w:val="24"/>
                <w:lang w:val="en-US"/>
              </w:rPr>
              <w:t>、</w:t>
            </w:r>
            <w:r>
              <w:rPr>
                <w:rFonts w:hint="eastAsia"/>
                <w:kern w:val="0"/>
                <w:sz w:val="24"/>
                <w:szCs w:val="24"/>
              </w:rPr>
              <w:t>SS 0.00</w:t>
            </w:r>
            <w:r>
              <w:rPr>
                <w:rFonts w:hint="eastAsia"/>
                <w:kern w:val="0"/>
                <w:sz w:val="24"/>
                <w:szCs w:val="24"/>
                <w:lang w:val="en-US" w:eastAsia="zh-CN"/>
              </w:rPr>
              <w:t>1</w:t>
            </w:r>
            <w:r>
              <w:rPr>
                <w:rFonts w:hint="eastAsia"/>
                <w:kern w:val="0"/>
                <w:sz w:val="24"/>
                <w:szCs w:val="24"/>
              </w:rPr>
              <w:t>t/a</w:t>
            </w:r>
            <w:r>
              <w:rPr>
                <w:rFonts w:hint="eastAsia"/>
                <w:kern w:val="0"/>
                <w:sz w:val="24"/>
                <w:szCs w:val="24"/>
                <w:lang w:val="en-US"/>
              </w:rPr>
              <w:t>、</w:t>
            </w:r>
            <w:r>
              <w:rPr>
                <w:rFonts w:hint="eastAsia"/>
                <w:kern w:val="0"/>
                <w:sz w:val="24"/>
                <w:szCs w:val="24"/>
              </w:rPr>
              <w:t>NH3-N 0.00</w:t>
            </w:r>
            <w:r>
              <w:rPr>
                <w:rFonts w:hint="eastAsia"/>
                <w:kern w:val="0"/>
                <w:sz w:val="24"/>
                <w:szCs w:val="24"/>
                <w:lang w:val="en-US" w:eastAsia="zh-CN"/>
              </w:rPr>
              <w:t>05</w:t>
            </w:r>
            <w:r>
              <w:rPr>
                <w:rFonts w:hint="eastAsia"/>
                <w:kern w:val="0"/>
                <w:sz w:val="24"/>
                <w:szCs w:val="24"/>
              </w:rPr>
              <w:t>t/a</w:t>
            </w:r>
            <w:r>
              <w:rPr>
                <w:rFonts w:hint="eastAsia"/>
                <w:kern w:val="0"/>
                <w:sz w:val="24"/>
                <w:szCs w:val="24"/>
                <w:lang w:val="en-US"/>
              </w:rPr>
              <w:t>、</w:t>
            </w:r>
            <w:r>
              <w:rPr>
                <w:rFonts w:hint="eastAsia"/>
                <w:kern w:val="0"/>
                <w:sz w:val="24"/>
                <w:szCs w:val="24"/>
              </w:rPr>
              <w:t>TP 0.000</w:t>
            </w:r>
            <w:r>
              <w:rPr>
                <w:rFonts w:hint="eastAsia"/>
                <w:kern w:val="0"/>
                <w:sz w:val="24"/>
                <w:szCs w:val="24"/>
                <w:lang w:val="en-US" w:eastAsia="zh-CN"/>
              </w:rPr>
              <w:t>05</w:t>
            </w:r>
            <w:r>
              <w:rPr>
                <w:rFonts w:hint="eastAsia"/>
                <w:kern w:val="0"/>
                <w:sz w:val="24"/>
                <w:szCs w:val="24"/>
              </w:rPr>
              <w:t>t/a、TN0.00</w:t>
            </w:r>
            <w:r>
              <w:rPr>
                <w:rFonts w:hint="eastAsia"/>
                <w:kern w:val="0"/>
                <w:sz w:val="24"/>
                <w:szCs w:val="24"/>
                <w:lang w:val="en-US" w:eastAsia="zh-CN"/>
              </w:rPr>
              <w:t>15</w:t>
            </w:r>
            <w:r>
              <w:rPr>
                <w:rFonts w:hint="eastAsia"/>
                <w:kern w:val="0"/>
                <w:sz w:val="24"/>
                <w:szCs w:val="24"/>
              </w:rPr>
              <w:t xml:space="preserve"> t/a。</w:t>
            </w:r>
            <w:r>
              <w:rPr>
                <w:rFonts w:hint="eastAsia"/>
                <w:kern w:val="0"/>
                <w:sz w:val="24"/>
                <w:szCs w:val="24"/>
                <w:lang w:eastAsia="zh-CN"/>
              </w:rPr>
              <w:t>改建后全厂废</w:t>
            </w:r>
            <w:r>
              <w:rPr>
                <w:rFonts w:hint="eastAsia"/>
                <w:kern w:val="0"/>
                <w:sz w:val="24"/>
                <w:szCs w:val="24"/>
              </w:rPr>
              <w:t>水量</w:t>
            </w:r>
            <w:r>
              <w:rPr>
                <w:rFonts w:hint="eastAsia"/>
                <w:kern w:val="0"/>
                <w:sz w:val="24"/>
                <w:szCs w:val="24"/>
                <w:lang w:val="en-US" w:eastAsia="zh-CN"/>
              </w:rPr>
              <w:t>243.84</w:t>
            </w:r>
            <w:r>
              <w:rPr>
                <w:rFonts w:hint="eastAsia"/>
                <w:kern w:val="0"/>
                <w:sz w:val="24"/>
                <w:szCs w:val="24"/>
              </w:rPr>
              <w:t>t/a，CODCr：</w:t>
            </w:r>
            <w:r>
              <w:rPr>
                <w:rFonts w:hint="eastAsia"/>
                <w:kern w:val="0"/>
                <w:sz w:val="24"/>
                <w:szCs w:val="24"/>
                <w:lang w:val="en-US" w:eastAsia="zh-CN"/>
              </w:rPr>
              <w:t>0.085</w:t>
            </w:r>
            <w:r>
              <w:rPr>
                <w:rFonts w:hint="eastAsia"/>
                <w:kern w:val="0"/>
                <w:sz w:val="24"/>
                <w:szCs w:val="24"/>
              </w:rPr>
              <w:t>t/a</w:t>
            </w:r>
            <w:r>
              <w:rPr>
                <w:rFonts w:hint="eastAsia"/>
                <w:kern w:val="0"/>
                <w:sz w:val="24"/>
                <w:szCs w:val="24"/>
                <w:lang w:val="en-US"/>
              </w:rPr>
              <w:t>、</w:t>
            </w:r>
            <w:r>
              <w:rPr>
                <w:rFonts w:hint="eastAsia"/>
                <w:kern w:val="0"/>
                <w:sz w:val="24"/>
                <w:szCs w:val="24"/>
              </w:rPr>
              <w:t>SS 0.</w:t>
            </w:r>
            <w:r>
              <w:rPr>
                <w:rFonts w:hint="eastAsia"/>
                <w:kern w:val="0"/>
                <w:sz w:val="24"/>
                <w:szCs w:val="24"/>
                <w:lang w:val="en-US" w:eastAsia="zh-CN"/>
              </w:rPr>
              <w:t>049</w:t>
            </w:r>
            <w:r>
              <w:rPr>
                <w:rFonts w:hint="eastAsia"/>
                <w:kern w:val="0"/>
                <w:sz w:val="24"/>
                <w:szCs w:val="24"/>
              </w:rPr>
              <w:t>t/a</w:t>
            </w:r>
            <w:r>
              <w:rPr>
                <w:rFonts w:hint="eastAsia"/>
                <w:kern w:val="0"/>
                <w:sz w:val="24"/>
                <w:szCs w:val="24"/>
                <w:lang w:val="en-US"/>
              </w:rPr>
              <w:t>、</w:t>
            </w:r>
            <w:r>
              <w:rPr>
                <w:rFonts w:hint="eastAsia"/>
                <w:kern w:val="0"/>
                <w:sz w:val="24"/>
                <w:szCs w:val="24"/>
              </w:rPr>
              <w:t>NH3-N</w:t>
            </w:r>
            <w:r>
              <w:rPr>
                <w:rFonts w:hint="eastAsia"/>
                <w:kern w:val="0"/>
                <w:sz w:val="24"/>
                <w:szCs w:val="24"/>
                <w:lang w:val="en-US" w:eastAsia="zh-CN"/>
              </w:rPr>
              <w:t xml:space="preserve"> 0.0085</w:t>
            </w:r>
            <w:r>
              <w:rPr>
                <w:rFonts w:hint="eastAsia"/>
                <w:kern w:val="0"/>
                <w:sz w:val="24"/>
                <w:szCs w:val="24"/>
              </w:rPr>
              <w:t>t/a</w:t>
            </w:r>
            <w:r>
              <w:rPr>
                <w:rFonts w:hint="eastAsia"/>
                <w:kern w:val="0"/>
                <w:sz w:val="24"/>
                <w:szCs w:val="24"/>
                <w:lang w:val="en-US"/>
              </w:rPr>
              <w:t>、</w:t>
            </w:r>
            <w:r>
              <w:rPr>
                <w:rFonts w:hint="eastAsia"/>
                <w:kern w:val="0"/>
                <w:sz w:val="24"/>
                <w:szCs w:val="24"/>
              </w:rPr>
              <w:t>TP 0.00</w:t>
            </w:r>
            <w:r>
              <w:rPr>
                <w:rFonts w:hint="eastAsia"/>
                <w:kern w:val="0"/>
                <w:sz w:val="24"/>
                <w:szCs w:val="24"/>
                <w:lang w:val="en-US" w:eastAsia="zh-CN"/>
              </w:rPr>
              <w:t>12</w:t>
            </w:r>
            <w:r>
              <w:rPr>
                <w:rFonts w:hint="eastAsia"/>
                <w:kern w:val="0"/>
                <w:sz w:val="24"/>
                <w:szCs w:val="24"/>
              </w:rPr>
              <w:t>t/a，TN</w:t>
            </w:r>
            <w:r>
              <w:rPr>
                <w:rFonts w:hint="eastAsia"/>
                <w:kern w:val="0"/>
                <w:sz w:val="24"/>
                <w:szCs w:val="24"/>
                <w:lang w:val="en-US" w:eastAsia="zh-CN"/>
              </w:rPr>
              <w:t xml:space="preserve"> 0.011</w:t>
            </w:r>
            <w:r>
              <w:rPr>
                <w:rFonts w:hint="eastAsia"/>
                <w:kern w:val="0"/>
                <w:sz w:val="24"/>
                <w:szCs w:val="24"/>
              </w:rPr>
              <w:t xml:space="preserve">t/a；最终排放量指标分别为：COD </w:t>
            </w:r>
            <w:r>
              <w:rPr>
                <w:rFonts w:hint="eastAsia"/>
                <w:kern w:val="0"/>
                <w:sz w:val="24"/>
                <w:szCs w:val="24"/>
                <w:lang w:val="en-US" w:eastAsia="zh-CN"/>
              </w:rPr>
              <w:t>0.012</w:t>
            </w:r>
            <w:r>
              <w:rPr>
                <w:rFonts w:hint="eastAsia"/>
                <w:kern w:val="0"/>
                <w:sz w:val="24"/>
                <w:szCs w:val="24"/>
              </w:rPr>
              <w:t>t/a</w:t>
            </w:r>
            <w:r>
              <w:rPr>
                <w:rFonts w:hint="eastAsia"/>
                <w:kern w:val="0"/>
                <w:sz w:val="24"/>
                <w:szCs w:val="24"/>
                <w:lang w:val="en-US"/>
              </w:rPr>
              <w:t>、</w:t>
            </w:r>
            <w:r>
              <w:rPr>
                <w:rFonts w:hint="eastAsia"/>
                <w:kern w:val="0"/>
                <w:sz w:val="24"/>
                <w:szCs w:val="24"/>
              </w:rPr>
              <w:t xml:space="preserve">SS </w:t>
            </w:r>
            <w:r>
              <w:rPr>
                <w:rFonts w:hint="eastAsia"/>
                <w:kern w:val="0"/>
                <w:sz w:val="24"/>
                <w:szCs w:val="24"/>
                <w:lang w:val="en-US" w:eastAsia="zh-CN"/>
              </w:rPr>
              <w:t>0.0022</w:t>
            </w:r>
            <w:r>
              <w:rPr>
                <w:rFonts w:hint="eastAsia"/>
                <w:kern w:val="0"/>
                <w:sz w:val="24"/>
                <w:szCs w:val="24"/>
              </w:rPr>
              <w:t>t/a</w:t>
            </w:r>
            <w:r>
              <w:rPr>
                <w:rFonts w:hint="eastAsia"/>
                <w:kern w:val="0"/>
                <w:sz w:val="24"/>
                <w:szCs w:val="24"/>
                <w:lang w:val="en-US"/>
              </w:rPr>
              <w:t>、</w:t>
            </w:r>
            <w:r>
              <w:rPr>
                <w:rFonts w:hint="eastAsia"/>
                <w:kern w:val="0"/>
                <w:sz w:val="24"/>
                <w:szCs w:val="24"/>
              </w:rPr>
              <w:t xml:space="preserve">NH3-N </w:t>
            </w:r>
            <w:r>
              <w:rPr>
                <w:rFonts w:hint="eastAsia"/>
                <w:kern w:val="0"/>
                <w:sz w:val="24"/>
                <w:szCs w:val="24"/>
                <w:lang w:val="en-US" w:eastAsia="zh-CN"/>
              </w:rPr>
              <w:t>0.0012</w:t>
            </w:r>
            <w:r>
              <w:rPr>
                <w:rFonts w:hint="eastAsia"/>
                <w:kern w:val="0"/>
                <w:sz w:val="24"/>
                <w:szCs w:val="24"/>
              </w:rPr>
              <w:t>t/a</w:t>
            </w:r>
            <w:r>
              <w:rPr>
                <w:rFonts w:hint="eastAsia"/>
                <w:kern w:val="0"/>
                <w:sz w:val="24"/>
                <w:szCs w:val="24"/>
                <w:lang w:val="en-US"/>
              </w:rPr>
              <w:t>、</w:t>
            </w:r>
            <w:r>
              <w:rPr>
                <w:rFonts w:hint="eastAsia"/>
                <w:kern w:val="0"/>
                <w:sz w:val="24"/>
                <w:szCs w:val="24"/>
              </w:rPr>
              <w:t xml:space="preserve">TP </w:t>
            </w:r>
            <w:r>
              <w:rPr>
                <w:rFonts w:hint="eastAsia"/>
                <w:kern w:val="0"/>
                <w:sz w:val="24"/>
                <w:szCs w:val="24"/>
                <w:lang w:val="en-US" w:eastAsia="zh-CN"/>
              </w:rPr>
              <w:t>0.00012</w:t>
            </w:r>
            <w:r>
              <w:rPr>
                <w:rFonts w:hint="eastAsia"/>
                <w:kern w:val="0"/>
                <w:sz w:val="24"/>
                <w:szCs w:val="24"/>
              </w:rPr>
              <w:t>t/a、TN</w:t>
            </w:r>
            <w:r>
              <w:rPr>
                <w:rFonts w:hint="eastAsia"/>
                <w:kern w:val="0"/>
                <w:sz w:val="24"/>
                <w:szCs w:val="24"/>
                <w:lang w:val="en-US" w:eastAsia="zh-CN"/>
              </w:rPr>
              <w:t>0.0037</w:t>
            </w:r>
            <w:r>
              <w:rPr>
                <w:rFonts w:hint="eastAsia"/>
                <w:kern w:val="0"/>
                <w:sz w:val="24"/>
                <w:szCs w:val="24"/>
              </w:rPr>
              <w:t>t/a</w:t>
            </w:r>
            <w:r>
              <w:rPr>
                <w:rFonts w:hint="eastAsia"/>
                <w:sz w:val="24"/>
                <w:szCs w:val="24"/>
              </w:rPr>
              <w:t>。</w:t>
            </w:r>
            <w:r>
              <w:rPr>
                <w:rFonts w:hint="eastAsia"/>
                <w:kern w:val="0"/>
                <w:sz w:val="24"/>
                <w:szCs w:val="24"/>
              </w:rPr>
              <w:t>水污染物总量在宜兴市华骐污水处理有限公司平衡。</w:t>
            </w:r>
          </w:p>
          <w:p>
            <w:pPr>
              <w:pStyle w:val="20"/>
              <w:spacing w:line="360" w:lineRule="auto"/>
              <w:ind w:firstLine="482" w:firstLineChars="200"/>
              <w:rPr>
                <w:rFonts w:hAnsi="宋体"/>
                <w:b/>
                <w:kern w:val="0"/>
                <w:sz w:val="24"/>
                <w:szCs w:val="24"/>
                <w:lang w:val="fi-FI"/>
              </w:rPr>
            </w:pPr>
            <w:r>
              <w:rPr>
                <w:rFonts w:hint="eastAsia" w:hAnsi="宋体"/>
                <w:b/>
                <w:kern w:val="0"/>
                <w:sz w:val="24"/>
                <w:szCs w:val="24"/>
                <w:lang w:val="fi-FI"/>
              </w:rPr>
              <w:t>综上所述，本项目不违反国家产业政策；企业在</w:t>
            </w:r>
            <w:r>
              <w:rPr>
                <w:rFonts w:hint="eastAsia" w:hAnsi="宋体"/>
                <w:b/>
                <w:kern w:val="0"/>
                <w:sz w:val="24"/>
                <w:szCs w:val="24"/>
                <w:lang w:val="fi-FI" w:eastAsia="zh-CN"/>
              </w:rPr>
              <w:t>宜兴市丁蜀镇查林村</w:t>
            </w:r>
            <w:r>
              <w:rPr>
                <w:rFonts w:hint="eastAsia" w:hAnsi="宋体"/>
                <w:b/>
                <w:kern w:val="0"/>
                <w:sz w:val="24"/>
                <w:szCs w:val="24"/>
                <w:lang w:val="fi-FI"/>
              </w:rPr>
              <w:t>，利用原有闲置厂房，符合用地规划的要求；本项目施工期的影响很小，施工结束后其影响随之消失；项目生产运行过程中产生的污染在采取有效的“三废”治理措施之后，对周围环境影响很小，不会改变当地环境质量现状。在各项环保措施真正落实的基础上，从环保的角度出发，本项目的建设是可行的。</w:t>
            </w:r>
          </w:p>
          <w:p>
            <w:pPr>
              <w:snapToGrid w:val="0"/>
              <w:spacing w:line="360" w:lineRule="auto"/>
              <w:rPr>
                <w:b/>
                <w:kern w:val="0"/>
                <w:sz w:val="28"/>
                <w:szCs w:val="28"/>
              </w:rPr>
            </w:pPr>
            <w:r>
              <w:rPr>
                <w:rFonts w:hint="eastAsia"/>
                <w:b/>
                <w:kern w:val="0"/>
                <w:sz w:val="28"/>
                <w:szCs w:val="28"/>
              </w:rPr>
              <w:t>二、</w:t>
            </w:r>
            <w:r>
              <w:rPr>
                <w:rFonts w:hAnsi="宋体"/>
                <w:b/>
                <w:kern w:val="0"/>
                <w:sz w:val="28"/>
                <w:szCs w:val="28"/>
              </w:rPr>
              <w:t>建议与环保要求</w:t>
            </w:r>
          </w:p>
          <w:p>
            <w:pPr>
              <w:spacing w:line="360" w:lineRule="auto"/>
              <w:ind w:firstLine="480" w:firstLineChars="200"/>
              <w:rPr>
                <w:sz w:val="24"/>
                <w:szCs w:val="24"/>
              </w:rPr>
            </w:pPr>
            <w:r>
              <w:rPr>
                <w:rFonts w:hint="eastAsia"/>
                <w:sz w:val="24"/>
                <w:szCs w:val="24"/>
              </w:rPr>
              <w:t xml:space="preserve">1. </w:t>
            </w:r>
            <w:r>
              <w:rPr>
                <w:rFonts w:hint="eastAsia" w:hAnsi="宋体"/>
                <w:sz w:val="24"/>
                <w:szCs w:val="24"/>
              </w:rPr>
              <w:t>加强绿化，以美化工作环境，同时利于吸尘降噪；</w:t>
            </w:r>
          </w:p>
          <w:p>
            <w:pPr>
              <w:pStyle w:val="20"/>
              <w:spacing w:line="360" w:lineRule="auto"/>
              <w:ind w:firstLine="480" w:firstLineChars="20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pPr>
              <w:pStyle w:val="20"/>
              <w:spacing w:line="360" w:lineRule="auto"/>
              <w:ind w:firstLine="480" w:firstLineChars="20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pPr>
              <w:pStyle w:val="20"/>
              <w:spacing w:line="360" w:lineRule="auto"/>
              <w:ind w:firstLine="482" w:firstLineChars="200"/>
              <w:rPr>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Pr>
                <w:rFonts w:hint="eastAsia" w:hAnsi="宋体"/>
                <w:b/>
                <w:kern w:val="0"/>
                <w:sz w:val="24"/>
                <w:szCs w:val="24"/>
                <w:lang w:val="fi-FI" w:eastAsia="zh-CN"/>
              </w:rPr>
              <w:t>宜兴市宜桥陶瓷有限公司</w:t>
            </w:r>
            <w:r>
              <w:rPr>
                <w:rFonts w:hAnsi="宋体"/>
                <w:b/>
                <w:kern w:val="0"/>
                <w:sz w:val="24"/>
                <w:szCs w:val="24"/>
                <w:lang w:val="fi-FI"/>
              </w:rPr>
              <w:t>的</w:t>
            </w:r>
            <w:r>
              <w:rPr>
                <w:b/>
                <w:kern w:val="0"/>
                <w:sz w:val="24"/>
                <w:szCs w:val="24"/>
                <w:lang w:val="fi-FI"/>
              </w:rPr>
              <w:t>“</w:t>
            </w:r>
            <w:r>
              <w:rPr>
                <w:rFonts w:hint="eastAsia"/>
                <w:b/>
                <w:kern w:val="0"/>
                <w:sz w:val="24"/>
                <w:szCs w:val="24"/>
                <w:lang w:val="fi-FI" w:eastAsia="zh-CN"/>
              </w:rPr>
              <w:t>陶瓷制品的制造</w:t>
            </w:r>
            <w:r>
              <w:rPr>
                <w:b/>
                <w:kern w:val="0"/>
                <w:sz w:val="24"/>
                <w:szCs w:val="24"/>
                <w:lang w:val="fi-FI"/>
              </w:rPr>
              <w:t>”</w:t>
            </w:r>
            <w:r>
              <w:rPr>
                <w:rFonts w:hint="eastAsia"/>
                <w:b/>
                <w:kern w:val="0"/>
                <w:sz w:val="24"/>
                <w:szCs w:val="24"/>
                <w:lang w:val="fi-FI"/>
              </w:rPr>
              <w:t>项目</w:t>
            </w:r>
            <w:r>
              <w:rPr>
                <w:rFonts w:hAnsi="宋体"/>
                <w:b/>
                <w:kern w:val="0"/>
                <w:sz w:val="24"/>
                <w:szCs w:val="24"/>
                <w:lang w:val="fi-FI"/>
              </w:rPr>
              <w:t>。若发生规模扩大或者生产工艺、设备、经营范围变更等重大变更，须报环保部门另行审批。</w:t>
            </w:r>
            <w:r>
              <w:rPr>
                <w:rFonts w:hint="eastAsia" w:hAnsi="宋体"/>
                <w:b/>
                <w:kern w:val="0"/>
                <w:sz w:val="24"/>
                <w:szCs w:val="24"/>
                <w:lang w:val="fi-FI"/>
              </w:rPr>
              <w:t xml:space="preserve">     </w:t>
            </w:r>
            <w:bookmarkStart w:id="72" w:name="_GoBack"/>
            <w:bookmarkEnd w:id="72"/>
          </w:p>
        </w:tc>
      </w:tr>
      <w:bookmarkEnd w:id="69"/>
      <w:bookmarkEnd w:id="70"/>
    </w:tbl>
    <w:p>
      <w:pPr>
        <w:adjustRightInd w:val="0"/>
        <w:snapToGrid w:val="0"/>
        <w:spacing w:line="360" w:lineRule="auto"/>
        <w:jc w:val="center"/>
        <w:rPr>
          <w:kern w:val="0"/>
        </w:rPr>
        <w:sectPr>
          <w:headerReference r:id="rId7"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75"/>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Lines="50"/>
              <w:rPr>
                <w:sz w:val="24"/>
              </w:rPr>
            </w:pPr>
            <w:r>
              <w:rPr>
                <w:rFonts w:hAnsi="宋体"/>
                <w:sz w:val="24"/>
              </w:rPr>
              <w:t>预审意见：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Lines="50" w:line="440" w:lineRule="atLeast"/>
              <w:rPr>
                <w:sz w:val="24"/>
              </w:rPr>
            </w:pPr>
            <w:r>
              <w:rPr>
                <w:sz w:val="24"/>
              </w:rPr>
              <w:t xml:space="preserve">                                                 </w:t>
            </w:r>
            <w:r>
              <w:rPr>
                <w:rFonts w:hAnsi="宋体"/>
                <w:sz w:val="24"/>
              </w:rPr>
              <w:t>公章</w:t>
            </w:r>
          </w:p>
          <w:p>
            <w:pPr>
              <w:spacing w:beforeLines="50" w:line="440" w:lineRule="atLeast"/>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Lines="50"/>
              <w:rPr>
                <w:sz w:val="24"/>
              </w:rPr>
            </w:pPr>
            <w:r>
              <w:rPr>
                <w:rFonts w:hAnsi="宋体"/>
                <w:sz w:val="24"/>
              </w:rPr>
              <w:t>下一级环境保护行政主管部门审查意见：</w:t>
            </w:r>
            <w:r>
              <w:rPr>
                <w:sz w:val="24"/>
              </w:rPr>
              <w:t xml:space="preserve"> </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line="520" w:lineRule="exact"/>
              <w:rPr>
                <w:sz w:val="24"/>
              </w:rPr>
            </w:pPr>
            <w:r>
              <w:rPr>
                <w:sz w:val="24"/>
              </w:rPr>
              <w:t xml:space="preserve">                                                    </w:t>
            </w:r>
            <w:r>
              <w:rPr>
                <w:rFonts w:hAnsi="宋体"/>
                <w:sz w:val="24"/>
              </w:rPr>
              <w:t>公章</w:t>
            </w:r>
          </w:p>
          <w:p>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Pr>
        <w:widowControl/>
        <w:rPr>
          <w:lang w:val="en-US"/>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Lucida Console"/>
    <w:panose1 w:val="00000000000000000000"/>
    <w:charset w:val="00"/>
    <w:family w:val="roman"/>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rPr>
        <w:rStyle w:val="79"/>
      </w:rPr>
      <w:instrText xml:space="preserve"> PAGE </w:instrText>
    </w:r>
    <w:r>
      <w:fldChar w:fldCharType="separate"/>
    </w:r>
    <w:r>
      <w:rPr>
        <w:rStyle w:val="79"/>
      </w:rP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4FAA3"/>
    <w:multiLevelType w:val="singleLevel"/>
    <w:tmpl w:val="B004FAA3"/>
    <w:lvl w:ilvl="0" w:tentative="0">
      <w:start w:val="2"/>
      <w:numFmt w:val="chineseCounting"/>
      <w:suff w:val="nothing"/>
      <w:lvlText w:val="%1、"/>
      <w:lvlJc w:val="left"/>
      <w:rPr>
        <w:rFonts w:hint="eastAsia"/>
      </w:rPr>
    </w:lvl>
  </w:abstractNum>
  <w:abstractNum w:abstractNumId="1">
    <w:nsid w:val="EFA56B8A"/>
    <w:multiLevelType w:val="singleLevel"/>
    <w:tmpl w:val="EFA56B8A"/>
    <w:lvl w:ilvl="0" w:tentative="0">
      <w:start w:val="4"/>
      <w:numFmt w:val="decimal"/>
      <w:suff w:val="nothing"/>
      <w:lvlText w:val="（%1）"/>
      <w:lvlJc w:val="left"/>
    </w:lvl>
  </w:abstractNum>
  <w:abstractNum w:abstractNumId="2">
    <w:nsid w:val="F3ABEF8D"/>
    <w:multiLevelType w:val="singleLevel"/>
    <w:tmpl w:val="F3ABEF8D"/>
    <w:lvl w:ilvl="0" w:tentative="0">
      <w:start w:val="10"/>
      <w:numFmt w:val="decimal"/>
      <w:suff w:val="nothing"/>
      <w:lvlText w:val="%1、"/>
      <w:lvlJc w:val="left"/>
    </w:lvl>
  </w:abstractNum>
  <w:abstractNum w:abstractNumId="3">
    <w:nsid w:val="06F0502B"/>
    <w:multiLevelType w:val="multilevel"/>
    <w:tmpl w:val="06F0502B"/>
    <w:lvl w:ilvl="0" w:tentative="0">
      <w:start w:val="1"/>
      <w:numFmt w:val="decimal"/>
      <w:pStyle w:val="165"/>
      <w:lvlText w:val="表7-%1."/>
      <w:lvlJc w:val="center"/>
      <w:pPr>
        <w:ind w:left="420" w:hanging="420"/>
      </w:pPr>
      <w:rPr>
        <w:rFonts w:hint="eastAsia"/>
        <w:lang w:val="fi-F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D566C8"/>
    <w:multiLevelType w:val="multilevel"/>
    <w:tmpl w:val="09D566C8"/>
    <w:lvl w:ilvl="0" w:tentative="0">
      <w:start w:val="1"/>
      <w:numFmt w:val="decimal"/>
      <w:pStyle w:val="95"/>
      <w:lvlText w:val="表2-%1."/>
      <w:lvlJc w:val="left"/>
      <w:pPr>
        <w:ind w:left="42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5FF9DF"/>
    <w:multiLevelType w:val="singleLevel"/>
    <w:tmpl w:val="115FF9DF"/>
    <w:lvl w:ilvl="0" w:tentative="0">
      <w:start w:val="1"/>
      <w:numFmt w:val="decimal"/>
      <w:suff w:val="nothing"/>
      <w:lvlText w:val="%1、"/>
      <w:lvlJc w:val="left"/>
    </w:lvl>
  </w:abstractNum>
  <w:abstractNum w:abstractNumId="6">
    <w:nsid w:val="2B99473B"/>
    <w:multiLevelType w:val="multilevel"/>
    <w:tmpl w:val="2B99473B"/>
    <w:lvl w:ilvl="0" w:tentative="0">
      <w:start w:val="1"/>
      <w:numFmt w:val="decimal"/>
      <w:pStyle w:val="162"/>
      <w:lvlText w:val="表6-%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ED0082"/>
    <w:multiLevelType w:val="multilevel"/>
    <w:tmpl w:val="35ED0082"/>
    <w:lvl w:ilvl="0" w:tentative="0">
      <w:start w:val="1"/>
      <w:numFmt w:val="decimal"/>
      <w:pStyle w:val="114"/>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343CB8"/>
    <w:multiLevelType w:val="multilevel"/>
    <w:tmpl w:val="39343CB8"/>
    <w:lvl w:ilvl="0" w:tentative="0">
      <w:start w:val="1"/>
      <w:numFmt w:val="decimal"/>
      <w:pStyle w:val="134"/>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3C03A6"/>
    <w:multiLevelType w:val="multilevel"/>
    <w:tmpl w:val="3C3C03A6"/>
    <w:lvl w:ilvl="0" w:tentative="0">
      <w:start w:val="1"/>
      <w:numFmt w:val="decimal"/>
      <w:pStyle w:val="245"/>
      <w:lvlText w:val="表4.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AE4587"/>
    <w:multiLevelType w:val="singleLevel"/>
    <w:tmpl w:val="3FAE4587"/>
    <w:lvl w:ilvl="0" w:tentative="0">
      <w:start w:val="1"/>
      <w:numFmt w:val="decimal"/>
      <w:pStyle w:val="218"/>
      <w:lvlText w:val="%1."/>
      <w:lvlJc w:val="left"/>
      <w:pPr>
        <w:tabs>
          <w:tab w:val="left" w:pos="842"/>
        </w:tabs>
        <w:ind w:left="0" w:firstLine="482"/>
      </w:pPr>
      <w:rPr>
        <w:rFonts w:hint="eastAsia"/>
        <w:sz w:val="28"/>
        <w:szCs w:val="28"/>
      </w:rPr>
    </w:lvl>
  </w:abstractNum>
  <w:abstractNum w:abstractNumId="11">
    <w:nsid w:val="4558B6D9"/>
    <w:multiLevelType w:val="singleLevel"/>
    <w:tmpl w:val="4558B6D9"/>
    <w:lvl w:ilvl="0" w:tentative="0">
      <w:start w:val="1"/>
      <w:numFmt w:val="decimal"/>
      <w:suff w:val="nothing"/>
      <w:lvlText w:val="（%1）"/>
      <w:lvlJc w:val="left"/>
    </w:lvl>
  </w:abstractNum>
  <w:abstractNum w:abstractNumId="12">
    <w:nsid w:val="4B1B0534"/>
    <w:multiLevelType w:val="multilevel"/>
    <w:tmpl w:val="4B1B0534"/>
    <w:lvl w:ilvl="0" w:tentative="0">
      <w:start w:val="1"/>
      <w:numFmt w:val="decimal"/>
      <w:pStyle w:val="194"/>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1D3E5D"/>
    <w:multiLevelType w:val="multilevel"/>
    <w:tmpl w:val="501D3E5D"/>
    <w:lvl w:ilvl="0" w:tentative="0">
      <w:start w:val="1"/>
      <w:numFmt w:val="decimal"/>
      <w:pStyle w:val="142"/>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4D7712"/>
    <w:multiLevelType w:val="multilevel"/>
    <w:tmpl w:val="5A4D7712"/>
    <w:lvl w:ilvl="0" w:tentative="0">
      <w:start w:val="1"/>
      <w:numFmt w:val="decimal"/>
      <w:pStyle w:val="198"/>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8E427D"/>
    <w:multiLevelType w:val="multilevel"/>
    <w:tmpl w:val="6D8E427D"/>
    <w:lvl w:ilvl="0" w:tentative="0">
      <w:start w:val="1"/>
      <w:numFmt w:val="decimal"/>
      <w:pStyle w:val="216"/>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D7664B"/>
    <w:multiLevelType w:val="multilevel"/>
    <w:tmpl w:val="7DD7664B"/>
    <w:lvl w:ilvl="0" w:tentative="0">
      <w:start w:val="1"/>
      <w:numFmt w:val="decimal"/>
      <w:pStyle w:val="186"/>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8"/>
  </w:num>
  <w:num w:numId="4">
    <w:abstractNumId w:val="13"/>
  </w:num>
  <w:num w:numId="5">
    <w:abstractNumId w:val="6"/>
  </w:num>
  <w:num w:numId="6">
    <w:abstractNumId w:val="3"/>
  </w:num>
  <w:num w:numId="7">
    <w:abstractNumId w:val="16"/>
  </w:num>
  <w:num w:numId="8">
    <w:abstractNumId w:val="12"/>
  </w:num>
  <w:num w:numId="9">
    <w:abstractNumId w:val="14"/>
  </w:num>
  <w:num w:numId="10">
    <w:abstractNumId w:val="15"/>
  </w:num>
  <w:num w:numId="11">
    <w:abstractNumId w:val="10"/>
  </w:num>
  <w:num w:numId="12">
    <w:abstractNumId w:val="9"/>
  </w:num>
  <w:num w:numId="13">
    <w:abstractNumId w:val="0"/>
  </w:num>
  <w:num w:numId="14">
    <w:abstractNumId w:val="5"/>
  </w:num>
  <w:num w:numId="15">
    <w:abstractNumId w:val="11"/>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8C5"/>
    <w:rsid w:val="0000156B"/>
    <w:rsid w:val="000021AE"/>
    <w:rsid w:val="000023E7"/>
    <w:rsid w:val="00002492"/>
    <w:rsid w:val="00002A32"/>
    <w:rsid w:val="00002BFF"/>
    <w:rsid w:val="000032C4"/>
    <w:rsid w:val="00003306"/>
    <w:rsid w:val="0000363A"/>
    <w:rsid w:val="00003A8C"/>
    <w:rsid w:val="00003C32"/>
    <w:rsid w:val="00003F21"/>
    <w:rsid w:val="00004F58"/>
    <w:rsid w:val="00004FBE"/>
    <w:rsid w:val="0000535C"/>
    <w:rsid w:val="000056AC"/>
    <w:rsid w:val="000056C0"/>
    <w:rsid w:val="000056F5"/>
    <w:rsid w:val="00005BE6"/>
    <w:rsid w:val="00005D5E"/>
    <w:rsid w:val="00006217"/>
    <w:rsid w:val="0000625F"/>
    <w:rsid w:val="00006CF8"/>
    <w:rsid w:val="0000703D"/>
    <w:rsid w:val="00007372"/>
    <w:rsid w:val="00007593"/>
    <w:rsid w:val="0000772B"/>
    <w:rsid w:val="00007972"/>
    <w:rsid w:val="00007C58"/>
    <w:rsid w:val="00007E6B"/>
    <w:rsid w:val="00010E45"/>
    <w:rsid w:val="0001106B"/>
    <w:rsid w:val="000113E9"/>
    <w:rsid w:val="000116BE"/>
    <w:rsid w:val="00011805"/>
    <w:rsid w:val="00011A31"/>
    <w:rsid w:val="00011A97"/>
    <w:rsid w:val="00011CA5"/>
    <w:rsid w:val="00011ECD"/>
    <w:rsid w:val="00012162"/>
    <w:rsid w:val="0001275B"/>
    <w:rsid w:val="000129C1"/>
    <w:rsid w:val="00012AE8"/>
    <w:rsid w:val="00012B12"/>
    <w:rsid w:val="000132A1"/>
    <w:rsid w:val="0001347C"/>
    <w:rsid w:val="00013787"/>
    <w:rsid w:val="0001381B"/>
    <w:rsid w:val="000148EB"/>
    <w:rsid w:val="000152DD"/>
    <w:rsid w:val="00015BA5"/>
    <w:rsid w:val="00016022"/>
    <w:rsid w:val="00016789"/>
    <w:rsid w:val="00016832"/>
    <w:rsid w:val="00016945"/>
    <w:rsid w:val="000169EE"/>
    <w:rsid w:val="00016DA1"/>
    <w:rsid w:val="000170C3"/>
    <w:rsid w:val="000173BE"/>
    <w:rsid w:val="000177CD"/>
    <w:rsid w:val="00017B97"/>
    <w:rsid w:val="00017EE2"/>
    <w:rsid w:val="000200D8"/>
    <w:rsid w:val="000202BD"/>
    <w:rsid w:val="00020432"/>
    <w:rsid w:val="000209D4"/>
    <w:rsid w:val="00020A4B"/>
    <w:rsid w:val="0002135E"/>
    <w:rsid w:val="00021819"/>
    <w:rsid w:val="00021A64"/>
    <w:rsid w:val="00021BA0"/>
    <w:rsid w:val="00021D18"/>
    <w:rsid w:val="00022276"/>
    <w:rsid w:val="0002243E"/>
    <w:rsid w:val="000228BC"/>
    <w:rsid w:val="00022990"/>
    <w:rsid w:val="00022B09"/>
    <w:rsid w:val="00023116"/>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444"/>
    <w:rsid w:val="00026664"/>
    <w:rsid w:val="00026752"/>
    <w:rsid w:val="00026B21"/>
    <w:rsid w:val="00026BA4"/>
    <w:rsid w:val="000270E8"/>
    <w:rsid w:val="0002741D"/>
    <w:rsid w:val="00027676"/>
    <w:rsid w:val="000276D0"/>
    <w:rsid w:val="000276DB"/>
    <w:rsid w:val="00027A3B"/>
    <w:rsid w:val="00027BC1"/>
    <w:rsid w:val="00027DC1"/>
    <w:rsid w:val="00027FC0"/>
    <w:rsid w:val="0003007C"/>
    <w:rsid w:val="000303E7"/>
    <w:rsid w:val="00030BD7"/>
    <w:rsid w:val="00030E45"/>
    <w:rsid w:val="00030F54"/>
    <w:rsid w:val="00031036"/>
    <w:rsid w:val="0003106D"/>
    <w:rsid w:val="00031348"/>
    <w:rsid w:val="00031787"/>
    <w:rsid w:val="00031A55"/>
    <w:rsid w:val="00031F4E"/>
    <w:rsid w:val="0003258B"/>
    <w:rsid w:val="0003264E"/>
    <w:rsid w:val="00032913"/>
    <w:rsid w:val="00032CC1"/>
    <w:rsid w:val="0003362A"/>
    <w:rsid w:val="000337AF"/>
    <w:rsid w:val="0003382D"/>
    <w:rsid w:val="0003389C"/>
    <w:rsid w:val="000339C2"/>
    <w:rsid w:val="00033D5B"/>
    <w:rsid w:val="00033DF3"/>
    <w:rsid w:val="00033FEE"/>
    <w:rsid w:val="00034965"/>
    <w:rsid w:val="00034FE5"/>
    <w:rsid w:val="000352AF"/>
    <w:rsid w:val="0003532E"/>
    <w:rsid w:val="00035C9F"/>
    <w:rsid w:val="00036135"/>
    <w:rsid w:val="0003624C"/>
    <w:rsid w:val="00036935"/>
    <w:rsid w:val="00036CAB"/>
    <w:rsid w:val="00036E81"/>
    <w:rsid w:val="00036F84"/>
    <w:rsid w:val="00037253"/>
    <w:rsid w:val="00037784"/>
    <w:rsid w:val="00037884"/>
    <w:rsid w:val="00037EA3"/>
    <w:rsid w:val="00037F22"/>
    <w:rsid w:val="00040351"/>
    <w:rsid w:val="000404D9"/>
    <w:rsid w:val="00040796"/>
    <w:rsid w:val="0004106E"/>
    <w:rsid w:val="00041361"/>
    <w:rsid w:val="00041528"/>
    <w:rsid w:val="0004172C"/>
    <w:rsid w:val="0004196F"/>
    <w:rsid w:val="00041988"/>
    <w:rsid w:val="00041A6D"/>
    <w:rsid w:val="00042024"/>
    <w:rsid w:val="000422A9"/>
    <w:rsid w:val="0004262A"/>
    <w:rsid w:val="00042870"/>
    <w:rsid w:val="00042B27"/>
    <w:rsid w:val="000439CA"/>
    <w:rsid w:val="0004412F"/>
    <w:rsid w:val="00044552"/>
    <w:rsid w:val="00044580"/>
    <w:rsid w:val="0004459F"/>
    <w:rsid w:val="00044A97"/>
    <w:rsid w:val="0004502D"/>
    <w:rsid w:val="00045280"/>
    <w:rsid w:val="00045419"/>
    <w:rsid w:val="00045431"/>
    <w:rsid w:val="00045658"/>
    <w:rsid w:val="00045882"/>
    <w:rsid w:val="0004591C"/>
    <w:rsid w:val="0004615E"/>
    <w:rsid w:val="000461C0"/>
    <w:rsid w:val="00046386"/>
    <w:rsid w:val="00046702"/>
    <w:rsid w:val="00046788"/>
    <w:rsid w:val="000469C7"/>
    <w:rsid w:val="00046ACB"/>
    <w:rsid w:val="00046B36"/>
    <w:rsid w:val="00046DBB"/>
    <w:rsid w:val="00047032"/>
    <w:rsid w:val="00047510"/>
    <w:rsid w:val="00047B52"/>
    <w:rsid w:val="00047E05"/>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4002"/>
    <w:rsid w:val="00054018"/>
    <w:rsid w:val="000544FC"/>
    <w:rsid w:val="00054E42"/>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B8E"/>
    <w:rsid w:val="0006218D"/>
    <w:rsid w:val="00062559"/>
    <w:rsid w:val="00062658"/>
    <w:rsid w:val="000626C4"/>
    <w:rsid w:val="00063222"/>
    <w:rsid w:val="00063686"/>
    <w:rsid w:val="00063B95"/>
    <w:rsid w:val="00063BF3"/>
    <w:rsid w:val="000640F5"/>
    <w:rsid w:val="00064241"/>
    <w:rsid w:val="000642D0"/>
    <w:rsid w:val="000642DE"/>
    <w:rsid w:val="00064B34"/>
    <w:rsid w:val="000652F0"/>
    <w:rsid w:val="00065789"/>
    <w:rsid w:val="00065F1D"/>
    <w:rsid w:val="000660EE"/>
    <w:rsid w:val="0006651E"/>
    <w:rsid w:val="00066715"/>
    <w:rsid w:val="00066B7D"/>
    <w:rsid w:val="00067241"/>
    <w:rsid w:val="00067C8F"/>
    <w:rsid w:val="000703EF"/>
    <w:rsid w:val="000707AB"/>
    <w:rsid w:val="00070FB4"/>
    <w:rsid w:val="00071461"/>
    <w:rsid w:val="000714AE"/>
    <w:rsid w:val="0007182C"/>
    <w:rsid w:val="00071975"/>
    <w:rsid w:val="00071B78"/>
    <w:rsid w:val="00071CDF"/>
    <w:rsid w:val="00072062"/>
    <w:rsid w:val="0007226B"/>
    <w:rsid w:val="00072511"/>
    <w:rsid w:val="000729D2"/>
    <w:rsid w:val="00072A5C"/>
    <w:rsid w:val="00072AAB"/>
    <w:rsid w:val="00072BF7"/>
    <w:rsid w:val="000731FC"/>
    <w:rsid w:val="00073444"/>
    <w:rsid w:val="00073455"/>
    <w:rsid w:val="00074102"/>
    <w:rsid w:val="00074584"/>
    <w:rsid w:val="00074E00"/>
    <w:rsid w:val="00075168"/>
    <w:rsid w:val="00075BAD"/>
    <w:rsid w:val="00075E9C"/>
    <w:rsid w:val="00076441"/>
    <w:rsid w:val="0007696C"/>
    <w:rsid w:val="00076B36"/>
    <w:rsid w:val="00076F75"/>
    <w:rsid w:val="00077B20"/>
    <w:rsid w:val="00077D3F"/>
    <w:rsid w:val="0008028A"/>
    <w:rsid w:val="000804E0"/>
    <w:rsid w:val="0008050E"/>
    <w:rsid w:val="0008057B"/>
    <w:rsid w:val="00080630"/>
    <w:rsid w:val="00080DFE"/>
    <w:rsid w:val="000812EF"/>
    <w:rsid w:val="00081A43"/>
    <w:rsid w:val="00081A87"/>
    <w:rsid w:val="00081BBA"/>
    <w:rsid w:val="00082221"/>
    <w:rsid w:val="00082260"/>
    <w:rsid w:val="00082AF3"/>
    <w:rsid w:val="0008307E"/>
    <w:rsid w:val="000839FE"/>
    <w:rsid w:val="00083E23"/>
    <w:rsid w:val="00083EE2"/>
    <w:rsid w:val="00084411"/>
    <w:rsid w:val="00084BDD"/>
    <w:rsid w:val="000853F5"/>
    <w:rsid w:val="000854E2"/>
    <w:rsid w:val="000855CB"/>
    <w:rsid w:val="0008564D"/>
    <w:rsid w:val="000856D3"/>
    <w:rsid w:val="00085A07"/>
    <w:rsid w:val="00085AE5"/>
    <w:rsid w:val="00085ED2"/>
    <w:rsid w:val="0008658C"/>
    <w:rsid w:val="0008682A"/>
    <w:rsid w:val="000869F2"/>
    <w:rsid w:val="00086F1A"/>
    <w:rsid w:val="00086FBB"/>
    <w:rsid w:val="00087312"/>
    <w:rsid w:val="000874A1"/>
    <w:rsid w:val="00087666"/>
    <w:rsid w:val="00087D79"/>
    <w:rsid w:val="00090049"/>
    <w:rsid w:val="0009024B"/>
    <w:rsid w:val="0009049E"/>
    <w:rsid w:val="0009055F"/>
    <w:rsid w:val="0009078C"/>
    <w:rsid w:val="00090CF7"/>
    <w:rsid w:val="00090D99"/>
    <w:rsid w:val="00090E90"/>
    <w:rsid w:val="00090FE2"/>
    <w:rsid w:val="00091CA6"/>
    <w:rsid w:val="00091FD3"/>
    <w:rsid w:val="00092204"/>
    <w:rsid w:val="000925D3"/>
    <w:rsid w:val="000928BF"/>
    <w:rsid w:val="000932D0"/>
    <w:rsid w:val="0009363A"/>
    <w:rsid w:val="00093FC6"/>
    <w:rsid w:val="0009405F"/>
    <w:rsid w:val="0009427E"/>
    <w:rsid w:val="000942EF"/>
    <w:rsid w:val="0009439C"/>
    <w:rsid w:val="00094406"/>
    <w:rsid w:val="00094E50"/>
    <w:rsid w:val="00094FEC"/>
    <w:rsid w:val="00095071"/>
    <w:rsid w:val="00095A71"/>
    <w:rsid w:val="00096073"/>
    <w:rsid w:val="00096356"/>
    <w:rsid w:val="0009664C"/>
    <w:rsid w:val="00096DDB"/>
    <w:rsid w:val="00096FAF"/>
    <w:rsid w:val="00097303"/>
    <w:rsid w:val="00097408"/>
    <w:rsid w:val="00097595"/>
    <w:rsid w:val="00097A52"/>
    <w:rsid w:val="00097C11"/>
    <w:rsid w:val="000A00EC"/>
    <w:rsid w:val="000A038B"/>
    <w:rsid w:val="000A0441"/>
    <w:rsid w:val="000A09A8"/>
    <w:rsid w:val="000A0A42"/>
    <w:rsid w:val="000A0A4E"/>
    <w:rsid w:val="000A0D50"/>
    <w:rsid w:val="000A0E2D"/>
    <w:rsid w:val="000A1091"/>
    <w:rsid w:val="000A10FC"/>
    <w:rsid w:val="000A178B"/>
    <w:rsid w:val="000A1C1F"/>
    <w:rsid w:val="000A1CFB"/>
    <w:rsid w:val="000A1F44"/>
    <w:rsid w:val="000A206D"/>
    <w:rsid w:val="000A20AA"/>
    <w:rsid w:val="000A284A"/>
    <w:rsid w:val="000A2CB4"/>
    <w:rsid w:val="000A33DC"/>
    <w:rsid w:val="000A34DB"/>
    <w:rsid w:val="000A393F"/>
    <w:rsid w:val="000A394F"/>
    <w:rsid w:val="000A3BC0"/>
    <w:rsid w:val="000A3C1F"/>
    <w:rsid w:val="000A3CBA"/>
    <w:rsid w:val="000A41AE"/>
    <w:rsid w:val="000A41B4"/>
    <w:rsid w:val="000A477E"/>
    <w:rsid w:val="000A48DF"/>
    <w:rsid w:val="000A4AB6"/>
    <w:rsid w:val="000A4BDE"/>
    <w:rsid w:val="000A4E99"/>
    <w:rsid w:val="000A5141"/>
    <w:rsid w:val="000A5691"/>
    <w:rsid w:val="000A5D52"/>
    <w:rsid w:val="000A65C5"/>
    <w:rsid w:val="000A6A88"/>
    <w:rsid w:val="000A6E16"/>
    <w:rsid w:val="000A77CB"/>
    <w:rsid w:val="000A7A3B"/>
    <w:rsid w:val="000A7A96"/>
    <w:rsid w:val="000A7F45"/>
    <w:rsid w:val="000A7FBF"/>
    <w:rsid w:val="000B01E6"/>
    <w:rsid w:val="000B046D"/>
    <w:rsid w:val="000B0650"/>
    <w:rsid w:val="000B075A"/>
    <w:rsid w:val="000B08C3"/>
    <w:rsid w:val="000B0B41"/>
    <w:rsid w:val="000B198E"/>
    <w:rsid w:val="000B2207"/>
    <w:rsid w:val="000B27D4"/>
    <w:rsid w:val="000B28F6"/>
    <w:rsid w:val="000B2A1C"/>
    <w:rsid w:val="000B3095"/>
    <w:rsid w:val="000B345A"/>
    <w:rsid w:val="000B3B2B"/>
    <w:rsid w:val="000B3BFC"/>
    <w:rsid w:val="000B407A"/>
    <w:rsid w:val="000B455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7AD"/>
    <w:rsid w:val="000C2A5A"/>
    <w:rsid w:val="000C3705"/>
    <w:rsid w:val="000C371F"/>
    <w:rsid w:val="000C3B05"/>
    <w:rsid w:val="000C3C0C"/>
    <w:rsid w:val="000C404A"/>
    <w:rsid w:val="000C4088"/>
    <w:rsid w:val="000C42B3"/>
    <w:rsid w:val="000C4445"/>
    <w:rsid w:val="000C4A9E"/>
    <w:rsid w:val="000C4CDA"/>
    <w:rsid w:val="000C4D2C"/>
    <w:rsid w:val="000C4F39"/>
    <w:rsid w:val="000C4FD9"/>
    <w:rsid w:val="000C50B0"/>
    <w:rsid w:val="000C5399"/>
    <w:rsid w:val="000C65EE"/>
    <w:rsid w:val="000C675D"/>
    <w:rsid w:val="000C78FE"/>
    <w:rsid w:val="000D0098"/>
    <w:rsid w:val="000D02E5"/>
    <w:rsid w:val="000D03DD"/>
    <w:rsid w:val="000D0702"/>
    <w:rsid w:val="000D0AD7"/>
    <w:rsid w:val="000D103A"/>
    <w:rsid w:val="000D1287"/>
    <w:rsid w:val="000D17A0"/>
    <w:rsid w:val="000D1E9E"/>
    <w:rsid w:val="000D2380"/>
    <w:rsid w:val="000D238D"/>
    <w:rsid w:val="000D2A57"/>
    <w:rsid w:val="000D2AB0"/>
    <w:rsid w:val="000D2E91"/>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D1"/>
    <w:rsid w:val="000D5996"/>
    <w:rsid w:val="000D5EBB"/>
    <w:rsid w:val="000D6057"/>
    <w:rsid w:val="000D6BFB"/>
    <w:rsid w:val="000D6D99"/>
    <w:rsid w:val="000D6FC0"/>
    <w:rsid w:val="000D7231"/>
    <w:rsid w:val="000D7805"/>
    <w:rsid w:val="000D7E59"/>
    <w:rsid w:val="000E05CE"/>
    <w:rsid w:val="000E0760"/>
    <w:rsid w:val="000E0FE1"/>
    <w:rsid w:val="000E10A6"/>
    <w:rsid w:val="000E24F4"/>
    <w:rsid w:val="000E262B"/>
    <w:rsid w:val="000E28C4"/>
    <w:rsid w:val="000E2D6C"/>
    <w:rsid w:val="000E3085"/>
    <w:rsid w:val="000E389F"/>
    <w:rsid w:val="000E3DB1"/>
    <w:rsid w:val="000E435F"/>
    <w:rsid w:val="000E4596"/>
    <w:rsid w:val="000E51CD"/>
    <w:rsid w:val="000E52B7"/>
    <w:rsid w:val="000E5916"/>
    <w:rsid w:val="000E5979"/>
    <w:rsid w:val="000E5B87"/>
    <w:rsid w:val="000E6E9E"/>
    <w:rsid w:val="000E6EE6"/>
    <w:rsid w:val="000E6FFA"/>
    <w:rsid w:val="000E72C6"/>
    <w:rsid w:val="000E73B2"/>
    <w:rsid w:val="000E752E"/>
    <w:rsid w:val="000E7635"/>
    <w:rsid w:val="000E7757"/>
    <w:rsid w:val="000E7DF9"/>
    <w:rsid w:val="000E7F98"/>
    <w:rsid w:val="000F037F"/>
    <w:rsid w:val="000F03D1"/>
    <w:rsid w:val="000F0546"/>
    <w:rsid w:val="000F0EA1"/>
    <w:rsid w:val="000F1053"/>
    <w:rsid w:val="000F1575"/>
    <w:rsid w:val="000F1B10"/>
    <w:rsid w:val="000F1F8D"/>
    <w:rsid w:val="000F23E2"/>
    <w:rsid w:val="000F25D7"/>
    <w:rsid w:val="000F270B"/>
    <w:rsid w:val="000F3008"/>
    <w:rsid w:val="000F310F"/>
    <w:rsid w:val="000F3124"/>
    <w:rsid w:val="000F3F30"/>
    <w:rsid w:val="000F43FD"/>
    <w:rsid w:val="000F4ED9"/>
    <w:rsid w:val="000F53E1"/>
    <w:rsid w:val="000F58B5"/>
    <w:rsid w:val="000F5A97"/>
    <w:rsid w:val="000F5E5C"/>
    <w:rsid w:val="000F6588"/>
    <w:rsid w:val="000F65F1"/>
    <w:rsid w:val="000F6DEB"/>
    <w:rsid w:val="000F6EE6"/>
    <w:rsid w:val="000F73D0"/>
    <w:rsid w:val="000F751C"/>
    <w:rsid w:val="000F78F7"/>
    <w:rsid w:val="000F799E"/>
    <w:rsid w:val="000F7AA9"/>
    <w:rsid w:val="00100363"/>
    <w:rsid w:val="00100482"/>
    <w:rsid w:val="00100678"/>
    <w:rsid w:val="00100936"/>
    <w:rsid w:val="00100A75"/>
    <w:rsid w:val="00100B01"/>
    <w:rsid w:val="00100FD3"/>
    <w:rsid w:val="0010147F"/>
    <w:rsid w:val="00101C4E"/>
    <w:rsid w:val="00101D1E"/>
    <w:rsid w:val="001022A6"/>
    <w:rsid w:val="0010278E"/>
    <w:rsid w:val="00102E5B"/>
    <w:rsid w:val="00103250"/>
    <w:rsid w:val="00104ACB"/>
    <w:rsid w:val="00104C91"/>
    <w:rsid w:val="00104D52"/>
    <w:rsid w:val="0010569C"/>
    <w:rsid w:val="00105768"/>
    <w:rsid w:val="00105BB3"/>
    <w:rsid w:val="00105C72"/>
    <w:rsid w:val="00105CEC"/>
    <w:rsid w:val="00105E0A"/>
    <w:rsid w:val="00106306"/>
    <w:rsid w:val="00106547"/>
    <w:rsid w:val="00106B6C"/>
    <w:rsid w:val="00107063"/>
    <w:rsid w:val="0010711F"/>
    <w:rsid w:val="00107B60"/>
    <w:rsid w:val="00107DF2"/>
    <w:rsid w:val="0011006E"/>
    <w:rsid w:val="00110150"/>
    <w:rsid w:val="00110B83"/>
    <w:rsid w:val="00111033"/>
    <w:rsid w:val="0011113D"/>
    <w:rsid w:val="00111317"/>
    <w:rsid w:val="0011156D"/>
    <w:rsid w:val="0011156E"/>
    <w:rsid w:val="00111A02"/>
    <w:rsid w:val="00111E03"/>
    <w:rsid w:val="001121C6"/>
    <w:rsid w:val="001123D9"/>
    <w:rsid w:val="00112893"/>
    <w:rsid w:val="00112D2F"/>
    <w:rsid w:val="001130DA"/>
    <w:rsid w:val="0011367E"/>
    <w:rsid w:val="00114033"/>
    <w:rsid w:val="001149E7"/>
    <w:rsid w:val="001153A9"/>
    <w:rsid w:val="00115A4C"/>
    <w:rsid w:val="00115AEE"/>
    <w:rsid w:val="0011600D"/>
    <w:rsid w:val="001164A3"/>
    <w:rsid w:val="001167EE"/>
    <w:rsid w:val="00116E0A"/>
    <w:rsid w:val="00117059"/>
    <w:rsid w:val="001178CE"/>
    <w:rsid w:val="00117C16"/>
    <w:rsid w:val="00120041"/>
    <w:rsid w:val="001200E8"/>
    <w:rsid w:val="00120859"/>
    <w:rsid w:val="00120BB8"/>
    <w:rsid w:val="001216FA"/>
    <w:rsid w:val="00121A46"/>
    <w:rsid w:val="00121DB5"/>
    <w:rsid w:val="00121EC5"/>
    <w:rsid w:val="00122629"/>
    <w:rsid w:val="00122DE9"/>
    <w:rsid w:val="0012300D"/>
    <w:rsid w:val="0012315B"/>
    <w:rsid w:val="00123FEB"/>
    <w:rsid w:val="0012412B"/>
    <w:rsid w:val="00124D9D"/>
    <w:rsid w:val="001251A7"/>
    <w:rsid w:val="001253B3"/>
    <w:rsid w:val="00125429"/>
    <w:rsid w:val="001257AD"/>
    <w:rsid w:val="00125C97"/>
    <w:rsid w:val="00126158"/>
    <w:rsid w:val="0012644B"/>
    <w:rsid w:val="0012645E"/>
    <w:rsid w:val="0012675C"/>
    <w:rsid w:val="00126811"/>
    <w:rsid w:val="00126B55"/>
    <w:rsid w:val="00126BBF"/>
    <w:rsid w:val="00126D73"/>
    <w:rsid w:val="001275CA"/>
    <w:rsid w:val="001278F3"/>
    <w:rsid w:val="0012797E"/>
    <w:rsid w:val="001300DA"/>
    <w:rsid w:val="0013013E"/>
    <w:rsid w:val="00130352"/>
    <w:rsid w:val="001303D0"/>
    <w:rsid w:val="00130C25"/>
    <w:rsid w:val="001312DA"/>
    <w:rsid w:val="00131337"/>
    <w:rsid w:val="001314A1"/>
    <w:rsid w:val="00131695"/>
    <w:rsid w:val="00132104"/>
    <w:rsid w:val="00132273"/>
    <w:rsid w:val="001335D6"/>
    <w:rsid w:val="0013363F"/>
    <w:rsid w:val="00133928"/>
    <w:rsid w:val="00133B09"/>
    <w:rsid w:val="00133E4F"/>
    <w:rsid w:val="00133EE2"/>
    <w:rsid w:val="00133F21"/>
    <w:rsid w:val="00133FDE"/>
    <w:rsid w:val="001341BD"/>
    <w:rsid w:val="00134D4D"/>
    <w:rsid w:val="00135312"/>
    <w:rsid w:val="00135350"/>
    <w:rsid w:val="0013586A"/>
    <w:rsid w:val="00135D25"/>
    <w:rsid w:val="001360BE"/>
    <w:rsid w:val="00136EDB"/>
    <w:rsid w:val="00137285"/>
    <w:rsid w:val="00137719"/>
    <w:rsid w:val="00137923"/>
    <w:rsid w:val="0014046F"/>
    <w:rsid w:val="001408B3"/>
    <w:rsid w:val="00140A17"/>
    <w:rsid w:val="00140BAA"/>
    <w:rsid w:val="00140D34"/>
    <w:rsid w:val="00140F0C"/>
    <w:rsid w:val="0014107F"/>
    <w:rsid w:val="00141314"/>
    <w:rsid w:val="001414B6"/>
    <w:rsid w:val="001414DE"/>
    <w:rsid w:val="00141723"/>
    <w:rsid w:val="00141B92"/>
    <w:rsid w:val="00141D38"/>
    <w:rsid w:val="0014226B"/>
    <w:rsid w:val="00142659"/>
    <w:rsid w:val="001429E1"/>
    <w:rsid w:val="00142BB5"/>
    <w:rsid w:val="00142E07"/>
    <w:rsid w:val="00143261"/>
    <w:rsid w:val="00143995"/>
    <w:rsid w:val="00143A06"/>
    <w:rsid w:val="00143C0C"/>
    <w:rsid w:val="00143E6E"/>
    <w:rsid w:val="00143F8C"/>
    <w:rsid w:val="00144097"/>
    <w:rsid w:val="0014432E"/>
    <w:rsid w:val="001443E7"/>
    <w:rsid w:val="00144489"/>
    <w:rsid w:val="0014513F"/>
    <w:rsid w:val="001454C3"/>
    <w:rsid w:val="00145672"/>
    <w:rsid w:val="00145B39"/>
    <w:rsid w:val="00145C87"/>
    <w:rsid w:val="00145FFB"/>
    <w:rsid w:val="0014685A"/>
    <w:rsid w:val="00146AD0"/>
    <w:rsid w:val="00146D41"/>
    <w:rsid w:val="0014712A"/>
    <w:rsid w:val="00147621"/>
    <w:rsid w:val="0014786F"/>
    <w:rsid w:val="00150043"/>
    <w:rsid w:val="0015004F"/>
    <w:rsid w:val="00150848"/>
    <w:rsid w:val="00150A2D"/>
    <w:rsid w:val="00150B47"/>
    <w:rsid w:val="00150D49"/>
    <w:rsid w:val="00150F33"/>
    <w:rsid w:val="0015139E"/>
    <w:rsid w:val="00151611"/>
    <w:rsid w:val="00151750"/>
    <w:rsid w:val="001517B8"/>
    <w:rsid w:val="00151ABD"/>
    <w:rsid w:val="00151C81"/>
    <w:rsid w:val="00151FEF"/>
    <w:rsid w:val="001521F2"/>
    <w:rsid w:val="001523F2"/>
    <w:rsid w:val="001524C0"/>
    <w:rsid w:val="00152A0F"/>
    <w:rsid w:val="001532B4"/>
    <w:rsid w:val="00153391"/>
    <w:rsid w:val="0015346E"/>
    <w:rsid w:val="00153728"/>
    <w:rsid w:val="00153C3F"/>
    <w:rsid w:val="00153EB6"/>
    <w:rsid w:val="0015463F"/>
    <w:rsid w:val="00154C97"/>
    <w:rsid w:val="00154E13"/>
    <w:rsid w:val="001556A6"/>
    <w:rsid w:val="001557DF"/>
    <w:rsid w:val="00155EAC"/>
    <w:rsid w:val="00156176"/>
    <w:rsid w:val="001562E9"/>
    <w:rsid w:val="001564C7"/>
    <w:rsid w:val="001569D1"/>
    <w:rsid w:val="00156CB6"/>
    <w:rsid w:val="00157613"/>
    <w:rsid w:val="00157FC0"/>
    <w:rsid w:val="001600F9"/>
    <w:rsid w:val="001603AE"/>
    <w:rsid w:val="00160488"/>
    <w:rsid w:val="00160A60"/>
    <w:rsid w:val="00160BE8"/>
    <w:rsid w:val="001619E0"/>
    <w:rsid w:val="00161B3A"/>
    <w:rsid w:val="00161EF7"/>
    <w:rsid w:val="00162030"/>
    <w:rsid w:val="001625F3"/>
    <w:rsid w:val="00162BDC"/>
    <w:rsid w:val="00163473"/>
    <w:rsid w:val="00163494"/>
    <w:rsid w:val="00163B2D"/>
    <w:rsid w:val="00163C9F"/>
    <w:rsid w:val="00163FA2"/>
    <w:rsid w:val="00163FA6"/>
    <w:rsid w:val="0016400C"/>
    <w:rsid w:val="0016490F"/>
    <w:rsid w:val="00164988"/>
    <w:rsid w:val="00164A98"/>
    <w:rsid w:val="00164FE2"/>
    <w:rsid w:val="001654BF"/>
    <w:rsid w:val="001654C3"/>
    <w:rsid w:val="00165BC0"/>
    <w:rsid w:val="00165F80"/>
    <w:rsid w:val="0016643C"/>
    <w:rsid w:val="001669F5"/>
    <w:rsid w:val="00167376"/>
    <w:rsid w:val="0016741D"/>
    <w:rsid w:val="001676ED"/>
    <w:rsid w:val="00167937"/>
    <w:rsid w:val="00167BE2"/>
    <w:rsid w:val="00167FD4"/>
    <w:rsid w:val="001704B2"/>
    <w:rsid w:val="0017060B"/>
    <w:rsid w:val="00170DCD"/>
    <w:rsid w:val="00170EC9"/>
    <w:rsid w:val="001717C3"/>
    <w:rsid w:val="0017193F"/>
    <w:rsid w:val="00171A28"/>
    <w:rsid w:val="00172A27"/>
    <w:rsid w:val="00172A6C"/>
    <w:rsid w:val="001731D2"/>
    <w:rsid w:val="00173258"/>
    <w:rsid w:val="001735F0"/>
    <w:rsid w:val="00173D7A"/>
    <w:rsid w:val="00173E18"/>
    <w:rsid w:val="001741F3"/>
    <w:rsid w:val="0017453F"/>
    <w:rsid w:val="00174B40"/>
    <w:rsid w:val="00174B5D"/>
    <w:rsid w:val="00174F76"/>
    <w:rsid w:val="00175086"/>
    <w:rsid w:val="00175369"/>
    <w:rsid w:val="00175383"/>
    <w:rsid w:val="00175994"/>
    <w:rsid w:val="00175CAA"/>
    <w:rsid w:val="00175CC5"/>
    <w:rsid w:val="00175D60"/>
    <w:rsid w:val="00176109"/>
    <w:rsid w:val="0017621B"/>
    <w:rsid w:val="00176F1F"/>
    <w:rsid w:val="00177864"/>
    <w:rsid w:val="00177A8A"/>
    <w:rsid w:val="00177B8D"/>
    <w:rsid w:val="00177BE6"/>
    <w:rsid w:val="00177CC6"/>
    <w:rsid w:val="00177E06"/>
    <w:rsid w:val="001801A7"/>
    <w:rsid w:val="001801DB"/>
    <w:rsid w:val="00180200"/>
    <w:rsid w:val="0018027F"/>
    <w:rsid w:val="001803DF"/>
    <w:rsid w:val="00180533"/>
    <w:rsid w:val="00180984"/>
    <w:rsid w:val="00180DC5"/>
    <w:rsid w:val="001815B8"/>
    <w:rsid w:val="00181B73"/>
    <w:rsid w:val="00181FA1"/>
    <w:rsid w:val="00182321"/>
    <w:rsid w:val="001826DB"/>
    <w:rsid w:val="00182945"/>
    <w:rsid w:val="00182CA8"/>
    <w:rsid w:val="00182CB2"/>
    <w:rsid w:val="00183051"/>
    <w:rsid w:val="0018345B"/>
    <w:rsid w:val="001834EA"/>
    <w:rsid w:val="0018359E"/>
    <w:rsid w:val="001836D9"/>
    <w:rsid w:val="00184141"/>
    <w:rsid w:val="0018427F"/>
    <w:rsid w:val="001842E3"/>
    <w:rsid w:val="00184301"/>
    <w:rsid w:val="001844F4"/>
    <w:rsid w:val="00184619"/>
    <w:rsid w:val="001847D4"/>
    <w:rsid w:val="00185A25"/>
    <w:rsid w:val="00185CC3"/>
    <w:rsid w:val="0018600A"/>
    <w:rsid w:val="0018601A"/>
    <w:rsid w:val="001861DD"/>
    <w:rsid w:val="0018625C"/>
    <w:rsid w:val="001866B1"/>
    <w:rsid w:val="001866F5"/>
    <w:rsid w:val="0018687B"/>
    <w:rsid w:val="0018696C"/>
    <w:rsid w:val="00186C0C"/>
    <w:rsid w:val="00187C32"/>
    <w:rsid w:val="00187DFA"/>
    <w:rsid w:val="00187F9D"/>
    <w:rsid w:val="00190030"/>
    <w:rsid w:val="00190099"/>
    <w:rsid w:val="00190EBF"/>
    <w:rsid w:val="0019114A"/>
    <w:rsid w:val="0019144B"/>
    <w:rsid w:val="00191D22"/>
    <w:rsid w:val="00191DA8"/>
    <w:rsid w:val="0019218D"/>
    <w:rsid w:val="001923F0"/>
    <w:rsid w:val="001927E3"/>
    <w:rsid w:val="0019286F"/>
    <w:rsid w:val="00192AB4"/>
    <w:rsid w:val="00192CE3"/>
    <w:rsid w:val="001932C6"/>
    <w:rsid w:val="00193877"/>
    <w:rsid w:val="00193A50"/>
    <w:rsid w:val="001943FC"/>
    <w:rsid w:val="00194635"/>
    <w:rsid w:val="00194682"/>
    <w:rsid w:val="001946B8"/>
    <w:rsid w:val="0019498B"/>
    <w:rsid w:val="001949DF"/>
    <w:rsid w:val="00194DA8"/>
    <w:rsid w:val="0019549B"/>
    <w:rsid w:val="001954E0"/>
    <w:rsid w:val="00195D24"/>
    <w:rsid w:val="00195DD2"/>
    <w:rsid w:val="001961AE"/>
    <w:rsid w:val="0019688F"/>
    <w:rsid w:val="001968E2"/>
    <w:rsid w:val="00196B87"/>
    <w:rsid w:val="00196D2D"/>
    <w:rsid w:val="0019737F"/>
    <w:rsid w:val="0019748E"/>
    <w:rsid w:val="001974A1"/>
    <w:rsid w:val="001974B5"/>
    <w:rsid w:val="00197CB1"/>
    <w:rsid w:val="00197D8B"/>
    <w:rsid w:val="001A0065"/>
    <w:rsid w:val="001A0298"/>
    <w:rsid w:val="001A05B9"/>
    <w:rsid w:val="001A0DC8"/>
    <w:rsid w:val="001A11C6"/>
    <w:rsid w:val="001A143F"/>
    <w:rsid w:val="001A20C1"/>
    <w:rsid w:val="001A2625"/>
    <w:rsid w:val="001A267E"/>
    <w:rsid w:val="001A28AF"/>
    <w:rsid w:val="001A2AB9"/>
    <w:rsid w:val="001A2C7A"/>
    <w:rsid w:val="001A2F1C"/>
    <w:rsid w:val="001A30F7"/>
    <w:rsid w:val="001A331F"/>
    <w:rsid w:val="001A3483"/>
    <w:rsid w:val="001A34A3"/>
    <w:rsid w:val="001A39D2"/>
    <w:rsid w:val="001A3DD8"/>
    <w:rsid w:val="001A4020"/>
    <w:rsid w:val="001A45CC"/>
    <w:rsid w:val="001A47B8"/>
    <w:rsid w:val="001A47E5"/>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794"/>
    <w:rsid w:val="001B0824"/>
    <w:rsid w:val="001B0FAA"/>
    <w:rsid w:val="001B1158"/>
    <w:rsid w:val="001B12CB"/>
    <w:rsid w:val="001B134D"/>
    <w:rsid w:val="001B1565"/>
    <w:rsid w:val="001B1CD8"/>
    <w:rsid w:val="001B20D9"/>
    <w:rsid w:val="001B2467"/>
    <w:rsid w:val="001B29F0"/>
    <w:rsid w:val="001B2A46"/>
    <w:rsid w:val="001B2EC0"/>
    <w:rsid w:val="001B2FDB"/>
    <w:rsid w:val="001B3616"/>
    <w:rsid w:val="001B39D8"/>
    <w:rsid w:val="001B3A2B"/>
    <w:rsid w:val="001B3EF1"/>
    <w:rsid w:val="001B3FED"/>
    <w:rsid w:val="001B4168"/>
    <w:rsid w:val="001B4491"/>
    <w:rsid w:val="001B47AC"/>
    <w:rsid w:val="001B4A23"/>
    <w:rsid w:val="001B4A42"/>
    <w:rsid w:val="001B5138"/>
    <w:rsid w:val="001B56AE"/>
    <w:rsid w:val="001B56EA"/>
    <w:rsid w:val="001B5B58"/>
    <w:rsid w:val="001B5E10"/>
    <w:rsid w:val="001B6322"/>
    <w:rsid w:val="001B6430"/>
    <w:rsid w:val="001B6488"/>
    <w:rsid w:val="001B68DB"/>
    <w:rsid w:val="001B6A01"/>
    <w:rsid w:val="001B6CFC"/>
    <w:rsid w:val="001B6D0E"/>
    <w:rsid w:val="001B7424"/>
    <w:rsid w:val="001B77CD"/>
    <w:rsid w:val="001B7A9D"/>
    <w:rsid w:val="001B7BF1"/>
    <w:rsid w:val="001B7CE5"/>
    <w:rsid w:val="001C0ABB"/>
    <w:rsid w:val="001C0E0A"/>
    <w:rsid w:val="001C13AD"/>
    <w:rsid w:val="001C161D"/>
    <w:rsid w:val="001C19CA"/>
    <w:rsid w:val="001C1E52"/>
    <w:rsid w:val="001C2C3C"/>
    <w:rsid w:val="001C33D7"/>
    <w:rsid w:val="001C38DB"/>
    <w:rsid w:val="001C3A76"/>
    <w:rsid w:val="001C3BBA"/>
    <w:rsid w:val="001C3CD6"/>
    <w:rsid w:val="001C418F"/>
    <w:rsid w:val="001C529F"/>
    <w:rsid w:val="001C573B"/>
    <w:rsid w:val="001C5933"/>
    <w:rsid w:val="001C5D14"/>
    <w:rsid w:val="001C5E57"/>
    <w:rsid w:val="001C5F8F"/>
    <w:rsid w:val="001C628E"/>
    <w:rsid w:val="001C6914"/>
    <w:rsid w:val="001C6E52"/>
    <w:rsid w:val="001C71A5"/>
    <w:rsid w:val="001C7AAB"/>
    <w:rsid w:val="001C7CE3"/>
    <w:rsid w:val="001C7F6F"/>
    <w:rsid w:val="001D03A9"/>
    <w:rsid w:val="001D049E"/>
    <w:rsid w:val="001D0858"/>
    <w:rsid w:val="001D0865"/>
    <w:rsid w:val="001D10A6"/>
    <w:rsid w:val="001D158A"/>
    <w:rsid w:val="001D1A89"/>
    <w:rsid w:val="001D1B93"/>
    <w:rsid w:val="001D1D54"/>
    <w:rsid w:val="001D207F"/>
    <w:rsid w:val="001D2492"/>
    <w:rsid w:val="001D2788"/>
    <w:rsid w:val="001D2A53"/>
    <w:rsid w:val="001D2B76"/>
    <w:rsid w:val="001D2D01"/>
    <w:rsid w:val="001D3085"/>
    <w:rsid w:val="001D30D3"/>
    <w:rsid w:val="001D31CE"/>
    <w:rsid w:val="001D3774"/>
    <w:rsid w:val="001D3BF8"/>
    <w:rsid w:val="001D3C46"/>
    <w:rsid w:val="001D3C74"/>
    <w:rsid w:val="001D414F"/>
    <w:rsid w:val="001D44AA"/>
    <w:rsid w:val="001D469A"/>
    <w:rsid w:val="001D497F"/>
    <w:rsid w:val="001D5061"/>
    <w:rsid w:val="001D52A4"/>
    <w:rsid w:val="001D596A"/>
    <w:rsid w:val="001D59AB"/>
    <w:rsid w:val="001D5CB4"/>
    <w:rsid w:val="001D5D22"/>
    <w:rsid w:val="001D5FE8"/>
    <w:rsid w:val="001D624C"/>
    <w:rsid w:val="001D67D7"/>
    <w:rsid w:val="001D6CFA"/>
    <w:rsid w:val="001D7316"/>
    <w:rsid w:val="001D734E"/>
    <w:rsid w:val="001D7370"/>
    <w:rsid w:val="001D782F"/>
    <w:rsid w:val="001D7A96"/>
    <w:rsid w:val="001D7DD4"/>
    <w:rsid w:val="001E0090"/>
    <w:rsid w:val="001E0DBD"/>
    <w:rsid w:val="001E0FB6"/>
    <w:rsid w:val="001E109C"/>
    <w:rsid w:val="001E1CA8"/>
    <w:rsid w:val="001E2090"/>
    <w:rsid w:val="001E26B2"/>
    <w:rsid w:val="001E2727"/>
    <w:rsid w:val="001E2989"/>
    <w:rsid w:val="001E298F"/>
    <w:rsid w:val="001E2EAA"/>
    <w:rsid w:val="001E2F06"/>
    <w:rsid w:val="001E311D"/>
    <w:rsid w:val="001E3264"/>
    <w:rsid w:val="001E32DF"/>
    <w:rsid w:val="001E3431"/>
    <w:rsid w:val="001E3626"/>
    <w:rsid w:val="001E42D9"/>
    <w:rsid w:val="001E434C"/>
    <w:rsid w:val="001E4676"/>
    <w:rsid w:val="001E4926"/>
    <w:rsid w:val="001E49F7"/>
    <w:rsid w:val="001E528C"/>
    <w:rsid w:val="001E5462"/>
    <w:rsid w:val="001E592A"/>
    <w:rsid w:val="001E5FF6"/>
    <w:rsid w:val="001E6205"/>
    <w:rsid w:val="001E640B"/>
    <w:rsid w:val="001E650D"/>
    <w:rsid w:val="001E6706"/>
    <w:rsid w:val="001E695B"/>
    <w:rsid w:val="001E6C81"/>
    <w:rsid w:val="001E6D9D"/>
    <w:rsid w:val="001E7865"/>
    <w:rsid w:val="001F054D"/>
    <w:rsid w:val="001F05E2"/>
    <w:rsid w:val="001F06BE"/>
    <w:rsid w:val="001F076C"/>
    <w:rsid w:val="001F07D3"/>
    <w:rsid w:val="001F0A8C"/>
    <w:rsid w:val="001F0F5F"/>
    <w:rsid w:val="001F1048"/>
    <w:rsid w:val="001F10A2"/>
    <w:rsid w:val="001F13F3"/>
    <w:rsid w:val="001F140B"/>
    <w:rsid w:val="001F20C3"/>
    <w:rsid w:val="001F2864"/>
    <w:rsid w:val="001F2AEC"/>
    <w:rsid w:val="001F2C4B"/>
    <w:rsid w:val="001F2CB1"/>
    <w:rsid w:val="001F2DE7"/>
    <w:rsid w:val="001F2EAA"/>
    <w:rsid w:val="001F3041"/>
    <w:rsid w:val="001F3B05"/>
    <w:rsid w:val="001F3D34"/>
    <w:rsid w:val="001F3F64"/>
    <w:rsid w:val="001F43C0"/>
    <w:rsid w:val="001F43C5"/>
    <w:rsid w:val="001F441A"/>
    <w:rsid w:val="001F4465"/>
    <w:rsid w:val="001F479A"/>
    <w:rsid w:val="001F54F5"/>
    <w:rsid w:val="001F5514"/>
    <w:rsid w:val="001F5A2E"/>
    <w:rsid w:val="001F5C13"/>
    <w:rsid w:val="001F6086"/>
    <w:rsid w:val="001F66D5"/>
    <w:rsid w:val="001F68F9"/>
    <w:rsid w:val="001F6956"/>
    <w:rsid w:val="001F6A9A"/>
    <w:rsid w:val="001F7051"/>
    <w:rsid w:val="001F777F"/>
    <w:rsid w:val="001F79B8"/>
    <w:rsid w:val="001F7BAB"/>
    <w:rsid w:val="00200272"/>
    <w:rsid w:val="0020044F"/>
    <w:rsid w:val="002006EE"/>
    <w:rsid w:val="00200827"/>
    <w:rsid w:val="00200AA6"/>
    <w:rsid w:val="0020149C"/>
    <w:rsid w:val="00201850"/>
    <w:rsid w:val="00201B15"/>
    <w:rsid w:val="00201F4B"/>
    <w:rsid w:val="002023E5"/>
    <w:rsid w:val="00202814"/>
    <w:rsid w:val="00202F37"/>
    <w:rsid w:val="002033CE"/>
    <w:rsid w:val="00203923"/>
    <w:rsid w:val="002040E6"/>
    <w:rsid w:val="0020460E"/>
    <w:rsid w:val="00204B5F"/>
    <w:rsid w:val="00204EB4"/>
    <w:rsid w:val="00205257"/>
    <w:rsid w:val="00205675"/>
    <w:rsid w:val="00205C90"/>
    <w:rsid w:val="00205D74"/>
    <w:rsid w:val="00205DF2"/>
    <w:rsid w:val="00205E8A"/>
    <w:rsid w:val="0020619C"/>
    <w:rsid w:val="0020646D"/>
    <w:rsid w:val="00206B37"/>
    <w:rsid w:val="00206B6E"/>
    <w:rsid w:val="00206DC1"/>
    <w:rsid w:val="0020702F"/>
    <w:rsid w:val="002070A5"/>
    <w:rsid w:val="002078CC"/>
    <w:rsid w:val="0021011B"/>
    <w:rsid w:val="00210145"/>
    <w:rsid w:val="002105AC"/>
    <w:rsid w:val="0021063B"/>
    <w:rsid w:val="0021099C"/>
    <w:rsid w:val="00210BAF"/>
    <w:rsid w:val="00210F00"/>
    <w:rsid w:val="002114DB"/>
    <w:rsid w:val="002117AD"/>
    <w:rsid w:val="0021254D"/>
    <w:rsid w:val="002126CC"/>
    <w:rsid w:val="00212871"/>
    <w:rsid w:val="002128C4"/>
    <w:rsid w:val="00212DD2"/>
    <w:rsid w:val="0021300A"/>
    <w:rsid w:val="0021304A"/>
    <w:rsid w:val="002134BD"/>
    <w:rsid w:val="00213871"/>
    <w:rsid w:val="002138F9"/>
    <w:rsid w:val="00213901"/>
    <w:rsid w:val="00213C24"/>
    <w:rsid w:val="002145C9"/>
    <w:rsid w:val="002146AF"/>
    <w:rsid w:val="0021493C"/>
    <w:rsid w:val="00214957"/>
    <w:rsid w:val="00214F65"/>
    <w:rsid w:val="00215363"/>
    <w:rsid w:val="002153B6"/>
    <w:rsid w:val="002154A0"/>
    <w:rsid w:val="002157FD"/>
    <w:rsid w:val="0021586E"/>
    <w:rsid w:val="00215CE0"/>
    <w:rsid w:val="00215DFB"/>
    <w:rsid w:val="00216275"/>
    <w:rsid w:val="002162E8"/>
    <w:rsid w:val="002164FC"/>
    <w:rsid w:val="00216B1E"/>
    <w:rsid w:val="00217672"/>
    <w:rsid w:val="002176E8"/>
    <w:rsid w:val="00217ACB"/>
    <w:rsid w:val="00217AFF"/>
    <w:rsid w:val="00217DF3"/>
    <w:rsid w:val="00217E44"/>
    <w:rsid w:val="002201A9"/>
    <w:rsid w:val="002202CB"/>
    <w:rsid w:val="002202E4"/>
    <w:rsid w:val="00220338"/>
    <w:rsid w:val="0022093D"/>
    <w:rsid w:val="00220AFD"/>
    <w:rsid w:val="00221111"/>
    <w:rsid w:val="00221461"/>
    <w:rsid w:val="00221ACD"/>
    <w:rsid w:val="00221C09"/>
    <w:rsid w:val="0022205E"/>
    <w:rsid w:val="0022249B"/>
    <w:rsid w:val="00222747"/>
    <w:rsid w:val="002233D1"/>
    <w:rsid w:val="00223535"/>
    <w:rsid w:val="00223610"/>
    <w:rsid w:val="00223C41"/>
    <w:rsid w:val="00223D7A"/>
    <w:rsid w:val="002245F2"/>
    <w:rsid w:val="00224EB1"/>
    <w:rsid w:val="002259D1"/>
    <w:rsid w:val="00225B8A"/>
    <w:rsid w:val="00225CFB"/>
    <w:rsid w:val="00225DC5"/>
    <w:rsid w:val="00225ECC"/>
    <w:rsid w:val="00226073"/>
    <w:rsid w:val="00226748"/>
    <w:rsid w:val="00227142"/>
    <w:rsid w:val="00227432"/>
    <w:rsid w:val="002274AB"/>
    <w:rsid w:val="0022774B"/>
    <w:rsid w:val="002279B0"/>
    <w:rsid w:val="00227D5F"/>
    <w:rsid w:val="00230236"/>
    <w:rsid w:val="00230272"/>
    <w:rsid w:val="00230311"/>
    <w:rsid w:val="00230407"/>
    <w:rsid w:val="00230A36"/>
    <w:rsid w:val="00230B0A"/>
    <w:rsid w:val="00230F4D"/>
    <w:rsid w:val="00231196"/>
    <w:rsid w:val="002315A2"/>
    <w:rsid w:val="00231642"/>
    <w:rsid w:val="002316FE"/>
    <w:rsid w:val="00231710"/>
    <w:rsid w:val="00231EDC"/>
    <w:rsid w:val="002329BC"/>
    <w:rsid w:val="00232A23"/>
    <w:rsid w:val="00232A57"/>
    <w:rsid w:val="00232AE8"/>
    <w:rsid w:val="00232CF3"/>
    <w:rsid w:val="00232F22"/>
    <w:rsid w:val="002332EB"/>
    <w:rsid w:val="00233CBA"/>
    <w:rsid w:val="002345BC"/>
    <w:rsid w:val="00234DAF"/>
    <w:rsid w:val="002350F7"/>
    <w:rsid w:val="0023526A"/>
    <w:rsid w:val="00235731"/>
    <w:rsid w:val="00235A2F"/>
    <w:rsid w:val="00235FE9"/>
    <w:rsid w:val="00236461"/>
    <w:rsid w:val="0023692A"/>
    <w:rsid w:val="0023722B"/>
    <w:rsid w:val="00237935"/>
    <w:rsid w:val="00237947"/>
    <w:rsid w:val="00237B01"/>
    <w:rsid w:val="00237B67"/>
    <w:rsid w:val="00237C47"/>
    <w:rsid w:val="00240B3C"/>
    <w:rsid w:val="00240CA1"/>
    <w:rsid w:val="00240ED5"/>
    <w:rsid w:val="00241211"/>
    <w:rsid w:val="002412C3"/>
    <w:rsid w:val="002415AF"/>
    <w:rsid w:val="0024172D"/>
    <w:rsid w:val="00241D48"/>
    <w:rsid w:val="00242546"/>
    <w:rsid w:val="00242AFA"/>
    <w:rsid w:val="00242EF1"/>
    <w:rsid w:val="0024333C"/>
    <w:rsid w:val="00243384"/>
    <w:rsid w:val="002433A3"/>
    <w:rsid w:val="0024381E"/>
    <w:rsid w:val="00243A5C"/>
    <w:rsid w:val="00243A6D"/>
    <w:rsid w:val="00243C28"/>
    <w:rsid w:val="00243C2D"/>
    <w:rsid w:val="00243DAA"/>
    <w:rsid w:val="00243DEE"/>
    <w:rsid w:val="00243F5C"/>
    <w:rsid w:val="002445F3"/>
    <w:rsid w:val="00244682"/>
    <w:rsid w:val="00244EDF"/>
    <w:rsid w:val="00244F8C"/>
    <w:rsid w:val="002450DA"/>
    <w:rsid w:val="0024530E"/>
    <w:rsid w:val="00245953"/>
    <w:rsid w:val="00245E45"/>
    <w:rsid w:val="00246116"/>
    <w:rsid w:val="00246238"/>
    <w:rsid w:val="00246302"/>
    <w:rsid w:val="00246A1D"/>
    <w:rsid w:val="00246C7A"/>
    <w:rsid w:val="00247116"/>
    <w:rsid w:val="0024747A"/>
    <w:rsid w:val="002478A3"/>
    <w:rsid w:val="00247B7A"/>
    <w:rsid w:val="00247BC8"/>
    <w:rsid w:val="00247BEB"/>
    <w:rsid w:val="00247E6E"/>
    <w:rsid w:val="002503F3"/>
    <w:rsid w:val="0025092B"/>
    <w:rsid w:val="002509C4"/>
    <w:rsid w:val="00250BCD"/>
    <w:rsid w:val="00251F8D"/>
    <w:rsid w:val="00252AB1"/>
    <w:rsid w:val="00252AB4"/>
    <w:rsid w:val="00252B19"/>
    <w:rsid w:val="00253236"/>
    <w:rsid w:val="0025351D"/>
    <w:rsid w:val="002535CF"/>
    <w:rsid w:val="002537BF"/>
    <w:rsid w:val="00253980"/>
    <w:rsid w:val="00253A2A"/>
    <w:rsid w:val="00254241"/>
    <w:rsid w:val="0025430D"/>
    <w:rsid w:val="00254505"/>
    <w:rsid w:val="00254804"/>
    <w:rsid w:val="00254C2B"/>
    <w:rsid w:val="00255170"/>
    <w:rsid w:val="002551D8"/>
    <w:rsid w:val="00255395"/>
    <w:rsid w:val="0025561C"/>
    <w:rsid w:val="0025561D"/>
    <w:rsid w:val="00255BF3"/>
    <w:rsid w:val="00256321"/>
    <w:rsid w:val="00256462"/>
    <w:rsid w:val="0025659C"/>
    <w:rsid w:val="002568EF"/>
    <w:rsid w:val="00256A46"/>
    <w:rsid w:val="00256ED6"/>
    <w:rsid w:val="00256F74"/>
    <w:rsid w:val="00256FDD"/>
    <w:rsid w:val="002571EB"/>
    <w:rsid w:val="00257565"/>
    <w:rsid w:val="002575DE"/>
    <w:rsid w:val="00257635"/>
    <w:rsid w:val="002577F9"/>
    <w:rsid w:val="00257BD2"/>
    <w:rsid w:val="00257D22"/>
    <w:rsid w:val="00257F5E"/>
    <w:rsid w:val="002600DE"/>
    <w:rsid w:val="002604DC"/>
    <w:rsid w:val="00260618"/>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6B1"/>
    <w:rsid w:val="0026389C"/>
    <w:rsid w:val="00263CEA"/>
    <w:rsid w:val="00263D5E"/>
    <w:rsid w:val="0026432E"/>
    <w:rsid w:val="0026477A"/>
    <w:rsid w:val="00264AF5"/>
    <w:rsid w:val="00264B85"/>
    <w:rsid w:val="002659A1"/>
    <w:rsid w:val="00265C34"/>
    <w:rsid w:val="00266012"/>
    <w:rsid w:val="002662CF"/>
    <w:rsid w:val="0026641A"/>
    <w:rsid w:val="0026668C"/>
    <w:rsid w:val="0026692F"/>
    <w:rsid w:val="00266DD9"/>
    <w:rsid w:val="00266E6E"/>
    <w:rsid w:val="00266FE1"/>
    <w:rsid w:val="00267181"/>
    <w:rsid w:val="0026758E"/>
    <w:rsid w:val="00267A5E"/>
    <w:rsid w:val="00267AB8"/>
    <w:rsid w:val="00267E89"/>
    <w:rsid w:val="00270C0A"/>
    <w:rsid w:val="00270C95"/>
    <w:rsid w:val="00270FBE"/>
    <w:rsid w:val="002711AD"/>
    <w:rsid w:val="0027124D"/>
    <w:rsid w:val="00271355"/>
    <w:rsid w:val="0027135D"/>
    <w:rsid w:val="00271631"/>
    <w:rsid w:val="00271A9B"/>
    <w:rsid w:val="00271C97"/>
    <w:rsid w:val="00271CFD"/>
    <w:rsid w:val="00271E2E"/>
    <w:rsid w:val="0027233C"/>
    <w:rsid w:val="002724B3"/>
    <w:rsid w:val="00272855"/>
    <w:rsid w:val="00272F89"/>
    <w:rsid w:val="00273198"/>
    <w:rsid w:val="0027348C"/>
    <w:rsid w:val="002743B8"/>
    <w:rsid w:val="00274643"/>
    <w:rsid w:val="002748A5"/>
    <w:rsid w:val="00274D7D"/>
    <w:rsid w:val="00274EE1"/>
    <w:rsid w:val="00275411"/>
    <w:rsid w:val="0027565E"/>
    <w:rsid w:val="00275E9D"/>
    <w:rsid w:val="002763A9"/>
    <w:rsid w:val="00276716"/>
    <w:rsid w:val="00276785"/>
    <w:rsid w:val="00276E7A"/>
    <w:rsid w:val="00276FF6"/>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5A9"/>
    <w:rsid w:val="00284B2E"/>
    <w:rsid w:val="00284B54"/>
    <w:rsid w:val="00284C49"/>
    <w:rsid w:val="00284C73"/>
    <w:rsid w:val="00284D67"/>
    <w:rsid w:val="0028564D"/>
    <w:rsid w:val="00285838"/>
    <w:rsid w:val="00285A04"/>
    <w:rsid w:val="00285D35"/>
    <w:rsid w:val="00285DCB"/>
    <w:rsid w:val="002861C4"/>
    <w:rsid w:val="00286EEE"/>
    <w:rsid w:val="00286FBF"/>
    <w:rsid w:val="00287208"/>
    <w:rsid w:val="00287383"/>
    <w:rsid w:val="00287471"/>
    <w:rsid w:val="00287552"/>
    <w:rsid w:val="00287891"/>
    <w:rsid w:val="00290632"/>
    <w:rsid w:val="00290C38"/>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4EF0"/>
    <w:rsid w:val="002951B9"/>
    <w:rsid w:val="0029533C"/>
    <w:rsid w:val="002953AB"/>
    <w:rsid w:val="0029541F"/>
    <w:rsid w:val="002957CA"/>
    <w:rsid w:val="00295B2A"/>
    <w:rsid w:val="00295B44"/>
    <w:rsid w:val="00295D3E"/>
    <w:rsid w:val="00295EE7"/>
    <w:rsid w:val="00295F47"/>
    <w:rsid w:val="00296059"/>
    <w:rsid w:val="00296262"/>
    <w:rsid w:val="0029639E"/>
    <w:rsid w:val="0029647B"/>
    <w:rsid w:val="00296AD0"/>
    <w:rsid w:val="00296F2E"/>
    <w:rsid w:val="002972F9"/>
    <w:rsid w:val="00297453"/>
    <w:rsid w:val="00297535"/>
    <w:rsid w:val="00297A49"/>
    <w:rsid w:val="00297E8D"/>
    <w:rsid w:val="002A0162"/>
    <w:rsid w:val="002A01A0"/>
    <w:rsid w:val="002A022C"/>
    <w:rsid w:val="002A04D9"/>
    <w:rsid w:val="002A0641"/>
    <w:rsid w:val="002A12BE"/>
    <w:rsid w:val="002A155D"/>
    <w:rsid w:val="002A1632"/>
    <w:rsid w:val="002A1752"/>
    <w:rsid w:val="002A17DD"/>
    <w:rsid w:val="002A215A"/>
    <w:rsid w:val="002A2231"/>
    <w:rsid w:val="002A293D"/>
    <w:rsid w:val="002A2B9D"/>
    <w:rsid w:val="002A309A"/>
    <w:rsid w:val="002A3AE1"/>
    <w:rsid w:val="002A3B46"/>
    <w:rsid w:val="002A3D17"/>
    <w:rsid w:val="002A410B"/>
    <w:rsid w:val="002A4561"/>
    <w:rsid w:val="002A4688"/>
    <w:rsid w:val="002A47EC"/>
    <w:rsid w:val="002A4850"/>
    <w:rsid w:val="002A48D1"/>
    <w:rsid w:val="002A49E8"/>
    <w:rsid w:val="002A4C16"/>
    <w:rsid w:val="002A50C7"/>
    <w:rsid w:val="002A5147"/>
    <w:rsid w:val="002A5223"/>
    <w:rsid w:val="002A5245"/>
    <w:rsid w:val="002A5377"/>
    <w:rsid w:val="002A5406"/>
    <w:rsid w:val="002A5433"/>
    <w:rsid w:val="002A5C1A"/>
    <w:rsid w:val="002A5C5B"/>
    <w:rsid w:val="002A61FF"/>
    <w:rsid w:val="002A637D"/>
    <w:rsid w:val="002A6401"/>
    <w:rsid w:val="002A65DE"/>
    <w:rsid w:val="002A6633"/>
    <w:rsid w:val="002A6A45"/>
    <w:rsid w:val="002A6A88"/>
    <w:rsid w:val="002A6B36"/>
    <w:rsid w:val="002A6D97"/>
    <w:rsid w:val="002A710E"/>
    <w:rsid w:val="002A71F5"/>
    <w:rsid w:val="002A72A5"/>
    <w:rsid w:val="002B02F7"/>
    <w:rsid w:val="002B05A5"/>
    <w:rsid w:val="002B05D2"/>
    <w:rsid w:val="002B078D"/>
    <w:rsid w:val="002B1211"/>
    <w:rsid w:val="002B1238"/>
    <w:rsid w:val="002B239C"/>
    <w:rsid w:val="002B2662"/>
    <w:rsid w:val="002B285F"/>
    <w:rsid w:val="002B2869"/>
    <w:rsid w:val="002B2D0D"/>
    <w:rsid w:val="002B2D57"/>
    <w:rsid w:val="002B2E3D"/>
    <w:rsid w:val="002B2F55"/>
    <w:rsid w:val="002B393B"/>
    <w:rsid w:val="002B3AA0"/>
    <w:rsid w:val="002B3FAD"/>
    <w:rsid w:val="002B4CFD"/>
    <w:rsid w:val="002B4E38"/>
    <w:rsid w:val="002B5157"/>
    <w:rsid w:val="002B540E"/>
    <w:rsid w:val="002B558C"/>
    <w:rsid w:val="002B55B1"/>
    <w:rsid w:val="002B573B"/>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33B"/>
    <w:rsid w:val="002C25A4"/>
    <w:rsid w:val="002C263A"/>
    <w:rsid w:val="002C264F"/>
    <w:rsid w:val="002C28F1"/>
    <w:rsid w:val="002C2C77"/>
    <w:rsid w:val="002C31C9"/>
    <w:rsid w:val="002C322F"/>
    <w:rsid w:val="002C32BF"/>
    <w:rsid w:val="002C3422"/>
    <w:rsid w:val="002C3AD3"/>
    <w:rsid w:val="002C3D9F"/>
    <w:rsid w:val="002C3E76"/>
    <w:rsid w:val="002C3EE0"/>
    <w:rsid w:val="002C3FA4"/>
    <w:rsid w:val="002C3FE9"/>
    <w:rsid w:val="002C40CA"/>
    <w:rsid w:val="002C497D"/>
    <w:rsid w:val="002C4A32"/>
    <w:rsid w:val="002C4E59"/>
    <w:rsid w:val="002C5147"/>
    <w:rsid w:val="002C5459"/>
    <w:rsid w:val="002C667F"/>
    <w:rsid w:val="002C6B85"/>
    <w:rsid w:val="002C6CEA"/>
    <w:rsid w:val="002C6FA1"/>
    <w:rsid w:val="002C7749"/>
    <w:rsid w:val="002C794A"/>
    <w:rsid w:val="002C7A3C"/>
    <w:rsid w:val="002C7AA0"/>
    <w:rsid w:val="002C7F4C"/>
    <w:rsid w:val="002D0288"/>
    <w:rsid w:val="002D042F"/>
    <w:rsid w:val="002D0539"/>
    <w:rsid w:val="002D09D4"/>
    <w:rsid w:val="002D0A12"/>
    <w:rsid w:val="002D0CDB"/>
    <w:rsid w:val="002D1171"/>
    <w:rsid w:val="002D16D4"/>
    <w:rsid w:val="002D1770"/>
    <w:rsid w:val="002D18C9"/>
    <w:rsid w:val="002D1935"/>
    <w:rsid w:val="002D1DBF"/>
    <w:rsid w:val="002D218D"/>
    <w:rsid w:val="002D27FB"/>
    <w:rsid w:val="002D2A5E"/>
    <w:rsid w:val="002D3082"/>
    <w:rsid w:val="002D388B"/>
    <w:rsid w:val="002D38F7"/>
    <w:rsid w:val="002D3AD2"/>
    <w:rsid w:val="002D41EF"/>
    <w:rsid w:val="002D44E4"/>
    <w:rsid w:val="002D4606"/>
    <w:rsid w:val="002D474F"/>
    <w:rsid w:val="002D4CC0"/>
    <w:rsid w:val="002D4D99"/>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B96"/>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984"/>
    <w:rsid w:val="002E49BE"/>
    <w:rsid w:val="002E4DB7"/>
    <w:rsid w:val="002E569D"/>
    <w:rsid w:val="002E59A3"/>
    <w:rsid w:val="002E5A25"/>
    <w:rsid w:val="002E5C0F"/>
    <w:rsid w:val="002E5CF7"/>
    <w:rsid w:val="002E5FF8"/>
    <w:rsid w:val="002E6377"/>
    <w:rsid w:val="002E678A"/>
    <w:rsid w:val="002E67FB"/>
    <w:rsid w:val="002E6921"/>
    <w:rsid w:val="002E701C"/>
    <w:rsid w:val="002E7024"/>
    <w:rsid w:val="002E759B"/>
    <w:rsid w:val="002E7F50"/>
    <w:rsid w:val="002F0237"/>
    <w:rsid w:val="002F0704"/>
    <w:rsid w:val="002F082A"/>
    <w:rsid w:val="002F0BA9"/>
    <w:rsid w:val="002F0D39"/>
    <w:rsid w:val="002F0F3A"/>
    <w:rsid w:val="002F0FFA"/>
    <w:rsid w:val="002F1038"/>
    <w:rsid w:val="002F1361"/>
    <w:rsid w:val="002F1616"/>
    <w:rsid w:val="002F196F"/>
    <w:rsid w:val="002F1D82"/>
    <w:rsid w:val="002F1EE3"/>
    <w:rsid w:val="002F240A"/>
    <w:rsid w:val="002F2713"/>
    <w:rsid w:val="002F27B8"/>
    <w:rsid w:val="002F3133"/>
    <w:rsid w:val="002F317E"/>
    <w:rsid w:val="002F32D6"/>
    <w:rsid w:val="002F3768"/>
    <w:rsid w:val="002F376F"/>
    <w:rsid w:val="002F3965"/>
    <w:rsid w:val="002F43EC"/>
    <w:rsid w:val="002F4933"/>
    <w:rsid w:val="002F507D"/>
    <w:rsid w:val="002F53BB"/>
    <w:rsid w:val="002F55B9"/>
    <w:rsid w:val="002F5A6C"/>
    <w:rsid w:val="002F5E4C"/>
    <w:rsid w:val="002F5EF2"/>
    <w:rsid w:val="002F644A"/>
    <w:rsid w:val="002F6B3C"/>
    <w:rsid w:val="002F6C45"/>
    <w:rsid w:val="002F6D8D"/>
    <w:rsid w:val="002F75B7"/>
    <w:rsid w:val="002F76F9"/>
    <w:rsid w:val="002F78FB"/>
    <w:rsid w:val="003001B6"/>
    <w:rsid w:val="003003BC"/>
    <w:rsid w:val="00300481"/>
    <w:rsid w:val="0030048A"/>
    <w:rsid w:val="003005B1"/>
    <w:rsid w:val="0030060E"/>
    <w:rsid w:val="00300B90"/>
    <w:rsid w:val="003012C5"/>
    <w:rsid w:val="00301C4F"/>
    <w:rsid w:val="00301EC4"/>
    <w:rsid w:val="00302AC3"/>
    <w:rsid w:val="0030312B"/>
    <w:rsid w:val="0030322B"/>
    <w:rsid w:val="00303478"/>
    <w:rsid w:val="00303547"/>
    <w:rsid w:val="003042DB"/>
    <w:rsid w:val="003044ED"/>
    <w:rsid w:val="003045B5"/>
    <w:rsid w:val="003047D1"/>
    <w:rsid w:val="00304D52"/>
    <w:rsid w:val="00305408"/>
    <w:rsid w:val="00305D7F"/>
    <w:rsid w:val="003063EA"/>
    <w:rsid w:val="00306FEE"/>
    <w:rsid w:val="00307478"/>
    <w:rsid w:val="0030790D"/>
    <w:rsid w:val="003079F4"/>
    <w:rsid w:val="00307AB4"/>
    <w:rsid w:val="00307B4A"/>
    <w:rsid w:val="003100FA"/>
    <w:rsid w:val="00310393"/>
    <w:rsid w:val="00310812"/>
    <w:rsid w:val="00310AFC"/>
    <w:rsid w:val="00310DFF"/>
    <w:rsid w:val="00310EF2"/>
    <w:rsid w:val="00310F6F"/>
    <w:rsid w:val="00310FDC"/>
    <w:rsid w:val="003110EF"/>
    <w:rsid w:val="003118BF"/>
    <w:rsid w:val="00311B5F"/>
    <w:rsid w:val="00311FBA"/>
    <w:rsid w:val="00312D6F"/>
    <w:rsid w:val="0031301B"/>
    <w:rsid w:val="003130AC"/>
    <w:rsid w:val="00313470"/>
    <w:rsid w:val="00313923"/>
    <w:rsid w:val="00313A04"/>
    <w:rsid w:val="00313A4B"/>
    <w:rsid w:val="00313F43"/>
    <w:rsid w:val="0031420B"/>
    <w:rsid w:val="003146B4"/>
    <w:rsid w:val="00314DDF"/>
    <w:rsid w:val="00314E03"/>
    <w:rsid w:val="0031511E"/>
    <w:rsid w:val="0031530D"/>
    <w:rsid w:val="00315ABE"/>
    <w:rsid w:val="00315C12"/>
    <w:rsid w:val="00315D8A"/>
    <w:rsid w:val="00315E5A"/>
    <w:rsid w:val="003161A9"/>
    <w:rsid w:val="003162DE"/>
    <w:rsid w:val="0031634B"/>
    <w:rsid w:val="0031645B"/>
    <w:rsid w:val="003169CB"/>
    <w:rsid w:val="00316C5D"/>
    <w:rsid w:val="00316DA1"/>
    <w:rsid w:val="00317169"/>
    <w:rsid w:val="00317BE3"/>
    <w:rsid w:val="00317DE2"/>
    <w:rsid w:val="00320150"/>
    <w:rsid w:val="003205E4"/>
    <w:rsid w:val="00320AF8"/>
    <w:rsid w:val="00320B8B"/>
    <w:rsid w:val="00321B1F"/>
    <w:rsid w:val="00321FCB"/>
    <w:rsid w:val="003220A3"/>
    <w:rsid w:val="00322299"/>
    <w:rsid w:val="0032280C"/>
    <w:rsid w:val="003228DD"/>
    <w:rsid w:val="00322A22"/>
    <w:rsid w:val="00322A5C"/>
    <w:rsid w:val="00322B05"/>
    <w:rsid w:val="0032313D"/>
    <w:rsid w:val="00323506"/>
    <w:rsid w:val="0032417A"/>
    <w:rsid w:val="00324769"/>
    <w:rsid w:val="00324CA4"/>
    <w:rsid w:val="00325023"/>
    <w:rsid w:val="003252D7"/>
    <w:rsid w:val="003258F6"/>
    <w:rsid w:val="00325F06"/>
    <w:rsid w:val="00326583"/>
    <w:rsid w:val="00326637"/>
    <w:rsid w:val="00326E1A"/>
    <w:rsid w:val="00326FF9"/>
    <w:rsid w:val="0032772C"/>
    <w:rsid w:val="0032782D"/>
    <w:rsid w:val="00327E22"/>
    <w:rsid w:val="003306D9"/>
    <w:rsid w:val="00330BCE"/>
    <w:rsid w:val="0033158E"/>
    <w:rsid w:val="003320B5"/>
    <w:rsid w:val="00332BF3"/>
    <w:rsid w:val="003330C9"/>
    <w:rsid w:val="003332DC"/>
    <w:rsid w:val="00333F68"/>
    <w:rsid w:val="00333FE0"/>
    <w:rsid w:val="00334698"/>
    <w:rsid w:val="00334A78"/>
    <w:rsid w:val="00334AA0"/>
    <w:rsid w:val="0033514B"/>
    <w:rsid w:val="0033547E"/>
    <w:rsid w:val="00335844"/>
    <w:rsid w:val="00335958"/>
    <w:rsid w:val="0033617A"/>
    <w:rsid w:val="003365D9"/>
    <w:rsid w:val="00336965"/>
    <w:rsid w:val="00336AC2"/>
    <w:rsid w:val="003370DD"/>
    <w:rsid w:val="0033741F"/>
    <w:rsid w:val="003375A5"/>
    <w:rsid w:val="003375E2"/>
    <w:rsid w:val="003379AD"/>
    <w:rsid w:val="003401B2"/>
    <w:rsid w:val="00340502"/>
    <w:rsid w:val="00340531"/>
    <w:rsid w:val="00341294"/>
    <w:rsid w:val="00341513"/>
    <w:rsid w:val="00341561"/>
    <w:rsid w:val="0034163C"/>
    <w:rsid w:val="00341B20"/>
    <w:rsid w:val="003421BE"/>
    <w:rsid w:val="00342389"/>
    <w:rsid w:val="003425C2"/>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CD1"/>
    <w:rsid w:val="003476F3"/>
    <w:rsid w:val="00347ACC"/>
    <w:rsid w:val="0035037F"/>
    <w:rsid w:val="00350B86"/>
    <w:rsid w:val="00351023"/>
    <w:rsid w:val="0035162F"/>
    <w:rsid w:val="00351A03"/>
    <w:rsid w:val="00351AA5"/>
    <w:rsid w:val="00351BCF"/>
    <w:rsid w:val="0035259A"/>
    <w:rsid w:val="0035260A"/>
    <w:rsid w:val="00352B48"/>
    <w:rsid w:val="00352DC9"/>
    <w:rsid w:val="00352FC7"/>
    <w:rsid w:val="00353011"/>
    <w:rsid w:val="00353416"/>
    <w:rsid w:val="0035358C"/>
    <w:rsid w:val="0035386D"/>
    <w:rsid w:val="00353BA6"/>
    <w:rsid w:val="00354638"/>
    <w:rsid w:val="003546F5"/>
    <w:rsid w:val="0035482D"/>
    <w:rsid w:val="00354BFF"/>
    <w:rsid w:val="00355570"/>
    <w:rsid w:val="0035566C"/>
    <w:rsid w:val="00355CD7"/>
    <w:rsid w:val="00355E0B"/>
    <w:rsid w:val="00356008"/>
    <w:rsid w:val="00356815"/>
    <w:rsid w:val="0035686B"/>
    <w:rsid w:val="00356A8F"/>
    <w:rsid w:val="00356F8D"/>
    <w:rsid w:val="00357687"/>
    <w:rsid w:val="0035770E"/>
    <w:rsid w:val="00357D04"/>
    <w:rsid w:val="00357E00"/>
    <w:rsid w:val="00360142"/>
    <w:rsid w:val="00360334"/>
    <w:rsid w:val="00360849"/>
    <w:rsid w:val="00360E7C"/>
    <w:rsid w:val="00361085"/>
    <w:rsid w:val="00361F91"/>
    <w:rsid w:val="00361FD0"/>
    <w:rsid w:val="0036207A"/>
    <w:rsid w:val="003623AD"/>
    <w:rsid w:val="00362527"/>
    <w:rsid w:val="00362C5C"/>
    <w:rsid w:val="00362D76"/>
    <w:rsid w:val="00362F7D"/>
    <w:rsid w:val="0036303F"/>
    <w:rsid w:val="003632E2"/>
    <w:rsid w:val="0036356F"/>
    <w:rsid w:val="00363D55"/>
    <w:rsid w:val="00363E36"/>
    <w:rsid w:val="003642F3"/>
    <w:rsid w:val="00364636"/>
    <w:rsid w:val="00364746"/>
    <w:rsid w:val="003649E2"/>
    <w:rsid w:val="00364C06"/>
    <w:rsid w:val="00364C0C"/>
    <w:rsid w:val="003654DF"/>
    <w:rsid w:val="00365773"/>
    <w:rsid w:val="00365A1E"/>
    <w:rsid w:val="00365A6D"/>
    <w:rsid w:val="00365BA1"/>
    <w:rsid w:val="00365EA9"/>
    <w:rsid w:val="00365FAF"/>
    <w:rsid w:val="003660E0"/>
    <w:rsid w:val="003663E1"/>
    <w:rsid w:val="0036678C"/>
    <w:rsid w:val="00366958"/>
    <w:rsid w:val="00366D56"/>
    <w:rsid w:val="00366DA2"/>
    <w:rsid w:val="00366F01"/>
    <w:rsid w:val="00366FF7"/>
    <w:rsid w:val="00367161"/>
    <w:rsid w:val="00367291"/>
    <w:rsid w:val="003672B6"/>
    <w:rsid w:val="00367710"/>
    <w:rsid w:val="0036781E"/>
    <w:rsid w:val="00367A6F"/>
    <w:rsid w:val="00367F69"/>
    <w:rsid w:val="003700AB"/>
    <w:rsid w:val="00370187"/>
    <w:rsid w:val="00370785"/>
    <w:rsid w:val="00370B40"/>
    <w:rsid w:val="0037124F"/>
    <w:rsid w:val="003714C3"/>
    <w:rsid w:val="003725AE"/>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EE1"/>
    <w:rsid w:val="003767EE"/>
    <w:rsid w:val="00376CB1"/>
    <w:rsid w:val="003771E5"/>
    <w:rsid w:val="00377559"/>
    <w:rsid w:val="003775A7"/>
    <w:rsid w:val="0037781C"/>
    <w:rsid w:val="00377924"/>
    <w:rsid w:val="00377BF9"/>
    <w:rsid w:val="00380095"/>
    <w:rsid w:val="003807DD"/>
    <w:rsid w:val="0038089A"/>
    <w:rsid w:val="003808EB"/>
    <w:rsid w:val="00380BEC"/>
    <w:rsid w:val="003810EF"/>
    <w:rsid w:val="003816D7"/>
    <w:rsid w:val="003817E5"/>
    <w:rsid w:val="00381A9D"/>
    <w:rsid w:val="00381F55"/>
    <w:rsid w:val="003822F1"/>
    <w:rsid w:val="003823D1"/>
    <w:rsid w:val="00382660"/>
    <w:rsid w:val="0038276F"/>
    <w:rsid w:val="00382C05"/>
    <w:rsid w:val="00382D7A"/>
    <w:rsid w:val="0038328C"/>
    <w:rsid w:val="003832E8"/>
    <w:rsid w:val="003834CF"/>
    <w:rsid w:val="003836F4"/>
    <w:rsid w:val="00383AD1"/>
    <w:rsid w:val="00383F26"/>
    <w:rsid w:val="00384298"/>
    <w:rsid w:val="0038456E"/>
    <w:rsid w:val="00384864"/>
    <w:rsid w:val="00384D68"/>
    <w:rsid w:val="00385539"/>
    <w:rsid w:val="003855D9"/>
    <w:rsid w:val="00385726"/>
    <w:rsid w:val="00386210"/>
    <w:rsid w:val="00386A23"/>
    <w:rsid w:val="00386B4D"/>
    <w:rsid w:val="003871BC"/>
    <w:rsid w:val="00387333"/>
    <w:rsid w:val="003876BD"/>
    <w:rsid w:val="0039030E"/>
    <w:rsid w:val="00390A08"/>
    <w:rsid w:val="00390F67"/>
    <w:rsid w:val="00391105"/>
    <w:rsid w:val="0039131C"/>
    <w:rsid w:val="00392255"/>
    <w:rsid w:val="0039246D"/>
    <w:rsid w:val="00392651"/>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6D09"/>
    <w:rsid w:val="003971B2"/>
    <w:rsid w:val="00397737"/>
    <w:rsid w:val="00397FB5"/>
    <w:rsid w:val="003A0465"/>
    <w:rsid w:val="003A11E3"/>
    <w:rsid w:val="003A1473"/>
    <w:rsid w:val="003A1E47"/>
    <w:rsid w:val="003A1E6F"/>
    <w:rsid w:val="003A1E93"/>
    <w:rsid w:val="003A1FE5"/>
    <w:rsid w:val="003A2160"/>
    <w:rsid w:val="003A2929"/>
    <w:rsid w:val="003A2B25"/>
    <w:rsid w:val="003A2C26"/>
    <w:rsid w:val="003A322D"/>
    <w:rsid w:val="003A4187"/>
    <w:rsid w:val="003A4598"/>
    <w:rsid w:val="003A45E0"/>
    <w:rsid w:val="003A47E8"/>
    <w:rsid w:val="003A51F8"/>
    <w:rsid w:val="003A51FD"/>
    <w:rsid w:val="003A5734"/>
    <w:rsid w:val="003A57CD"/>
    <w:rsid w:val="003A5932"/>
    <w:rsid w:val="003A593C"/>
    <w:rsid w:val="003A59FB"/>
    <w:rsid w:val="003A5BB0"/>
    <w:rsid w:val="003A5C42"/>
    <w:rsid w:val="003A604C"/>
    <w:rsid w:val="003A626F"/>
    <w:rsid w:val="003A68E3"/>
    <w:rsid w:val="003A6ACA"/>
    <w:rsid w:val="003A6B88"/>
    <w:rsid w:val="003A6CE3"/>
    <w:rsid w:val="003A6D1A"/>
    <w:rsid w:val="003A723C"/>
    <w:rsid w:val="003A72A7"/>
    <w:rsid w:val="003A75CC"/>
    <w:rsid w:val="003A767B"/>
    <w:rsid w:val="003A7C51"/>
    <w:rsid w:val="003A7F12"/>
    <w:rsid w:val="003B0148"/>
    <w:rsid w:val="003B06EB"/>
    <w:rsid w:val="003B0BB1"/>
    <w:rsid w:val="003B0E12"/>
    <w:rsid w:val="003B0EB8"/>
    <w:rsid w:val="003B0FF3"/>
    <w:rsid w:val="003B123E"/>
    <w:rsid w:val="003B1599"/>
    <w:rsid w:val="003B15C0"/>
    <w:rsid w:val="003B17DE"/>
    <w:rsid w:val="003B3466"/>
    <w:rsid w:val="003B35AE"/>
    <w:rsid w:val="003B3B89"/>
    <w:rsid w:val="003B452F"/>
    <w:rsid w:val="003B45D2"/>
    <w:rsid w:val="003B4679"/>
    <w:rsid w:val="003B4707"/>
    <w:rsid w:val="003B478F"/>
    <w:rsid w:val="003B4A7C"/>
    <w:rsid w:val="003B59B2"/>
    <w:rsid w:val="003B5D24"/>
    <w:rsid w:val="003B5EA5"/>
    <w:rsid w:val="003B5F10"/>
    <w:rsid w:val="003B5FE4"/>
    <w:rsid w:val="003B6900"/>
    <w:rsid w:val="003B6990"/>
    <w:rsid w:val="003B6A10"/>
    <w:rsid w:val="003B6AB3"/>
    <w:rsid w:val="003B74E2"/>
    <w:rsid w:val="003B764F"/>
    <w:rsid w:val="003C0240"/>
    <w:rsid w:val="003C0395"/>
    <w:rsid w:val="003C0A08"/>
    <w:rsid w:val="003C116F"/>
    <w:rsid w:val="003C137B"/>
    <w:rsid w:val="003C16F3"/>
    <w:rsid w:val="003C17BC"/>
    <w:rsid w:val="003C1BF6"/>
    <w:rsid w:val="003C1ECB"/>
    <w:rsid w:val="003C1EEA"/>
    <w:rsid w:val="003C20AA"/>
    <w:rsid w:val="003C2211"/>
    <w:rsid w:val="003C25AD"/>
    <w:rsid w:val="003C2997"/>
    <w:rsid w:val="003C3122"/>
    <w:rsid w:val="003C318A"/>
    <w:rsid w:val="003C35EA"/>
    <w:rsid w:val="003C379E"/>
    <w:rsid w:val="003C3B62"/>
    <w:rsid w:val="003C3B93"/>
    <w:rsid w:val="003C3C96"/>
    <w:rsid w:val="003C3FBE"/>
    <w:rsid w:val="003C40ED"/>
    <w:rsid w:val="003C413A"/>
    <w:rsid w:val="003C4224"/>
    <w:rsid w:val="003C497C"/>
    <w:rsid w:val="003C4BE5"/>
    <w:rsid w:val="003C4FD0"/>
    <w:rsid w:val="003C515F"/>
    <w:rsid w:val="003C5716"/>
    <w:rsid w:val="003C591B"/>
    <w:rsid w:val="003C5EAE"/>
    <w:rsid w:val="003C66FA"/>
    <w:rsid w:val="003C6F15"/>
    <w:rsid w:val="003C7258"/>
    <w:rsid w:val="003C7379"/>
    <w:rsid w:val="003C7C2A"/>
    <w:rsid w:val="003D0367"/>
    <w:rsid w:val="003D0790"/>
    <w:rsid w:val="003D0816"/>
    <w:rsid w:val="003D0866"/>
    <w:rsid w:val="003D09EA"/>
    <w:rsid w:val="003D0AF7"/>
    <w:rsid w:val="003D0BC7"/>
    <w:rsid w:val="003D0ED6"/>
    <w:rsid w:val="003D1001"/>
    <w:rsid w:val="003D13DC"/>
    <w:rsid w:val="003D15A8"/>
    <w:rsid w:val="003D1677"/>
    <w:rsid w:val="003D1B1C"/>
    <w:rsid w:val="003D1BD6"/>
    <w:rsid w:val="003D1F63"/>
    <w:rsid w:val="003D1FD4"/>
    <w:rsid w:val="003D2779"/>
    <w:rsid w:val="003D27B0"/>
    <w:rsid w:val="003D29AF"/>
    <w:rsid w:val="003D2D96"/>
    <w:rsid w:val="003D2EFD"/>
    <w:rsid w:val="003D31F7"/>
    <w:rsid w:val="003D3B6C"/>
    <w:rsid w:val="003D3BE8"/>
    <w:rsid w:val="003D3BEC"/>
    <w:rsid w:val="003D3EA0"/>
    <w:rsid w:val="003D3FB6"/>
    <w:rsid w:val="003D4A04"/>
    <w:rsid w:val="003D4ED3"/>
    <w:rsid w:val="003D5293"/>
    <w:rsid w:val="003D532A"/>
    <w:rsid w:val="003D55E2"/>
    <w:rsid w:val="003D57AB"/>
    <w:rsid w:val="003D57BB"/>
    <w:rsid w:val="003D5877"/>
    <w:rsid w:val="003D6396"/>
    <w:rsid w:val="003D6847"/>
    <w:rsid w:val="003D6856"/>
    <w:rsid w:val="003D6A52"/>
    <w:rsid w:val="003D6DE4"/>
    <w:rsid w:val="003D72B8"/>
    <w:rsid w:val="003D78DA"/>
    <w:rsid w:val="003D7997"/>
    <w:rsid w:val="003D7F92"/>
    <w:rsid w:val="003E01BF"/>
    <w:rsid w:val="003E124B"/>
    <w:rsid w:val="003E1546"/>
    <w:rsid w:val="003E15BA"/>
    <w:rsid w:val="003E1A60"/>
    <w:rsid w:val="003E1DD7"/>
    <w:rsid w:val="003E1FC4"/>
    <w:rsid w:val="003E2213"/>
    <w:rsid w:val="003E256C"/>
    <w:rsid w:val="003E2CCF"/>
    <w:rsid w:val="003E3647"/>
    <w:rsid w:val="003E37DF"/>
    <w:rsid w:val="003E3969"/>
    <w:rsid w:val="003E439F"/>
    <w:rsid w:val="003E4B6D"/>
    <w:rsid w:val="003E4B70"/>
    <w:rsid w:val="003E4E98"/>
    <w:rsid w:val="003E51CA"/>
    <w:rsid w:val="003E5375"/>
    <w:rsid w:val="003E5CB2"/>
    <w:rsid w:val="003E5F92"/>
    <w:rsid w:val="003E66FE"/>
    <w:rsid w:val="003E6954"/>
    <w:rsid w:val="003E6A3A"/>
    <w:rsid w:val="003E7340"/>
    <w:rsid w:val="003E736C"/>
    <w:rsid w:val="003E75B0"/>
    <w:rsid w:val="003E7987"/>
    <w:rsid w:val="003F00F4"/>
    <w:rsid w:val="003F01B9"/>
    <w:rsid w:val="003F08C1"/>
    <w:rsid w:val="003F0D58"/>
    <w:rsid w:val="003F119D"/>
    <w:rsid w:val="003F1200"/>
    <w:rsid w:val="003F13D5"/>
    <w:rsid w:val="003F158F"/>
    <w:rsid w:val="003F1858"/>
    <w:rsid w:val="003F1977"/>
    <w:rsid w:val="003F1CB8"/>
    <w:rsid w:val="003F2610"/>
    <w:rsid w:val="003F278E"/>
    <w:rsid w:val="003F30A3"/>
    <w:rsid w:val="003F30C6"/>
    <w:rsid w:val="003F3276"/>
    <w:rsid w:val="003F3371"/>
    <w:rsid w:val="003F35BF"/>
    <w:rsid w:val="003F4673"/>
    <w:rsid w:val="003F4CC3"/>
    <w:rsid w:val="003F4E58"/>
    <w:rsid w:val="003F5807"/>
    <w:rsid w:val="003F58E0"/>
    <w:rsid w:val="003F5981"/>
    <w:rsid w:val="003F5B8F"/>
    <w:rsid w:val="003F5CD0"/>
    <w:rsid w:val="003F5F14"/>
    <w:rsid w:val="003F5F84"/>
    <w:rsid w:val="003F5FE5"/>
    <w:rsid w:val="003F6139"/>
    <w:rsid w:val="003F6B7C"/>
    <w:rsid w:val="003F7BCE"/>
    <w:rsid w:val="003F7EA3"/>
    <w:rsid w:val="0040015C"/>
    <w:rsid w:val="00400629"/>
    <w:rsid w:val="00400E8F"/>
    <w:rsid w:val="00400FB5"/>
    <w:rsid w:val="004013FD"/>
    <w:rsid w:val="0040181B"/>
    <w:rsid w:val="00401AB9"/>
    <w:rsid w:val="00401D21"/>
    <w:rsid w:val="00401D75"/>
    <w:rsid w:val="00401E98"/>
    <w:rsid w:val="0040229F"/>
    <w:rsid w:val="00402458"/>
    <w:rsid w:val="004026EC"/>
    <w:rsid w:val="00402829"/>
    <w:rsid w:val="00402E76"/>
    <w:rsid w:val="0040312A"/>
    <w:rsid w:val="004031C2"/>
    <w:rsid w:val="004033E8"/>
    <w:rsid w:val="004037EC"/>
    <w:rsid w:val="004045F5"/>
    <w:rsid w:val="004048F4"/>
    <w:rsid w:val="00404AB7"/>
    <w:rsid w:val="00404B78"/>
    <w:rsid w:val="004051B5"/>
    <w:rsid w:val="0040546D"/>
    <w:rsid w:val="00405553"/>
    <w:rsid w:val="00405850"/>
    <w:rsid w:val="00405C84"/>
    <w:rsid w:val="00405CCE"/>
    <w:rsid w:val="0040668E"/>
    <w:rsid w:val="00406EFD"/>
    <w:rsid w:val="00406F34"/>
    <w:rsid w:val="00407002"/>
    <w:rsid w:val="00407016"/>
    <w:rsid w:val="00407025"/>
    <w:rsid w:val="00407475"/>
    <w:rsid w:val="00407759"/>
    <w:rsid w:val="00407922"/>
    <w:rsid w:val="00407A30"/>
    <w:rsid w:val="0041008B"/>
    <w:rsid w:val="004107E2"/>
    <w:rsid w:val="004107E7"/>
    <w:rsid w:val="00410AC3"/>
    <w:rsid w:val="00410C30"/>
    <w:rsid w:val="004119D9"/>
    <w:rsid w:val="00411FE9"/>
    <w:rsid w:val="0041258E"/>
    <w:rsid w:val="004126A6"/>
    <w:rsid w:val="004128C2"/>
    <w:rsid w:val="00412BE0"/>
    <w:rsid w:val="00412E09"/>
    <w:rsid w:val="00413363"/>
    <w:rsid w:val="00413539"/>
    <w:rsid w:val="0041445A"/>
    <w:rsid w:val="0041477D"/>
    <w:rsid w:val="004150FA"/>
    <w:rsid w:val="0041517F"/>
    <w:rsid w:val="0041536F"/>
    <w:rsid w:val="0041545F"/>
    <w:rsid w:val="00415A27"/>
    <w:rsid w:val="00415A78"/>
    <w:rsid w:val="0041677A"/>
    <w:rsid w:val="0041767C"/>
    <w:rsid w:val="004204E0"/>
    <w:rsid w:val="0042094F"/>
    <w:rsid w:val="00420CC5"/>
    <w:rsid w:val="00420D10"/>
    <w:rsid w:val="00420EA1"/>
    <w:rsid w:val="00421607"/>
    <w:rsid w:val="00421748"/>
    <w:rsid w:val="0042192E"/>
    <w:rsid w:val="00421FA9"/>
    <w:rsid w:val="0042226F"/>
    <w:rsid w:val="00422DCE"/>
    <w:rsid w:val="00422F61"/>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6978"/>
    <w:rsid w:val="00426ADB"/>
    <w:rsid w:val="00426D32"/>
    <w:rsid w:val="00427372"/>
    <w:rsid w:val="0042765E"/>
    <w:rsid w:val="00427BCE"/>
    <w:rsid w:val="00430074"/>
    <w:rsid w:val="004302D8"/>
    <w:rsid w:val="00430740"/>
    <w:rsid w:val="004310B9"/>
    <w:rsid w:val="0043159A"/>
    <w:rsid w:val="004315E5"/>
    <w:rsid w:val="004317B0"/>
    <w:rsid w:val="00431B3B"/>
    <w:rsid w:val="004320B8"/>
    <w:rsid w:val="00432164"/>
    <w:rsid w:val="004322D1"/>
    <w:rsid w:val="00432BE3"/>
    <w:rsid w:val="00432D21"/>
    <w:rsid w:val="00433D64"/>
    <w:rsid w:val="004341DC"/>
    <w:rsid w:val="004342A1"/>
    <w:rsid w:val="00434595"/>
    <w:rsid w:val="00434E2E"/>
    <w:rsid w:val="00434FC5"/>
    <w:rsid w:val="004361CE"/>
    <w:rsid w:val="004371AB"/>
    <w:rsid w:val="004379CC"/>
    <w:rsid w:val="00437B8B"/>
    <w:rsid w:val="00437DEF"/>
    <w:rsid w:val="00440CDD"/>
    <w:rsid w:val="00440E3A"/>
    <w:rsid w:val="00441078"/>
    <w:rsid w:val="004415D6"/>
    <w:rsid w:val="004417A2"/>
    <w:rsid w:val="00441AFF"/>
    <w:rsid w:val="00441E5B"/>
    <w:rsid w:val="00441EED"/>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B90"/>
    <w:rsid w:val="00444B94"/>
    <w:rsid w:val="00444C58"/>
    <w:rsid w:val="00444E8C"/>
    <w:rsid w:val="00444F5B"/>
    <w:rsid w:val="00445153"/>
    <w:rsid w:val="004451CD"/>
    <w:rsid w:val="0044592E"/>
    <w:rsid w:val="00445B91"/>
    <w:rsid w:val="00446310"/>
    <w:rsid w:val="00446377"/>
    <w:rsid w:val="00446610"/>
    <w:rsid w:val="00446906"/>
    <w:rsid w:val="00446A99"/>
    <w:rsid w:val="00446CE5"/>
    <w:rsid w:val="00450518"/>
    <w:rsid w:val="0045088D"/>
    <w:rsid w:val="00451015"/>
    <w:rsid w:val="004511E3"/>
    <w:rsid w:val="00451E00"/>
    <w:rsid w:val="004528F6"/>
    <w:rsid w:val="00452FC5"/>
    <w:rsid w:val="0045338B"/>
    <w:rsid w:val="004535BD"/>
    <w:rsid w:val="00453AE7"/>
    <w:rsid w:val="00454189"/>
    <w:rsid w:val="004543C6"/>
    <w:rsid w:val="00454831"/>
    <w:rsid w:val="0045483A"/>
    <w:rsid w:val="00454944"/>
    <w:rsid w:val="00454E96"/>
    <w:rsid w:val="00454ECD"/>
    <w:rsid w:val="004551E0"/>
    <w:rsid w:val="004554DA"/>
    <w:rsid w:val="004558F3"/>
    <w:rsid w:val="00455953"/>
    <w:rsid w:val="00455B8A"/>
    <w:rsid w:val="004563D1"/>
    <w:rsid w:val="004564D4"/>
    <w:rsid w:val="00456967"/>
    <w:rsid w:val="00456C3D"/>
    <w:rsid w:val="00456DE1"/>
    <w:rsid w:val="0045733E"/>
    <w:rsid w:val="00457375"/>
    <w:rsid w:val="00457FFC"/>
    <w:rsid w:val="004603FA"/>
    <w:rsid w:val="00460946"/>
    <w:rsid w:val="00460B57"/>
    <w:rsid w:val="00460DAD"/>
    <w:rsid w:val="00461454"/>
    <w:rsid w:val="0046174A"/>
    <w:rsid w:val="00461904"/>
    <w:rsid w:val="00461D4E"/>
    <w:rsid w:val="00461E81"/>
    <w:rsid w:val="004624E0"/>
    <w:rsid w:val="0046281C"/>
    <w:rsid w:val="0046295B"/>
    <w:rsid w:val="0046348D"/>
    <w:rsid w:val="00463B78"/>
    <w:rsid w:val="00463D98"/>
    <w:rsid w:val="00463DD2"/>
    <w:rsid w:val="00463E44"/>
    <w:rsid w:val="00464325"/>
    <w:rsid w:val="0046483F"/>
    <w:rsid w:val="004648DF"/>
    <w:rsid w:val="00464A3C"/>
    <w:rsid w:val="00464D06"/>
    <w:rsid w:val="00465150"/>
    <w:rsid w:val="004654A8"/>
    <w:rsid w:val="004659BC"/>
    <w:rsid w:val="00465B54"/>
    <w:rsid w:val="00465E57"/>
    <w:rsid w:val="00466185"/>
    <w:rsid w:val="004663CF"/>
    <w:rsid w:val="00466B48"/>
    <w:rsid w:val="00466F5A"/>
    <w:rsid w:val="004670CA"/>
    <w:rsid w:val="004673CC"/>
    <w:rsid w:val="0046755E"/>
    <w:rsid w:val="004677B4"/>
    <w:rsid w:val="0047002E"/>
    <w:rsid w:val="004704A0"/>
    <w:rsid w:val="004705F4"/>
    <w:rsid w:val="0047060E"/>
    <w:rsid w:val="00470908"/>
    <w:rsid w:val="00470D01"/>
    <w:rsid w:val="004718C7"/>
    <w:rsid w:val="00471CD3"/>
    <w:rsid w:val="00471D19"/>
    <w:rsid w:val="00471D9B"/>
    <w:rsid w:val="00471DE5"/>
    <w:rsid w:val="00471F87"/>
    <w:rsid w:val="004721A5"/>
    <w:rsid w:val="00472357"/>
    <w:rsid w:val="0047243E"/>
    <w:rsid w:val="00472644"/>
    <w:rsid w:val="00472A47"/>
    <w:rsid w:val="00472B30"/>
    <w:rsid w:val="0047301B"/>
    <w:rsid w:val="0047356C"/>
    <w:rsid w:val="004738A0"/>
    <w:rsid w:val="004739D1"/>
    <w:rsid w:val="00473CC1"/>
    <w:rsid w:val="00474157"/>
    <w:rsid w:val="00474206"/>
    <w:rsid w:val="0047458B"/>
    <w:rsid w:val="004745EC"/>
    <w:rsid w:val="0047503E"/>
    <w:rsid w:val="00475145"/>
    <w:rsid w:val="0047594E"/>
    <w:rsid w:val="00475AF9"/>
    <w:rsid w:val="00475DE9"/>
    <w:rsid w:val="00476A85"/>
    <w:rsid w:val="00476C89"/>
    <w:rsid w:val="00476DF8"/>
    <w:rsid w:val="00476E4D"/>
    <w:rsid w:val="00477031"/>
    <w:rsid w:val="00477216"/>
    <w:rsid w:val="004772E4"/>
    <w:rsid w:val="0047732D"/>
    <w:rsid w:val="00477D6D"/>
    <w:rsid w:val="00477E4C"/>
    <w:rsid w:val="00477E54"/>
    <w:rsid w:val="0048044D"/>
    <w:rsid w:val="0048052A"/>
    <w:rsid w:val="00480682"/>
    <w:rsid w:val="004808E6"/>
    <w:rsid w:val="00480DDD"/>
    <w:rsid w:val="00480F16"/>
    <w:rsid w:val="00480F9A"/>
    <w:rsid w:val="00481239"/>
    <w:rsid w:val="0048183E"/>
    <w:rsid w:val="00481927"/>
    <w:rsid w:val="00481C05"/>
    <w:rsid w:val="0048244B"/>
    <w:rsid w:val="00482479"/>
    <w:rsid w:val="00482D87"/>
    <w:rsid w:val="00483112"/>
    <w:rsid w:val="0048384A"/>
    <w:rsid w:val="00483910"/>
    <w:rsid w:val="00483F22"/>
    <w:rsid w:val="0048446A"/>
    <w:rsid w:val="00484A82"/>
    <w:rsid w:val="00485166"/>
    <w:rsid w:val="00485654"/>
    <w:rsid w:val="004857BA"/>
    <w:rsid w:val="004858D4"/>
    <w:rsid w:val="004865AD"/>
    <w:rsid w:val="004866CA"/>
    <w:rsid w:val="00486F12"/>
    <w:rsid w:val="00487606"/>
    <w:rsid w:val="00487999"/>
    <w:rsid w:val="00490292"/>
    <w:rsid w:val="004909EE"/>
    <w:rsid w:val="00490A58"/>
    <w:rsid w:val="00490B81"/>
    <w:rsid w:val="00490DDA"/>
    <w:rsid w:val="004913DA"/>
    <w:rsid w:val="004918F5"/>
    <w:rsid w:val="004919D7"/>
    <w:rsid w:val="004919FA"/>
    <w:rsid w:val="004920C5"/>
    <w:rsid w:val="00492111"/>
    <w:rsid w:val="004922A6"/>
    <w:rsid w:val="004923B0"/>
    <w:rsid w:val="004924A4"/>
    <w:rsid w:val="004924E9"/>
    <w:rsid w:val="00492704"/>
    <w:rsid w:val="00492BF9"/>
    <w:rsid w:val="00492F6E"/>
    <w:rsid w:val="00493C65"/>
    <w:rsid w:val="00493E5A"/>
    <w:rsid w:val="00493F69"/>
    <w:rsid w:val="00494814"/>
    <w:rsid w:val="00494841"/>
    <w:rsid w:val="00494896"/>
    <w:rsid w:val="00494E7E"/>
    <w:rsid w:val="0049524E"/>
    <w:rsid w:val="00495659"/>
    <w:rsid w:val="00495979"/>
    <w:rsid w:val="00495A4B"/>
    <w:rsid w:val="00495A6C"/>
    <w:rsid w:val="00495DF4"/>
    <w:rsid w:val="00495F4C"/>
    <w:rsid w:val="00495F83"/>
    <w:rsid w:val="0049607E"/>
    <w:rsid w:val="00496126"/>
    <w:rsid w:val="0049643A"/>
    <w:rsid w:val="004968B9"/>
    <w:rsid w:val="004969F7"/>
    <w:rsid w:val="00496B2E"/>
    <w:rsid w:val="00497163"/>
    <w:rsid w:val="00497328"/>
    <w:rsid w:val="00497487"/>
    <w:rsid w:val="00497530"/>
    <w:rsid w:val="00497607"/>
    <w:rsid w:val="004979C7"/>
    <w:rsid w:val="00497AC9"/>
    <w:rsid w:val="004A0037"/>
    <w:rsid w:val="004A00E6"/>
    <w:rsid w:val="004A027B"/>
    <w:rsid w:val="004A05E0"/>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391"/>
    <w:rsid w:val="004A55FA"/>
    <w:rsid w:val="004A595C"/>
    <w:rsid w:val="004A5A0E"/>
    <w:rsid w:val="004A6177"/>
    <w:rsid w:val="004A61CF"/>
    <w:rsid w:val="004A6399"/>
    <w:rsid w:val="004A641F"/>
    <w:rsid w:val="004A661B"/>
    <w:rsid w:val="004A667B"/>
    <w:rsid w:val="004A67A8"/>
    <w:rsid w:val="004A67FF"/>
    <w:rsid w:val="004A6947"/>
    <w:rsid w:val="004A6D84"/>
    <w:rsid w:val="004A74FA"/>
    <w:rsid w:val="004A7771"/>
    <w:rsid w:val="004A7B01"/>
    <w:rsid w:val="004A7D48"/>
    <w:rsid w:val="004A7DD2"/>
    <w:rsid w:val="004B00D0"/>
    <w:rsid w:val="004B0312"/>
    <w:rsid w:val="004B0476"/>
    <w:rsid w:val="004B057E"/>
    <w:rsid w:val="004B09FC"/>
    <w:rsid w:val="004B0C01"/>
    <w:rsid w:val="004B0C2A"/>
    <w:rsid w:val="004B0E77"/>
    <w:rsid w:val="004B142B"/>
    <w:rsid w:val="004B15F6"/>
    <w:rsid w:val="004B1DD7"/>
    <w:rsid w:val="004B1E1F"/>
    <w:rsid w:val="004B1F35"/>
    <w:rsid w:val="004B22E8"/>
    <w:rsid w:val="004B24C9"/>
    <w:rsid w:val="004B2FC3"/>
    <w:rsid w:val="004B3245"/>
    <w:rsid w:val="004B3274"/>
    <w:rsid w:val="004B38A1"/>
    <w:rsid w:val="004B3A88"/>
    <w:rsid w:val="004B3A9A"/>
    <w:rsid w:val="004B3FE4"/>
    <w:rsid w:val="004B417E"/>
    <w:rsid w:val="004B4763"/>
    <w:rsid w:val="004B49DE"/>
    <w:rsid w:val="004B4C16"/>
    <w:rsid w:val="004B4D12"/>
    <w:rsid w:val="004B5362"/>
    <w:rsid w:val="004B53A8"/>
    <w:rsid w:val="004B5491"/>
    <w:rsid w:val="004B5925"/>
    <w:rsid w:val="004B5BC5"/>
    <w:rsid w:val="004B5DF2"/>
    <w:rsid w:val="004B5EC0"/>
    <w:rsid w:val="004B6105"/>
    <w:rsid w:val="004B71A6"/>
    <w:rsid w:val="004B744C"/>
    <w:rsid w:val="004B7485"/>
    <w:rsid w:val="004B76B5"/>
    <w:rsid w:val="004B7770"/>
    <w:rsid w:val="004B7EE8"/>
    <w:rsid w:val="004C01CB"/>
    <w:rsid w:val="004C084F"/>
    <w:rsid w:val="004C1300"/>
    <w:rsid w:val="004C1366"/>
    <w:rsid w:val="004C13D4"/>
    <w:rsid w:val="004C1665"/>
    <w:rsid w:val="004C170B"/>
    <w:rsid w:val="004C1900"/>
    <w:rsid w:val="004C1974"/>
    <w:rsid w:val="004C19F0"/>
    <w:rsid w:val="004C1A40"/>
    <w:rsid w:val="004C1B4B"/>
    <w:rsid w:val="004C1D2F"/>
    <w:rsid w:val="004C1DB7"/>
    <w:rsid w:val="004C247A"/>
    <w:rsid w:val="004C24AE"/>
    <w:rsid w:val="004C2578"/>
    <w:rsid w:val="004C31C8"/>
    <w:rsid w:val="004C4077"/>
    <w:rsid w:val="004C433C"/>
    <w:rsid w:val="004C43AF"/>
    <w:rsid w:val="004C446B"/>
    <w:rsid w:val="004C4C7F"/>
    <w:rsid w:val="004C4E04"/>
    <w:rsid w:val="004C5025"/>
    <w:rsid w:val="004C57F5"/>
    <w:rsid w:val="004C59D3"/>
    <w:rsid w:val="004C5A01"/>
    <w:rsid w:val="004C5A45"/>
    <w:rsid w:val="004C6011"/>
    <w:rsid w:val="004C601E"/>
    <w:rsid w:val="004C679B"/>
    <w:rsid w:val="004C680B"/>
    <w:rsid w:val="004C6A0F"/>
    <w:rsid w:val="004C7200"/>
    <w:rsid w:val="004C730D"/>
    <w:rsid w:val="004C7467"/>
    <w:rsid w:val="004C79F2"/>
    <w:rsid w:val="004C7B03"/>
    <w:rsid w:val="004D046A"/>
    <w:rsid w:val="004D06DD"/>
    <w:rsid w:val="004D0B10"/>
    <w:rsid w:val="004D0C14"/>
    <w:rsid w:val="004D0EAB"/>
    <w:rsid w:val="004D13B9"/>
    <w:rsid w:val="004D1437"/>
    <w:rsid w:val="004D18CC"/>
    <w:rsid w:val="004D1C0B"/>
    <w:rsid w:val="004D2720"/>
    <w:rsid w:val="004D28AB"/>
    <w:rsid w:val="004D2A03"/>
    <w:rsid w:val="004D2ACC"/>
    <w:rsid w:val="004D2C55"/>
    <w:rsid w:val="004D342F"/>
    <w:rsid w:val="004D3DCF"/>
    <w:rsid w:val="004D3E38"/>
    <w:rsid w:val="004D407C"/>
    <w:rsid w:val="004D43DA"/>
    <w:rsid w:val="004D45E4"/>
    <w:rsid w:val="004D463D"/>
    <w:rsid w:val="004D4646"/>
    <w:rsid w:val="004D464C"/>
    <w:rsid w:val="004D49A5"/>
    <w:rsid w:val="004D4D21"/>
    <w:rsid w:val="004D57BD"/>
    <w:rsid w:val="004D5F2B"/>
    <w:rsid w:val="004D62BB"/>
    <w:rsid w:val="004D68EF"/>
    <w:rsid w:val="004D6DA1"/>
    <w:rsid w:val="004D6E08"/>
    <w:rsid w:val="004D6E41"/>
    <w:rsid w:val="004D6F5C"/>
    <w:rsid w:val="004D707B"/>
    <w:rsid w:val="004D7090"/>
    <w:rsid w:val="004D778F"/>
    <w:rsid w:val="004D7B95"/>
    <w:rsid w:val="004D7BB3"/>
    <w:rsid w:val="004D7C07"/>
    <w:rsid w:val="004D7EC3"/>
    <w:rsid w:val="004E0127"/>
    <w:rsid w:val="004E063F"/>
    <w:rsid w:val="004E1028"/>
    <w:rsid w:val="004E11B1"/>
    <w:rsid w:val="004E174C"/>
    <w:rsid w:val="004E182C"/>
    <w:rsid w:val="004E1AD4"/>
    <w:rsid w:val="004E2098"/>
    <w:rsid w:val="004E2287"/>
    <w:rsid w:val="004E27DE"/>
    <w:rsid w:val="004E3CAD"/>
    <w:rsid w:val="004E3F0D"/>
    <w:rsid w:val="004E4AAB"/>
    <w:rsid w:val="004E4CC3"/>
    <w:rsid w:val="004E5324"/>
    <w:rsid w:val="004E541E"/>
    <w:rsid w:val="004E619C"/>
    <w:rsid w:val="004E6710"/>
    <w:rsid w:val="004E6734"/>
    <w:rsid w:val="004E77F0"/>
    <w:rsid w:val="004E79F5"/>
    <w:rsid w:val="004E7A17"/>
    <w:rsid w:val="004E7D42"/>
    <w:rsid w:val="004E7DA0"/>
    <w:rsid w:val="004F01A1"/>
    <w:rsid w:val="004F0869"/>
    <w:rsid w:val="004F08C3"/>
    <w:rsid w:val="004F0A8D"/>
    <w:rsid w:val="004F0F49"/>
    <w:rsid w:val="004F1007"/>
    <w:rsid w:val="004F150F"/>
    <w:rsid w:val="004F1C9B"/>
    <w:rsid w:val="004F1F1F"/>
    <w:rsid w:val="004F227F"/>
    <w:rsid w:val="004F228E"/>
    <w:rsid w:val="004F2709"/>
    <w:rsid w:val="004F2AA9"/>
    <w:rsid w:val="004F2B9F"/>
    <w:rsid w:val="004F2DAA"/>
    <w:rsid w:val="004F2DD8"/>
    <w:rsid w:val="004F2EBD"/>
    <w:rsid w:val="004F328B"/>
    <w:rsid w:val="004F32D2"/>
    <w:rsid w:val="004F3547"/>
    <w:rsid w:val="004F3A33"/>
    <w:rsid w:val="004F3CBA"/>
    <w:rsid w:val="004F3EA9"/>
    <w:rsid w:val="004F40D5"/>
    <w:rsid w:val="004F4243"/>
    <w:rsid w:val="004F44AD"/>
    <w:rsid w:val="004F458B"/>
    <w:rsid w:val="004F458C"/>
    <w:rsid w:val="004F597A"/>
    <w:rsid w:val="004F5B17"/>
    <w:rsid w:val="004F60F6"/>
    <w:rsid w:val="004F619F"/>
    <w:rsid w:val="004F6238"/>
    <w:rsid w:val="004F6835"/>
    <w:rsid w:val="004F6BA0"/>
    <w:rsid w:val="004F745B"/>
    <w:rsid w:val="004F74A1"/>
    <w:rsid w:val="004F7D74"/>
    <w:rsid w:val="005004D5"/>
    <w:rsid w:val="00500739"/>
    <w:rsid w:val="00500FF6"/>
    <w:rsid w:val="005011B3"/>
    <w:rsid w:val="00501220"/>
    <w:rsid w:val="00501264"/>
    <w:rsid w:val="00501528"/>
    <w:rsid w:val="005016B5"/>
    <w:rsid w:val="00501E2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D9"/>
    <w:rsid w:val="005054A1"/>
    <w:rsid w:val="00505808"/>
    <w:rsid w:val="00505B0D"/>
    <w:rsid w:val="005061AA"/>
    <w:rsid w:val="005064E0"/>
    <w:rsid w:val="005064EB"/>
    <w:rsid w:val="00506618"/>
    <w:rsid w:val="00506854"/>
    <w:rsid w:val="00506A6A"/>
    <w:rsid w:val="00506BFD"/>
    <w:rsid w:val="00506C6C"/>
    <w:rsid w:val="00506D50"/>
    <w:rsid w:val="00506E8C"/>
    <w:rsid w:val="00507360"/>
    <w:rsid w:val="0050738E"/>
    <w:rsid w:val="005073EC"/>
    <w:rsid w:val="00507779"/>
    <w:rsid w:val="005079BC"/>
    <w:rsid w:val="00507DA6"/>
    <w:rsid w:val="00507F74"/>
    <w:rsid w:val="005100BE"/>
    <w:rsid w:val="00510E36"/>
    <w:rsid w:val="00511186"/>
    <w:rsid w:val="00511317"/>
    <w:rsid w:val="00511A4D"/>
    <w:rsid w:val="00511DA8"/>
    <w:rsid w:val="005124F9"/>
    <w:rsid w:val="005128F7"/>
    <w:rsid w:val="00512A34"/>
    <w:rsid w:val="00512A4B"/>
    <w:rsid w:val="00512D4D"/>
    <w:rsid w:val="00512E8D"/>
    <w:rsid w:val="005131E5"/>
    <w:rsid w:val="00513826"/>
    <w:rsid w:val="00513838"/>
    <w:rsid w:val="005139F3"/>
    <w:rsid w:val="00513AE8"/>
    <w:rsid w:val="00513CD5"/>
    <w:rsid w:val="00513CF3"/>
    <w:rsid w:val="00513FB2"/>
    <w:rsid w:val="0051414D"/>
    <w:rsid w:val="005148C4"/>
    <w:rsid w:val="00514ECA"/>
    <w:rsid w:val="005151DF"/>
    <w:rsid w:val="005151ED"/>
    <w:rsid w:val="0051554E"/>
    <w:rsid w:val="005156A4"/>
    <w:rsid w:val="00515C66"/>
    <w:rsid w:val="005162AF"/>
    <w:rsid w:val="00516486"/>
    <w:rsid w:val="0051650C"/>
    <w:rsid w:val="0051662D"/>
    <w:rsid w:val="00516823"/>
    <w:rsid w:val="005168C0"/>
    <w:rsid w:val="00516E4B"/>
    <w:rsid w:val="00516FD0"/>
    <w:rsid w:val="00517047"/>
    <w:rsid w:val="00517107"/>
    <w:rsid w:val="00517236"/>
    <w:rsid w:val="00517782"/>
    <w:rsid w:val="005205B1"/>
    <w:rsid w:val="005207AC"/>
    <w:rsid w:val="00520819"/>
    <w:rsid w:val="00520B9D"/>
    <w:rsid w:val="00520BA8"/>
    <w:rsid w:val="00520E64"/>
    <w:rsid w:val="00520EEA"/>
    <w:rsid w:val="00520FAF"/>
    <w:rsid w:val="00521020"/>
    <w:rsid w:val="00521186"/>
    <w:rsid w:val="005215AE"/>
    <w:rsid w:val="00521680"/>
    <w:rsid w:val="005218A6"/>
    <w:rsid w:val="00521C4C"/>
    <w:rsid w:val="00522006"/>
    <w:rsid w:val="005220D4"/>
    <w:rsid w:val="00522AFC"/>
    <w:rsid w:val="005232E3"/>
    <w:rsid w:val="00523686"/>
    <w:rsid w:val="005239A4"/>
    <w:rsid w:val="00523DD5"/>
    <w:rsid w:val="00523EB9"/>
    <w:rsid w:val="00523FD0"/>
    <w:rsid w:val="00524AFC"/>
    <w:rsid w:val="00524C01"/>
    <w:rsid w:val="00524CFA"/>
    <w:rsid w:val="0052517D"/>
    <w:rsid w:val="00525760"/>
    <w:rsid w:val="00525C7C"/>
    <w:rsid w:val="00526105"/>
    <w:rsid w:val="005261B9"/>
    <w:rsid w:val="005261BD"/>
    <w:rsid w:val="005270F3"/>
    <w:rsid w:val="00527131"/>
    <w:rsid w:val="005274D6"/>
    <w:rsid w:val="00527901"/>
    <w:rsid w:val="00527E7B"/>
    <w:rsid w:val="0053010E"/>
    <w:rsid w:val="00530B5D"/>
    <w:rsid w:val="00530C09"/>
    <w:rsid w:val="00531086"/>
    <w:rsid w:val="0053180E"/>
    <w:rsid w:val="005318B6"/>
    <w:rsid w:val="00532277"/>
    <w:rsid w:val="005323EB"/>
    <w:rsid w:val="00532664"/>
    <w:rsid w:val="005328A4"/>
    <w:rsid w:val="00532A54"/>
    <w:rsid w:val="00532D7E"/>
    <w:rsid w:val="00532D81"/>
    <w:rsid w:val="00532F8B"/>
    <w:rsid w:val="005334BB"/>
    <w:rsid w:val="00533736"/>
    <w:rsid w:val="00533F70"/>
    <w:rsid w:val="00534153"/>
    <w:rsid w:val="005341FE"/>
    <w:rsid w:val="005342E1"/>
    <w:rsid w:val="005349C3"/>
    <w:rsid w:val="00534D0C"/>
    <w:rsid w:val="00534EE5"/>
    <w:rsid w:val="00535277"/>
    <w:rsid w:val="00535B42"/>
    <w:rsid w:val="00535C07"/>
    <w:rsid w:val="00536114"/>
    <w:rsid w:val="0053616D"/>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8FF"/>
    <w:rsid w:val="00540B7A"/>
    <w:rsid w:val="00540C2A"/>
    <w:rsid w:val="00540CB6"/>
    <w:rsid w:val="00540ECB"/>
    <w:rsid w:val="00541527"/>
    <w:rsid w:val="005416CD"/>
    <w:rsid w:val="00542174"/>
    <w:rsid w:val="00542312"/>
    <w:rsid w:val="00542330"/>
    <w:rsid w:val="00542474"/>
    <w:rsid w:val="005426BC"/>
    <w:rsid w:val="0054286E"/>
    <w:rsid w:val="00542917"/>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9B"/>
    <w:rsid w:val="005501FD"/>
    <w:rsid w:val="00550592"/>
    <w:rsid w:val="0055070D"/>
    <w:rsid w:val="00550F89"/>
    <w:rsid w:val="0055114F"/>
    <w:rsid w:val="005516E1"/>
    <w:rsid w:val="005517E4"/>
    <w:rsid w:val="00551D03"/>
    <w:rsid w:val="00551E0A"/>
    <w:rsid w:val="0055241C"/>
    <w:rsid w:val="005527ED"/>
    <w:rsid w:val="005528F9"/>
    <w:rsid w:val="005529A1"/>
    <w:rsid w:val="00552EE3"/>
    <w:rsid w:val="0055338A"/>
    <w:rsid w:val="005542FB"/>
    <w:rsid w:val="00554913"/>
    <w:rsid w:val="00554A4F"/>
    <w:rsid w:val="005550BA"/>
    <w:rsid w:val="005558B8"/>
    <w:rsid w:val="00555A7F"/>
    <w:rsid w:val="005561F0"/>
    <w:rsid w:val="0055625D"/>
    <w:rsid w:val="005562A5"/>
    <w:rsid w:val="005566FE"/>
    <w:rsid w:val="0055686B"/>
    <w:rsid w:val="00556D43"/>
    <w:rsid w:val="00556F27"/>
    <w:rsid w:val="00557736"/>
    <w:rsid w:val="00557793"/>
    <w:rsid w:val="00557A4B"/>
    <w:rsid w:val="00557B04"/>
    <w:rsid w:val="00557CD6"/>
    <w:rsid w:val="00557E03"/>
    <w:rsid w:val="00557FBB"/>
    <w:rsid w:val="00560571"/>
    <w:rsid w:val="0056064A"/>
    <w:rsid w:val="0056071B"/>
    <w:rsid w:val="00560BE5"/>
    <w:rsid w:val="00561126"/>
    <w:rsid w:val="0056119E"/>
    <w:rsid w:val="00561527"/>
    <w:rsid w:val="00561751"/>
    <w:rsid w:val="00561D37"/>
    <w:rsid w:val="00561D9C"/>
    <w:rsid w:val="00561E11"/>
    <w:rsid w:val="00562718"/>
    <w:rsid w:val="00562E6A"/>
    <w:rsid w:val="005630DA"/>
    <w:rsid w:val="00563498"/>
    <w:rsid w:val="00563A52"/>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662"/>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1B1"/>
    <w:rsid w:val="00575254"/>
    <w:rsid w:val="00575371"/>
    <w:rsid w:val="00575BC8"/>
    <w:rsid w:val="00576049"/>
    <w:rsid w:val="00576126"/>
    <w:rsid w:val="005763D7"/>
    <w:rsid w:val="005763EC"/>
    <w:rsid w:val="00576C68"/>
    <w:rsid w:val="00576D74"/>
    <w:rsid w:val="005771C7"/>
    <w:rsid w:val="00577BEC"/>
    <w:rsid w:val="00577E8E"/>
    <w:rsid w:val="00577ED4"/>
    <w:rsid w:val="005804AE"/>
    <w:rsid w:val="005807BF"/>
    <w:rsid w:val="00580939"/>
    <w:rsid w:val="005810A9"/>
    <w:rsid w:val="005810C5"/>
    <w:rsid w:val="00581224"/>
    <w:rsid w:val="00581286"/>
    <w:rsid w:val="00581416"/>
    <w:rsid w:val="00581590"/>
    <w:rsid w:val="00581686"/>
    <w:rsid w:val="005826DF"/>
    <w:rsid w:val="005833C3"/>
    <w:rsid w:val="0058348E"/>
    <w:rsid w:val="00583940"/>
    <w:rsid w:val="00583C97"/>
    <w:rsid w:val="0058400F"/>
    <w:rsid w:val="005841F7"/>
    <w:rsid w:val="00584275"/>
    <w:rsid w:val="0058444A"/>
    <w:rsid w:val="00584830"/>
    <w:rsid w:val="00584951"/>
    <w:rsid w:val="00584958"/>
    <w:rsid w:val="00584C29"/>
    <w:rsid w:val="00584E47"/>
    <w:rsid w:val="00584E59"/>
    <w:rsid w:val="005856B0"/>
    <w:rsid w:val="00585708"/>
    <w:rsid w:val="00585A73"/>
    <w:rsid w:val="00586063"/>
    <w:rsid w:val="0058629C"/>
    <w:rsid w:val="005862A8"/>
    <w:rsid w:val="005866B9"/>
    <w:rsid w:val="00586BA1"/>
    <w:rsid w:val="00586D2E"/>
    <w:rsid w:val="00587027"/>
    <w:rsid w:val="00587202"/>
    <w:rsid w:val="00587379"/>
    <w:rsid w:val="0059084E"/>
    <w:rsid w:val="00591217"/>
    <w:rsid w:val="00591388"/>
    <w:rsid w:val="00591415"/>
    <w:rsid w:val="00591419"/>
    <w:rsid w:val="005918C3"/>
    <w:rsid w:val="0059272F"/>
    <w:rsid w:val="00592B17"/>
    <w:rsid w:val="00592D3B"/>
    <w:rsid w:val="00592FD0"/>
    <w:rsid w:val="00593097"/>
    <w:rsid w:val="005933E7"/>
    <w:rsid w:val="005934C1"/>
    <w:rsid w:val="00593823"/>
    <w:rsid w:val="005939B7"/>
    <w:rsid w:val="00593F44"/>
    <w:rsid w:val="0059498C"/>
    <w:rsid w:val="00594AC3"/>
    <w:rsid w:val="00594B89"/>
    <w:rsid w:val="005959F8"/>
    <w:rsid w:val="00595A0A"/>
    <w:rsid w:val="00596046"/>
    <w:rsid w:val="0059620D"/>
    <w:rsid w:val="00596E53"/>
    <w:rsid w:val="00596E8E"/>
    <w:rsid w:val="0059706D"/>
    <w:rsid w:val="005974F0"/>
    <w:rsid w:val="00597665"/>
    <w:rsid w:val="00597CF9"/>
    <w:rsid w:val="00597E59"/>
    <w:rsid w:val="005A0591"/>
    <w:rsid w:val="005A068C"/>
    <w:rsid w:val="005A0693"/>
    <w:rsid w:val="005A072D"/>
    <w:rsid w:val="005A0BD8"/>
    <w:rsid w:val="005A11C8"/>
    <w:rsid w:val="005A196D"/>
    <w:rsid w:val="005A1A61"/>
    <w:rsid w:val="005A2499"/>
    <w:rsid w:val="005A2852"/>
    <w:rsid w:val="005A2B0D"/>
    <w:rsid w:val="005A2BCB"/>
    <w:rsid w:val="005A312F"/>
    <w:rsid w:val="005A33B1"/>
    <w:rsid w:val="005A3581"/>
    <w:rsid w:val="005A359F"/>
    <w:rsid w:val="005A3868"/>
    <w:rsid w:val="005A3AFE"/>
    <w:rsid w:val="005A3E1D"/>
    <w:rsid w:val="005A4169"/>
    <w:rsid w:val="005A41E7"/>
    <w:rsid w:val="005A4702"/>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1E9B"/>
    <w:rsid w:val="005B2186"/>
    <w:rsid w:val="005B2561"/>
    <w:rsid w:val="005B299C"/>
    <w:rsid w:val="005B2E89"/>
    <w:rsid w:val="005B2EED"/>
    <w:rsid w:val="005B2FEB"/>
    <w:rsid w:val="005B328C"/>
    <w:rsid w:val="005B3527"/>
    <w:rsid w:val="005B368F"/>
    <w:rsid w:val="005B36E2"/>
    <w:rsid w:val="005B39A5"/>
    <w:rsid w:val="005B3B66"/>
    <w:rsid w:val="005B3CFF"/>
    <w:rsid w:val="005B428C"/>
    <w:rsid w:val="005B431E"/>
    <w:rsid w:val="005B4390"/>
    <w:rsid w:val="005B4C77"/>
    <w:rsid w:val="005B4D86"/>
    <w:rsid w:val="005B53E1"/>
    <w:rsid w:val="005B57BD"/>
    <w:rsid w:val="005B59EC"/>
    <w:rsid w:val="005B5AC4"/>
    <w:rsid w:val="005B5F64"/>
    <w:rsid w:val="005B633B"/>
    <w:rsid w:val="005B6528"/>
    <w:rsid w:val="005B69AD"/>
    <w:rsid w:val="005B6AE7"/>
    <w:rsid w:val="005B7131"/>
    <w:rsid w:val="005B72A0"/>
    <w:rsid w:val="005B751A"/>
    <w:rsid w:val="005B763E"/>
    <w:rsid w:val="005B7954"/>
    <w:rsid w:val="005B7B10"/>
    <w:rsid w:val="005C0A4A"/>
    <w:rsid w:val="005C0ADA"/>
    <w:rsid w:val="005C0AFB"/>
    <w:rsid w:val="005C13FB"/>
    <w:rsid w:val="005C1BC6"/>
    <w:rsid w:val="005C2402"/>
    <w:rsid w:val="005C24F8"/>
    <w:rsid w:val="005C268B"/>
    <w:rsid w:val="005C2929"/>
    <w:rsid w:val="005C29B1"/>
    <w:rsid w:val="005C2B3B"/>
    <w:rsid w:val="005C2B93"/>
    <w:rsid w:val="005C2D8C"/>
    <w:rsid w:val="005C3955"/>
    <w:rsid w:val="005C3C0F"/>
    <w:rsid w:val="005C4125"/>
    <w:rsid w:val="005C47B0"/>
    <w:rsid w:val="005C4A8E"/>
    <w:rsid w:val="005C4AE1"/>
    <w:rsid w:val="005C4E5C"/>
    <w:rsid w:val="005C4FAD"/>
    <w:rsid w:val="005C537A"/>
    <w:rsid w:val="005C5699"/>
    <w:rsid w:val="005C5AD9"/>
    <w:rsid w:val="005C5AE7"/>
    <w:rsid w:val="005C5F65"/>
    <w:rsid w:val="005C6268"/>
    <w:rsid w:val="005C6581"/>
    <w:rsid w:val="005C69EF"/>
    <w:rsid w:val="005C7189"/>
    <w:rsid w:val="005C7231"/>
    <w:rsid w:val="005C72AF"/>
    <w:rsid w:val="005C7603"/>
    <w:rsid w:val="005C7843"/>
    <w:rsid w:val="005C7E5B"/>
    <w:rsid w:val="005D0292"/>
    <w:rsid w:val="005D135A"/>
    <w:rsid w:val="005D1375"/>
    <w:rsid w:val="005D1486"/>
    <w:rsid w:val="005D154A"/>
    <w:rsid w:val="005D160B"/>
    <w:rsid w:val="005D1B0E"/>
    <w:rsid w:val="005D1BC6"/>
    <w:rsid w:val="005D1C76"/>
    <w:rsid w:val="005D2009"/>
    <w:rsid w:val="005D271D"/>
    <w:rsid w:val="005D273D"/>
    <w:rsid w:val="005D2E32"/>
    <w:rsid w:val="005D3355"/>
    <w:rsid w:val="005D37C6"/>
    <w:rsid w:val="005D3C5C"/>
    <w:rsid w:val="005D3C78"/>
    <w:rsid w:val="005D3E4E"/>
    <w:rsid w:val="005D3F7B"/>
    <w:rsid w:val="005D4430"/>
    <w:rsid w:val="005D446D"/>
    <w:rsid w:val="005D4733"/>
    <w:rsid w:val="005D48B7"/>
    <w:rsid w:val="005D4A0A"/>
    <w:rsid w:val="005D4AD9"/>
    <w:rsid w:val="005D4C91"/>
    <w:rsid w:val="005D4F01"/>
    <w:rsid w:val="005D4F33"/>
    <w:rsid w:val="005D53BB"/>
    <w:rsid w:val="005D5C8D"/>
    <w:rsid w:val="005D6657"/>
    <w:rsid w:val="005D6E3B"/>
    <w:rsid w:val="005D754E"/>
    <w:rsid w:val="005D7B15"/>
    <w:rsid w:val="005D7E84"/>
    <w:rsid w:val="005E0698"/>
    <w:rsid w:val="005E0A5B"/>
    <w:rsid w:val="005E0AD9"/>
    <w:rsid w:val="005E103D"/>
    <w:rsid w:val="005E13A7"/>
    <w:rsid w:val="005E17D5"/>
    <w:rsid w:val="005E1849"/>
    <w:rsid w:val="005E22A3"/>
    <w:rsid w:val="005E253A"/>
    <w:rsid w:val="005E2D59"/>
    <w:rsid w:val="005E2E08"/>
    <w:rsid w:val="005E2F32"/>
    <w:rsid w:val="005E38F7"/>
    <w:rsid w:val="005E3906"/>
    <w:rsid w:val="005E3BF8"/>
    <w:rsid w:val="005E3E56"/>
    <w:rsid w:val="005E3E70"/>
    <w:rsid w:val="005E406E"/>
    <w:rsid w:val="005E4101"/>
    <w:rsid w:val="005E43B9"/>
    <w:rsid w:val="005E4469"/>
    <w:rsid w:val="005E446D"/>
    <w:rsid w:val="005E4BCC"/>
    <w:rsid w:val="005E4EFA"/>
    <w:rsid w:val="005E4F2C"/>
    <w:rsid w:val="005E53A8"/>
    <w:rsid w:val="005E555D"/>
    <w:rsid w:val="005E55E5"/>
    <w:rsid w:val="005E56A6"/>
    <w:rsid w:val="005E5733"/>
    <w:rsid w:val="005E5FEE"/>
    <w:rsid w:val="005E655A"/>
    <w:rsid w:val="005E68A5"/>
    <w:rsid w:val="005E6960"/>
    <w:rsid w:val="005E7002"/>
    <w:rsid w:val="005F0A21"/>
    <w:rsid w:val="005F0A9F"/>
    <w:rsid w:val="005F0CD9"/>
    <w:rsid w:val="005F0E75"/>
    <w:rsid w:val="005F1404"/>
    <w:rsid w:val="005F1637"/>
    <w:rsid w:val="005F177F"/>
    <w:rsid w:val="005F180E"/>
    <w:rsid w:val="005F2050"/>
    <w:rsid w:val="005F20E2"/>
    <w:rsid w:val="005F236F"/>
    <w:rsid w:val="005F2721"/>
    <w:rsid w:val="005F2EFE"/>
    <w:rsid w:val="005F2F4C"/>
    <w:rsid w:val="005F33EC"/>
    <w:rsid w:val="005F3400"/>
    <w:rsid w:val="005F3D6E"/>
    <w:rsid w:val="005F3F3B"/>
    <w:rsid w:val="005F4AA2"/>
    <w:rsid w:val="005F5237"/>
    <w:rsid w:val="005F5CEC"/>
    <w:rsid w:val="005F5E8F"/>
    <w:rsid w:val="005F62A4"/>
    <w:rsid w:val="005F63B2"/>
    <w:rsid w:val="005F6478"/>
    <w:rsid w:val="005F68EC"/>
    <w:rsid w:val="005F6BC5"/>
    <w:rsid w:val="005F6D94"/>
    <w:rsid w:val="005F721E"/>
    <w:rsid w:val="005F7691"/>
    <w:rsid w:val="005F78BB"/>
    <w:rsid w:val="005F79ED"/>
    <w:rsid w:val="005F7BC9"/>
    <w:rsid w:val="005F7C09"/>
    <w:rsid w:val="005F7F36"/>
    <w:rsid w:val="0060003A"/>
    <w:rsid w:val="006001A8"/>
    <w:rsid w:val="006001C1"/>
    <w:rsid w:val="0060021B"/>
    <w:rsid w:val="006005CE"/>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4F60"/>
    <w:rsid w:val="006055AE"/>
    <w:rsid w:val="0060579A"/>
    <w:rsid w:val="006060D8"/>
    <w:rsid w:val="006061CF"/>
    <w:rsid w:val="006066C0"/>
    <w:rsid w:val="00606802"/>
    <w:rsid w:val="00606BD7"/>
    <w:rsid w:val="00607144"/>
    <w:rsid w:val="006071A5"/>
    <w:rsid w:val="006071C6"/>
    <w:rsid w:val="00607764"/>
    <w:rsid w:val="00607874"/>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580"/>
    <w:rsid w:val="00614725"/>
    <w:rsid w:val="00614964"/>
    <w:rsid w:val="00614A2B"/>
    <w:rsid w:val="00614CF1"/>
    <w:rsid w:val="00614D25"/>
    <w:rsid w:val="00614E08"/>
    <w:rsid w:val="00615322"/>
    <w:rsid w:val="0061584D"/>
    <w:rsid w:val="0061587C"/>
    <w:rsid w:val="00615993"/>
    <w:rsid w:val="00615AEE"/>
    <w:rsid w:val="00616305"/>
    <w:rsid w:val="00616CA9"/>
    <w:rsid w:val="00616D15"/>
    <w:rsid w:val="00616E65"/>
    <w:rsid w:val="006175EE"/>
    <w:rsid w:val="00617A28"/>
    <w:rsid w:val="00617B54"/>
    <w:rsid w:val="00617D6E"/>
    <w:rsid w:val="00617FED"/>
    <w:rsid w:val="00620082"/>
    <w:rsid w:val="006202C4"/>
    <w:rsid w:val="00620412"/>
    <w:rsid w:val="006207D5"/>
    <w:rsid w:val="00620923"/>
    <w:rsid w:val="00620E38"/>
    <w:rsid w:val="006212C3"/>
    <w:rsid w:val="006213AC"/>
    <w:rsid w:val="00621508"/>
    <w:rsid w:val="00621A8B"/>
    <w:rsid w:val="00621EDF"/>
    <w:rsid w:val="00621FD3"/>
    <w:rsid w:val="00622576"/>
    <w:rsid w:val="00623068"/>
    <w:rsid w:val="00623077"/>
    <w:rsid w:val="006232F6"/>
    <w:rsid w:val="0062386B"/>
    <w:rsid w:val="00623D85"/>
    <w:rsid w:val="00623E94"/>
    <w:rsid w:val="00623F11"/>
    <w:rsid w:val="00624C69"/>
    <w:rsid w:val="00625153"/>
    <w:rsid w:val="00625400"/>
    <w:rsid w:val="00625B82"/>
    <w:rsid w:val="00625FC7"/>
    <w:rsid w:val="006260AD"/>
    <w:rsid w:val="00626724"/>
    <w:rsid w:val="0062693C"/>
    <w:rsid w:val="00626D8C"/>
    <w:rsid w:val="006271C8"/>
    <w:rsid w:val="0062720C"/>
    <w:rsid w:val="0062720D"/>
    <w:rsid w:val="00627C8F"/>
    <w:rsid w:val="006305A7"/>
    <w:rsid w:val="0063096F"/>
    <w:rsid w:val="00630D95"/>
    <w:rsid w:val="00630E41"/>
    <w:rsid w:val="0063187C"/>
    <w:rsid w:val="00631F8B"/>
    <w:rsid w:val="00632622"/>
    <w:rsid w:val="006326DF"/>
    <w:rsid w:val="00632CF5"/>
    <w:rsid w:val="0063313A"/>
    <w:rsid w:val="00633D10"/>
    <w:rsid w:val="00633FF1"/>
    <w:rsid w:val="00634523"/>
    <w:rsid w:val="0063452A"/>
    <w:rsid w:val="006347ED"/>
    <w:rsid w:val="00634B50"/>
    <w:rsid w:val="00634CB8"/>
    <w:rsid w:val="00635046"/>
    <w:rsid w:val="00635937"/>
    <w:rsid w:val="00636023"/>
    <w:rsid w:val="006360B8"/>
    <w:rsid w:val="0063612E"/>
    <w:rsid w:val="006364DF"/>
    <w:rsid w:val="00636B1F"/>
    <w:rsid w:val="00636D81"/>
    <w:rsid w:val="00637267"/>
    <w:rsid w:val="006372CA"/>
    <w:rsid w:val="0063734C"/>
    <w:rsid w:val="006377E2"/>
    <w:rsid w:val="006402AE"/>
    <w:rsid w:val="00640911"/>
    <w:rsid w:val="00640B2C"/>
    <w:rsid w:val="00640CAF"/>
    <w:rsid w:val="00640D82"/>
    <w:rsid w:val="00640D91"/>
    <w:rsid w:val="00640EF0"/>
    <w:rsid w:val="0064113C"/>
    <w:rsid w:val="00641392"/>
    <w:rsid w:val="0064147B"/>
    <w:rsid w:val="00641628"/>
    <w:rsid w:val="00641856"/>
    <w:rsid w:val="00641FE1"/>
    <w:rsid w:val="00641FE4"/>
    <w:rsid w:val="006420C9"/>
    <w:rsid w:val="0064221A"/>
    <w:rsid w:val="0064243A"/>
    <w:rsid w:val="00642749"/>
    <w:rsid w:val="00642D7C"/>
    <w:rsid w:val="00642ED0"/>
    <w:rsid w:val="00642F92"/>
    <w:rsid w:val="006432E9"/>
    <w:rsid w:val="006435FA"/>
    <w:rsid w:val="00643BC9"/>
    <w:rsid w:val="0064408F"/>
    <w:rsid w:val="006443D1"/>
    <w:rsid w:val="006443F2"/>
    <w:rsid w:val="0064471E"/>
    <w:rsid w:val="00644A04"/>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20A7"/>
    <w:rsid w:val="00652309"/>
    <w:rsid w:val="006524B0"/>
    <w:rsid w:val="00652898"/>
    <w:rsid w:val="00652A99"/>
    <w:rsid w:val="00652D3E"/>
    <w:rsid w:val="00652DF1"/>
    <w:rsid w:val="00652E43"/>
    <w:rsid w:val="006536C5"/>
    <w:rsid w:val="00653744"/>
    <w:rsid w:val="00653B1D"/>
    <w:rsid w:val="00653C6D"/>
    <w:rsid w:val="00654130"/>
    <w:rsid w:val="00654D6C"/>
    <w:rsid w:val="00654D72"/>
    <w:rsid w:val="00654E6A"/>
    <w:rsid w:val="0065546C"/>
    <w:rsid w:val="0065598B"/>
    <w:rsid w:val="00655DDC"/>
    <w:rsid w:val="00655EE8"/>
    <w:rsid w:val="006569FF"/>
    <w:rsid w:val="00656B32"/>
    <w:rsid w:val="00656DFB"/>
    <w:rsid w:val="00657093"/>
    <w:rsid w:val="00660071"/>
    <w:rsid w:val="006604EE"/>
    <w:rsid w:val="00660D83"/>
    <w:rsid w:val="00660E25"/>
    <w:rsid w:val="006614C4"/>
    <w:rsid w:val="0066158E"/>
    <w:rsid w:val="006616D0"/>
    <w:rsid w:val="00661CB1"/>
    <w:rsid w:val="00661E2A"/>
    <w:rsid w:val="00661EA0"/>
    <w:rsid w:val="00662361"/>
    <w:rsid w:val="00662B86"/>
    <w:rsid w:val="0066374C"/>
    <w:rsid w:val="0066381E"/>
    <w:rsid w:val="00663B88"/>
    <w:rsid w:val="00663EFF"/>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678E0"/>
    <w:rsid w:val="00670FCE"/>
    <w:rsid w:val="00671161"/>
    <w:rsid w:val="00671999"/>
    <w:rsid w:val="00671FAE"/>
    <w:rsid w:val="00672363"/>
    <w:rsid w:val="0067240C"/>
    <w:rsid w:val="00672424"/>
    <w:rsid w:val="00672581"/>
    <w:rsid w:val="00672623"/>
    <w:rsid w:val="00672789"/>
    <w:rsid w:val="006727E7"/>
    <w:rsid w:val="00672D31"/>
    <w:rsid w:val="00673611"/>
    <w:rsid w:val="0067390A"/>
    <w:rsid w:val="0067405E"/>
    <w:rsid w:val="006746EF"/>
    <w:rsid w:val="00674A66"/>
    <w:rsid w:val="00674E88"/>
    <w:rsid w:val="00675112"/>
    <w:rsid w:val="00675A95"/>
    <w:rsid w:val="00675EEF"/>
    <w:rsid w:val="0067626E"/>
    <w:rsid w:val="0067687D"/>
    <w:rsid w:val="006768AC"/>
    <w:rsid w:val="00676B1B"/>
    <w:rsid w:val="00676B53"/>
    <w:rsid w:val="00676C91"/>
    <w:rsid w:val="006773AF"/>
    <w:rsid w:val="00677695"/>
    <w:rsid w:val="0067778C"/>
    <w:rsid w:val="00677899"/>
    <w:rsid w:val="006779EC"/>
    <w:rsid w:val="00677A12"/>
    <w:rsid w:val="00677A2B"/>
    <w:rsid w:val="00677D85"/>
    <w:rsid w:val="00677EBE"/>
    <w:rsid w:val="0068078F"/>
    <w:rsid w:val="0068079A"/>
    <w:rsid w:val="0068119D"/>
    <w:rsid w:val="00681C59"/>
    <w:rsid w:val="00681CF3"/>
    <w:rsid w:val="006825E5"/>
    <w:rsid w:val="00682629"/>
    <w:rsid w:val="00682D22"/>
    <w:rsid w:val="00682D8C"/>
    <w:rsid w:val="00682D91"/>
    <w:rsid w:val="00682F42"/>
    <w:rsid w:val="00683218"/>
    <w:rsid w:val="006833D1"/>
    <w:rsid w:val="00683B4A"/>
    <w:rsid w:val="00683D64"/>
    <w:rsid w:val="006841BE"/>
    <w:rsid w:val="00684288"/>
    <w:rsid w:val="0068449B"/>
    <w:rsid w:val="00684616"/>
    <w:rsid w:val="00684816"/>
    <w:rsid w:val="00685001"/>
    <w:rsid w:val="0068538C"/>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08"/>
    <w:rsid w:val="006911A8"/>
    <w:rsid w:val="0069148F"/>
    <w:rsid w:val="0069164D"/>
    <w:rsid w:val="0069218C"/>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0FC"/>
    <w:rsid w:val="006977CA"/>
    <w:rsid w:val="00697B16"/>
    <w:rsid w:val="00697E47"/>
    <w:rsid w:val="006A0026"/>
    <w:rsid w:val="006A0A2A"/>
    <w:rsid w:val="006A0FEF"/>
    <w:rsid w:val="006A1AA4"/>
    <w:rsid w:val="006A1DAB"/>
    <w:rsid w:val="006A2B71"/>
    <w:rsid w:val="006A2E76"/>
    <w:rsid w:val="006A32C3"/>
    <w:rsid w:val="006A390E"/>
    <w:rsid w:val="006A3D06"/>
    <w:rsid w:val="006A41AB"/>
    <w:rsid w:val="006A4579"/>
    <w:rsid w:val="006A45E3"/>
    <w:rsid w:val="006A497D"/>
    <w:rsid w:val="006A4DD6"/>
    <w:rsid w:val="006A4F5D"/>
    <w:rsid w:val="006A5405"/>
    <w:rsid w:val="006A546D"/>
    <w:rsid w:val="006A55A0"/>
    <w:rsid w:val="006A5822"/>
    <w:rsid w:val="006A5C2C"/>
    <w:rsid w:val="006A5F2E"/>
    <w:rsid w:val="006A69BA"/>
    <w:rsid w:val="006A6BC2"/>
    <w:rsid w:val="006A6C0F"/>
    <w:rsid w:val="006A6CCE"/>
    <w:rsid w:val="006A6E45"/>
    <w:rsid w:val="006A6F4D"/>
    <w:rsid w:val="006A7509"/>
    <w:rsid w:val="006A75FF"/>
    <w:rsid w:val="006A77BC"/>
    <w:rsid w:val="006A7CAF"/>
    <w:rsid w:val="006A7DE8"/>
    <w:rsid w:val="006A7E80"/>
    <w:rsid w:val="006B034D"/>
    <w:rsid w:val="006B04F7"/>
    <w:rsid w:val="006B09F5"/>
    <w:rsid w:val="006B0B2E"/>
    <w:rsid w:val="006B0E9E"/>
    <w:rsid w:val="006B18C8"/>
    <w:rsid w:val="006B1B99"/>
    <w:rsid w:val="006B1E0C"/>
    <w:rsid w:val="006B1FD6"/>
    <w:rsid w:val="006B25F4"/>
    <w:rsid w:val="006B2A0A"/>
    <w:rsid w:val="006B2ACC"/>
    <w:rsid w:val="006B3272"/>
    <w:rsid w:val="006B3CAC"/>
    <w:rsid w:val="006B3DE7"/>
    <w:rsid w:val="006B3EAF"/>
    <w:rsid w:val="006B3EF5"/>
    <w:rsid w:val="006B3F9A"/>
    <w:rsid w:val="006B432D"/>
    <w:rsid w:val="006B462A"/>
    <w:rsid w:val="006B478B"/>
    <w:rsid w:val="006B495E"/>
    <w:rsid w:val="006B4F39"/>
    <w:rsid w:val="006B50D2"/>
    <w:rsid w:val="006B5386"/>
    <w:rsid w:val="006B54F5"/>
    <w:rsid w:val="006B5742"/>
    <w:rsid w:val="006B5795"/>
    <w:rsid w:val="006B5D9E"/>
    <w:rsid w:val="006B6080"/>
    <w:rsid w:val="006B62A8"/>
    <w:rsid w:val="006B6385"/>
    <w:rsid w:val="006B6B01"/>
    <w:rsid w:val="006B6DCB"/>
    <w:rsid w:val="006B7A98"/>
    <w:rsid w:val="006B7AA4"/>
    <w:rsid w:val="006B7F4D"/>
    <w:rsid w:val="006C0401"/>
    <w:rsid w:val="006C04F1"/>
    <w:rsid w:val="006C0CFF"/>
    <w:rsid w:val="006C0E0C"/>
    <w:rsid w:val="006C0EA2"/>
    <w:rsid w:val="006C15E7"/>
    <w:rsid w:val="006C17F4"/>
    <w:rsid w:val="006C19A2"/>
    <w:rsid w:val="006C19D7"/>
    <w:rsid w:val="006C2518"/>
    <w:rsid w:val="006C25CA"/>
    <w:rsid w:val="006C34E2"/>
    <w:rsid w:val="006C3775"/>
    <w:rsid w:val="006C3827"/>
    <w:rsid w:val="006C394D"/>
    <w:rsid w:val="006C3B57"/>
    <w:rsid w:val="006C3CED"/>
    <w:rsid w:val="006C3E4B"/>
    <w:rsid w:val="006C4680"/>
    <w:rsid w:val="006C472D"/>
    <w:rsid w:val="006C4C12"/>
    <w:rsid w:val="006C50FB"/>
    <w:rsid w:val="006C53D7"/>
    <w:rsid w:val="006C5889"/>
    <w:rsid w:val="006C5A05"/>
    <w:rsid w:val="006C614E"/>
    <w:rsid w:val="006C6281"/>
    <w:rsid w:val="006C6482"/>
    <w:rsid w:val="006C66FB"/>
    <w:rsid w:val="006C6DD8"/>
    <w:rsid w:val="006C6F48"/>
    <w:rsid w:val="006C6F8C"/>
    <w:rsid w:val="006C7D3D"/>
    <w:rsid w:val="006C7F9B"/>
    <w:rsid w:val="006D003F"/>
    <w:rsid w:val="006D104D"/>
    <w:rsid w:val="006D12F6"/>
    <w:rsid w:val="006D16B8"/>
    <w:rsid w:val="006D18AF"/>
    <w:rsid w:val="006D1C56"/>
    <w:rsid w:val="006D225F"/>
    <w:rsid w:val="006D290C"/>
    <w:rsid w:val="006D2934"/>
    <w:rsid w:val="006D296C"/>
    <w:rsid w:val="006D38D1"/>
    <w:rsid w:val="006D3B16"/>
    <w:rsid w:val="006D3CA3"/>
    <w:rsid w:val="006D3D5E"/>
    <w:rsid w:val="006D3DA2"/>
    <w:rsid w:val="006D3F89"/>
    <w:rsid w:val="006D3FB9"/>
    <w:rsid w:val="006D40DC"/>
    <w:rsid w:val="006D41F2"/>
    <w:rsid w:val="006D43C1"/>
    <w:rsid w:val="006D5174"/>
    <w:rsid w:val="006D566F"/>
    <w:rsid w:val="006D58A8"/>
    <w:rsid w:val="006D5A41"/>
    <w:rsid w:val="006D60B8"/>
    <w:rsid w:val="006D63C0"/>
    <w:rsid w:val="006D6527"/>
    <w:rsid w:val="006D6630"/>
    <w:rsid w:val="006D68F4"/>
    <w:rsid w:val="006D6D93"/>
    <w:rsid w:val="006D6F04"/>
    <w:rsid w:val="006D703F"/>
    <w:rsid w:val="006D745C"/>
    <w:rsid w:val="006D74A8"/>
    <w:rsid w:val="006D7F9C"/>
    <w:rsid w:val="006E0045"/>
    <w:rsid w:val="006E00CE"/>
    <w:rsid w:val="006E031E"/>
    <w:rsid w:val="006E03B9"/>
    <w:rsid w:val="006E04D1"/>
    <w:rsid w:val="006E0565"/>
    <w:rsid w:val="006E0632"/>
    <w:rsid w:val="006E0B24"/>
    <w:rsid w:val="006E0CA3"/>
    <w:rsid w:val="006E10EB"/>
    <w:rsid w:val="006E1161"/>
    <w:rsid w:val="006E12C8"/>
    <w:rsid w:val="006E1469"/>
    <w:rsid w:val="006E14BD"/>
    <w:rsid w:val="006E1722"/>
    <w:rsid w:val="006E18E9"/>
    <w:rsid w:val="006E1ABA"/>
    <w:rsid w:val="006E1D40"/>
    <w:rsid w:val="006E2043"/>
    <w:rsid w:val="006E213C"/>
    <w:rsid w:val="006E33D8"/>
    <w:rsid w:val="006E3C01"/>
    <w:rsid w:val="006E3F16"/>
    <w:rsid w:val="006E418F"/>
    <w:rsid w:val="006E49BF"/>
    <w:rsid w:val="006E4C27"/>
    <w:rsid w:val="006E4F05"/>
    <w:rsid w:val="006E502E"/>
    <w:rsid w:val="006E5861"/>
    <w:rsid w:val="006E5872"/>
    <w:rsid w:val="006E5B0E"/>
    <w:rsid w:val="006E5C03"/>
    <w:rsid w:val="006E6068"/>
    <w:rsid w:val="006E63EB"/>
    <w:rsid w:val="006E668A"/>
    <w:rsid w:val="006E69A9"/>
    <w:rsid w:val="006E74F5"/>
    <w:rsid w:val="006E7722"/>
    <w:rsid w:val="006E7E63"/>
    <w:rsid w:val="006F0276"/>
    <w:rsid w:val="006F0394"/>
    <w:rsid w:val="006F097F"/>
    <w:rsid w:val="006F0A08"/>
    <w:rsid w:val="006F0D7F"/>
    <w:rsid w:val="006F1422"/>
    <w:rsid w:val="006F16DA"/>
    <w:rsid w:val="006F17FD"/>
    <w:rsid w:val="006F1892"/>
    <w:rsid w:val="006F1BF1"/>
    <w:rsid w:val="006F1E7A"/>
    <w:rsid w:val="006F21E0"/>
    <w:rsid w:val="006F22A5"/>
    <w:rsid w:val="006F2855"/>
    <w:rsid w:val="006F29D9"/>
    <w:rsid w:val="006F3047"/>
    <w:rsid w:val="006F3859"/>
    <w:rsid w:val="006F3A2B"/>
    <w:rsid w:val="006F3A79"/>
    <w:rsid w:val="006F42E2"/>
    <w:rsid w:val="006F43FA"/>
    <w:rsid w:val="006F4858"/>
    <w:rsid w:val="006F4A81"/>
    <w:rsid w:val="006F4B15"/>
    <w:rsid w:val="006F590F"/>
    <w:rsid w:val="006F5A2A"/>
    <w:rsid w:val="006F5C40"/>
    <w:rsid w:val="006F607D"/>
    <w:rsid w:val="006F619C"/>
    <w:rsid w:val="006F61A1"/>
    <w:rsid w:val="006F6302"/>
    <w:rsid w:val="006F67E4"/>
    <w:rsid w:val="006F6B3F"/>
    <w:rsid w:val="006F6CDC"/>
    <w:rsid w:val="006F6F80"/>
    <w:rsid w:val="006F7899"/>
    <w:rsid w:val="006F789A"/>
    <w:rsid w:val="0070024E"/>
    <w:rsid w:val="007003F2"/>
    <w:rsid w:val="007005C4"/>
    <w:rsid w:val="007007C9"/>
    <w:rsid w:val="00700872"/>
    <w:rsid w:val="00701530"/>
    <w:rsid w:val="00701719"/>
    <w:rsid w:val="00701AE8"/>
    <w:rsid w:val="00702074"/>
    <w:rsid w:val="0070267D"/>
    <w:rsid w:val="007029E1"/>
    <w:rsid w:val="00702B20"/>
    <w:rsid w:val="00702D6F"/>
    <w:rsid w:val="00702D82"/>
    <w:rsid w:val="00702EF1"/>
    <w:rsid w:val="00703272"/>
    <w:rsid w:val="0070327A"/>
    <w:rsid w:val="0070377C"/>
    <w:rsid w:val="007038AB"/>
    <w:rsid w:val="00703B63"/>
    <w:rsid w:val="00704475"/>
    <w:rsid w:val="00705298"/>
    <w:rsid w:val="00705422"/>
    <w:rsid w:val="007056C4"/>
    <w:rsid w:val="00705977"/>
    <w:rsid w:val="00705C40"/>
    <w:rsid w:val="00705D93"/>
    <w:rsid w:val="00705E4B"/>
    <w:rsid w:val="00705F08"/>
    <w:rsid w:val="007060D2"/>
    <w:rsid w:val="00706190"/>
    <w:rsid w:val="00706547"/>
    <w:rsid w:val="00706879"/>
    <w:rsid w:val="0070697F"/>
    <w:rsid w:val="00706990"/>
    <w:rsid w:val="007069BC"/>
    <w:rsid w:val="00706B02"/>
    <w:rsid w:val="007070B1"/>
    <w:rsid w:val="007073B7"/>
    <w:rsid w:val="00707D42"/>
    <w:rsid w:val="00707EE0"/>
    <w:rsid w:val="00707EFA"/>
    <w:rsid w:val="00710109"/>
    <w:rsid w:val="00710273"/>
    <w:rsid w:val="007105A5"/>
    <w:rsid w:val="00710747"/>
    <w:rsid w:val="007107C1"/>
    <w:rsid w:val="007108A2"/>
    <w:rsid w:val="00711399"/>
    <w:rsid w:val="00711493"/>
    <w:rsid w:val="00711C69"/>
    <w:rsid w:val="0071254B"/>
    <w:rsid w:val="00712BAB"/>
    <w:rsid w:val="00712BBB"/>
    <w:rsid w:val="00713239"/>
    <w:rsid w:val="0071402B"/>
    <w:rsid w:val="0071482A"/>
    <w:rsid w:val="0071487E"/>
    <w:rsid w:val="007149C5"/>
    <w:rsid w:val="00714B7C"/>
    <w:rsid w:val="00714F54"/>
    <w:rsid w:val="00715338"/>
    <w:rsid w:val="007154C9"/>
    <w:rsid w:val="007155AF"/>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087"/>
    <w:rsid w:val="00717337"/>
    <w:rsid w:val="0071752B"/>
    <w:rsid w:val="007177BF"/>
    <w:rsid w:val="00717825"/>
    <w:rsid w:val="00717A6C"/>
    <w:rsid w:val="00717CF9"/>
    <w:rsid w:val="00717E89"/>
    <w:rsid w:val="0072012A"/>
    <w:rsid w:val="00720206"/>
    <w:rsid w:val="0072059B"/>
    <w:rsid w:val="0072078F"/>
    <w:rsid w:val="00720F3D"/>
    <w:rsid w:val="00721086"/>
    <w:rsid w:val="00721D7C"/>
    <w:rsid w:val="00722031"/>
    <w:rsid w:val="007221AF"/>
    <w:rsid w:val="00722392"/>
    <w:rsid w:val="00722480"/>
    <w:rsid w:val="00722923"/>
    <w:rsid w:val="00722B28"/>
    <w:rsid w:val="0072395D"/>
    <w:rsid w:val="00723D54"/>
    <w:rsid w:val="00724676"/>
    <w:rsid w:val="007249B9"/>
    <w:rsid w:val="00724B8C"/>
    <w:rsid w:val="00724FC5"/>
    <w:rsid w:val="00725035"/>
    <w:rsid w:val="00725591"/>
    <w:rsid w:val="007260A8"/>
    <w:rsid w:val="00726433"/>
    <w:rsid w:val="0072662A"/>
    <w:rsid w:val="0072664E"/>
    <w:rsid w:val="007267B9"/>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265F"/>
    <w:rsid w:val="007330AD"/>
    <w:rsid w:val="00733DC8"/>
    <w:rsid w:val="00734597"/>
    <w:rsid w:val="007347AF"/>
    <w:rsid w:val="00734B28"/>
    <w:rsid w:val="00734B89"/>
    <w:rsid w:val="00734BFC"/>
    <w:rsid w:val="00734F82"/>
    <w:rsid w:val="00734F9A"/>
    <w:rsid w:val="00735347"/>
    <w:rsid w:val="00735606"/>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86"/>
    <w:rsid w:val="007400EE"/>
    <w:rsid w:val="0074012C"/>
    <w:rsid w:val="0074016B"/>
    <w:rsid w:val="0074019A"/>
    <w:rsid w:val="007405F6"/>
    <w:rsid w:val="00741008"/>
    <w:rsid w:val="007410B6"/>
    <w:rsid w:val="00741730"/>
    <w:rsid w:val="0074197A"/>
    <w:rsid w:val="00741A88"/>
    <w:rsid w:val="00741D25"/>
    <w:rsid w:val="00741D5C"/>
    <w:rsid w:val="007424BA"/>
    <w:rsid w:val="00742838"/>
    <w:rsid w:val="00742A7B"/>
    <w:rsid w:val="00742B16"/>
    <w:rsid w:val="00742BB9"/>
    <w:rsid w:val="00742C00"/>
    <w:rsid w:val="00742C31"/>
    <w:rsid w:val="007430DB"/>
    <w:rsid w:val="0074326D"/>
    <w:rsid w:val="007432F2"/>
    <w:rsid w:val="007433BD"/>
    <w:rsid w:val="007433CE"/>
    <w:rsid w:val="007433EB"/>
    <w:rsid w:val="00743804"/>
    <w:rsid w:val="007446F3"/>
    <w:rsid w:val="0074472A"/>
    <w:rsid w:val="00744FD8"/>
    <w:rsid w:val="00745BF9"/>
    <w:rsid w:val="00745E86"/>
    <w:rsid w:val="00746385"/>
    <w:rsid w:val="0074681F"/>
    <w:rsid w:val="00746B09"/>
    <w:rsid w:val="00746E71"/>
    <w:rsid w:val="00746FF0"/>
    <w:rsid w:val="00747275"/>
    <w:rsid w:val="00747E68"/>
    <w:rsid w:val="00747FD8"/>
    <w:rsid w:val="0075023E"/>
    <w:rsid w:val="007504F2"/>
    <w:rsid w:val="00750648"/>
    <w:rsid w:val="00750E44"/>
    <w:rsid w:val="007514B4"/>
    <w:rsid w:val="00751CEF"/>
    <w:rsid w:val="00752192"/>
    <w:rsid w:val="0075228E"/>
    <w:rsid w:val="007522CA"/>
    <w:rsid w:val="00752532"/>
    <w:rsid w:val="0075267C"/>
    <w:rsid w:val="00752A7C"/>
    <w:rsid w:val="00752C4B"/>
    <w:rsid w:val="00752CBA"/>
    <w:rsid w:val="00752D6E"/>
    <w:rsid w:val="007530BA"/>
    <w:rsid w:val="00753443"/>
    <w:rsid w:val="007535D8"/>
    <w:rsid w:val="007535FB"/>
    <w:rsid w:val="00753749"/>
    <w:rsid w:val="00753780"/>
    <w:rsid w:val="00753B92"/>
    <w:rsid w:val="007540E4"/>
    <w:rsid w:val="0075414F"/>
    <w:rsid w:val="007544E1"/>
    <w:rsid w:val="007548F7"/>
    <w:rsid w:val="00754ED4"/>
    <w:rsid w:val="00754EE7"/>
    <w:rsid w:val="00755AF7"/>
    <w:rsid w:val="00755BBF"/>
    <w:rsid w:val="00755D1F"/>
    <w:rsid w:val="00755DB8"/>
    <w:rsid w:val="00755DF2"/>
    <w:rsid w:val="0075629C"/>
    <w:rsid w:val="007565D0"/>
    <w:rsid w:val="00756FDE"/>
    <w:rsid w:val="00757048"/>
    <w:rsid w:val="0075746B"/>
    <w:rsid w:val="007579CE"/>
    <w:rsid w:val="00757DC5"/>
    <w:rsid w:val="00757FDE"/>
    <w:rsid w:val="00760869"/>
    <w:rsid w:val="00760F78"/>
    <w:rsid w:val="007610EE"/>
    <w:rsid w:val="00761329"/>
    <w:rsid w:val="00761532"/>
    <w:rsid w:val="00761541"/>
    <w:rsid w:val="007619D8"/>
    <w:rsid w:val="00761CBD"/>
    <w:rsid w:val="00761DF6"/>
    <w:rsid w:val="00761E00"/>
    <w:rsid w:val="00762100"/>
    <w:rsid w:val="00762D75"/>
    <w:rsid w:val="00762ED3"/>
    <w:rsid w:val="00762F67"/>
    <w:rsid w:val="00763874"/>
    <w:rsid w:val="00763A53"/>
    <w:rsid w:val="00763AD5"/>
    <w:rsid w:val="00763C28"/>
    <w:rsid w:val="00763FE9"/>
    <w:rsid w:val="0076513F"/>
    <w:rsid w:val="007654FA"/>
    <w:rsid w:val="00765662"/>
    <w:rsid w:val="00765A4B"/>
    <w:rsid w:val="00765B4B"/>
    <w:rsid w:val="00766359"/>
    <w:rsid w:val="007664FC"/>
    <w:rsid w:val="00766A3A"/>
    <w:rsid w:val="00766DE7"/>
    <w:rsid w:val="00766EA4"/>
    <w:rsid w:val="00767212"/>
    <w:rsid w:val="00767285"/>
    <w:rsid w:val="007673AC"/>
    <w:rsid w:val="0076778C"/>
    <w:rsid w:val="00767897"/>
    <w:rsid w:val="00767EFA"/>
    <w:rsid w:val="00770330"/>
    <w:rsid w:val="00770478"/>
    <w:rsid w:val="00770599"/>
    <w:rsid w:val="007708A3"/>
    <w:rsid w:val="00770F70"/>
    <w:rsid w:val="00771FC4"/>
    <w:rsid w:val="00772585"/>
    <w:rsid w:val="0077266A"/>
    <w:rsid w:val="0077295D"/>
    <w:rsid w:val="00772E58"/>
    <w:rsid w:val="00773009"/>
    <w:rsid w:val="00773033"/>
    <w:rsid w:val="007733BA"/>
    <w:rsid w:val="007736AB"/>
    <w:rsid w:val="007739B4"/>
    <w:rsid w:val="00773F46"/>
    <w:rsid w:val="00773FE4"/>
    <w:rsid w:val="00774946"/>
    <w:rsid w:val="00775476"/>
    <w:rsid w:val="007757FE"/>
    <w:rsid w:val="00776FB5"/>
    <w:rsid w:val="007774A5"/>
    <w:rsid w:val="00777623"/>
    <w:rsid w:val="0077777B"/>
    <w:rsid w:val="007777CB"/>
    <w:rsid w:val="00777EC4"/>
    <w:rsid w:val="00780A97"/>
    <w:rsid w:val="00780BB6"/>
    <w:rsid w:val="00780C8C"/>
    <w:rsid w:val="00780D42"/>
    <w:rsid w:val="00780E4F"/>
    <w:rsid w:val="00780F29"/>
    <w:rsid w:val="0078151F"/>
    <w:rsid w:val="007818BD"/>
    <w:rsid w:val="00781AEB"/>
    <w:rsid w:val="00781B6E"/>
    <w:rsid w:val="00781D5A"/>
    <w:rsid w:val="00781FEF"/>
    <w:rsid w:val="007822B7"/>
    <w:rsid w:val="007824E9"/>
    <w:rsid w:val="00782714"/>
    <w:rsid w:val="007829D6"/>
    <w:rsid w:val="00782FC7"/>
    <w:rsid w:val="007835FB"/>
    <w:rsid w:val="00784253"/>
    <w:rsid w:val="00784507"/>
    <w:rsid w:val="00785BF8"/>
    <w:rsid w:val="00786848"/>
    <w:rsid w:val="00787767"/>
    <w:rsid w:val="007902F5"/>
    <w:rsid w:val="007907AB"/>
    <w:rsid w:val="00790BE0"/>
    <w:rsid w:val="007915A8"/>
    <w:rsid w:val="0079163F"/>
    <w:rsid w:val="0079173D"/>
    <w:rsid w:val="007918A3"/>
    <w:rsid w:val="007918E8"/>
    <w:rsid w:val="00791BCB"/>
    <w:rsid w:val="00791F77"/>
    <w:rsid w:val="007935BD"/>
    <w:rsid w:val="007939E3"/>
    <w:rsid w:val="00793C24"/>
    <w:rsid w:val="00793E25"/>
    <w:rsid w:val="00793E98"/>
    <w:rsid w:val="007940B7"/>
    <w:rsid w:val="0079426E"/>
    <w:rsid w:val="00794664"/>
    <w:rsid w:val="00794D1C"/>
    <w:rsid w:val="00794F71"/>
    <w:rsid w:val="00794F77"/>
    <w:rsid w:val="007951A9"/>
    <w:rsid w:val="007955B3"/>
    <w:rsid w:val="00795C11"/>
    <w:rsid w:val="007963BC"/>
    <w:rsid w:val="00796927"/>
    <w:rsid w:val="007976CC"/>
    <w:rsid w:val="007A01DA"/>
    <w:rsid w:val="007A0B5F"/>
    <w:rsid w:val="007A1395"/>
    <w:rsid w:val="007A193F"/>
    <w:rsid w:val="007A1C68"/>
    <w:rsid w:val="007A1EA1"/>
    <w:rsid w:val="007A2555"/>
    <w:rsid w:val="007A260C"/>
    <w:rsid w:val="007A2C69"/>
    <w:rsid w:val="007A33F0"/>
    <w:rsid w:val="007A346F"/>
    <w:rsid w:val="007A3EA6"/>
    <w:rsid w:val="007A42D9"/>
    <w:rsid w:val="007A46A4"/>
    <w:rsid w:val="007A4CA5"/>
    <w:rsid w:val="007A4F3F"/>
    <w:rsid w:val="007A5413"/>
    <w:rsid w:val="007A555C"/>
    <w:rsid w:val="007A56E8"/>
    <w:rsid w:val="007A5764"/>
    <w:rsid w:val="007A5BD2"/>
    <w:rsid w:val="007A5DB5"/>
    <w:rsid w:val="007A5E47"/>
    <w:rsid w:val="007A6085"/>
    <w:rsid w:val="007A6136"/>
    <w:rsid w:val="007A667D"/>
    <w:rsid w:val="007A6DC4"/>
    <w:rsid w:val="007A6EC0"/>
    <w:rsid w:val="007A7E23"/>
    <w:rsid w:val="007B0127"/>
    <w:rsid w:val="007B07EC"/>
    <w:rsid w:val="007B0A39"/>
    <w:rsid w:val="007B1303"/>
    <w:rsid w:val="007B155C"/>
    <w:rsid w:val="007B1AA9"/>
    <w:rsid w:val="007B1D54"/>
    <w:rsid w:val="007B1EA2"/>
    <w:rsid w:val="007B22AF"/>
    <w:rsid w:val="007B22E7"/>
    <w:rsid w:val="007B29B2"/>
    <w:rsid w:val="007B2AFC"/>
    <w:rsid w:val="007B2B50"/>
    <w:rsid w:val="007B2ED7"/>
    <w:rsid w:val="007B31FC"/>
    <w:rsid w:val="007B352C"/>
    <w:rsid w:val="007B44F5"/>
    <w:rsid w:val="007B47BA"/>
    <w:rsid w:val="007B4BED"/>
    <w:rsid w:val="007B4EDA"/>
    <w:rsid w:val="007B54EC"/>
    <w:rsid w:val="007B58E0"/>
    <w:rsid w:val="007B597E"/>
    <w:rsid w:val="007B5CDC"/>
    <w:rsid w:val="007B60F0"/>
    <w:rsid w:val="007B6500"/>
    <w:rsid w:val="007B6599"/>
    <w:rsid w:val="007B67D7"/>
    <w:rsid w:val="007B6A5C"/>
    <w:rsid w:val="007B6A61"/>
    <w:rsid w:val="007B6A90"/>
    <w:rsid w:val="007B70CE"/>
    <w:rsid w:val="007B7275"/>
    <w:rsid w:val="007B7503"/>
    <w:rsid w:val="007B7948"/>
    <w:rsid w:val="007B7B96"/>
    <w:rsid w:val="007B7E7B"/>
    <w:rsid w:val="007B7FD7"/>
    <w:rsid w:val="007C012C"/>
    <w:rsid w:val="007C01D7"/>
    <w:rsid w:val="007C02D7"/>
    <w:rsid w:val="007C04A9"/>
    <w:rsid w:val="007C066B"/>
    <w:rsid w:val="007C08C7"/>
    <w:rsid w:val="007C0A5C"/>
    <w:rsid w:val="007C0E02"/>
    <w:rsid w:val="007C1001"/>
    <w:rsid w:val="007C1002"/>
    <w:rsid w:val="007C1317"/>
    <w:rsid w:val="007C145A"/>
    <w:rsid w:val="007C1920"/>
    <w:rsid w:val="007C1DB6"/>
    <w:rsid w:val="007C2E19"/>
    <w:rsid w:val="007C2ED8"/>
    <w:rsid w:val="007C392D"/>
    <w:rsid w:val="007C397E"/>
    <w:rsid w:val="007C3D9D"/>
    <w:rsid w:val="007C3FAC"/>
    <w:rsid w:val="007C42BA"/>
    <w:rsid w:val="007C42CF"/>
    <w:rsid w:val="007C4AB3"/>
    <w:rsid w:val="007C4CC0"/>
    <w:rsid w:val="007C507C"/>
    <w:rsid w:val="007C531B"/>
    <w:rsid w:val="007C57B0"/>
    <w:rsid w:val="007C57E8"/>
    <w:rsid w:val="007C5818"/>
    <w:rsid w:val="007C5922"/>
    <w:rsid w:val="007C5A2F"/>
    <w:rsid w:val="007C5D55"/>
    <w:rsid w:val="007C5F55"/>
    <w:rsid w:val="007C6265"/>
    <w:rsid w:val="007C6362"/>
    <w:rsid w:val="007C66B5"/>
    <w:rsid w:val="007C6894"/>
    <w:rsid w:val="007C70C6"/>
    <w:rsid w:val="007C71C1"/>
    <w:rsid w:val="007C7534"/>
    <w:rsid w:val="007C754F"/>
    <w:rsid w:val="007C768A"/>
    <w:rsid w:val="007C7890"/>
    <w:rsid w:val="007D021B"/>
    <w:rsid w:val="007D03C0"/>
    <w:rsid w:val="007D0436"/>
    <w:rsid w:val="007D04B9"/>
    <w:rsid w:val="007D05D2"/>
    <w:rsid w:val="007D09D6"/>
    <w:rsid w:val="007D0A2C"/>
    <w:rsid w:val="007D10E6"/>
    <w:rsid w:val="007D1198"/>
    <w:rsid w:val="007D15C9"/>
    <w:rsid w:val="007D17C8"/>
    <w:rsid w:val="007D1F8A"/>
    <w:rsid w:val="007D2623"/>
    <w:rsid w:val="007D2DD0"/>
    <w:rsid w:val="007D2E5F"/>
    <w:rsid w:val="007D2ED6"/>
    <w:rsid w:val="007D3882"/>
    <w:rsid w:val="007D3A0D"/>
    <w:rsid w:val="007D3BF7"/>
    <w:rsid w:val="007D3FC1"/>
    <w:rsid w:val="007D42CE"/>
    <w:rsid w:val="007D42E6"/>
    <w:rsid w:val="007D49F3"/>
    <w:rsid w:val="007D4A06"/>
    <w:rsid w:val="007D5476"/>
    <w:rsid w:val="007D5A57"/>
    <w:rsid w:val="007D5F74"/>
    <w:rsid w:val="007D6468"/>
    <w:rsid w:val="007D6472"/>
    <w:rsid w:val="007D67EA"/>
    <w:rsid w:val="007E011E"/>
    <w:rsid w:val="007E0583"/>
    <w:rsid w:val="007E06EB"/>
    <w:rsid w:val="007E09D2"/>
    <w:rsid w:val="007E0B68"/>
    <w:rsid w:val="007E0B76"/>
    <w:rsid w:val="007E0DB4"/>
    <w:rsid w:val="007E1C38"/>
    <w:rsid w:val="007E1E19"/>
    <w:rsid w:val="007E2036"/>
    <w:rsid w:val="007E2060"/>
    <w:rsid w:val="007E20F0"/>
    <w:rsid w:val="007E21C5"/>
    <w:rsid w:val="007E3002"/>
    <w:rsid w:val="007E33D0"/>
    <w:rsid w:val="007E35B7"/>
    <w:rsid w:val="007E3EE8"/>
    <w:rsid w:val="007E4010"/>
    <w:rsid w:val="007E46AC"/>
    <w:rsid w:val="007E48BD"/>
    <w:rsid w:val="007E4BDE"/>
    <w:rsid w:val="007E4D25"/>
    <w:rsid w:val="007E4D9B"/>
    <w:rsid w:val="007E54ED"/>
    <w:rsid w:val="007E57EB"/>
    <w:rsid w:val="007E5C7F"/>
    <w:rsid w:val="007E60C4"/>
    <w:rsid w:val="007E6298"/>
    <w:rsid w:val="007E6734"/>
    <w:rsid w:val="007E6D7B"/>
    <w:rsid w:val="007E6DAE"/>
    <w:rsid w:val="007E6E8F"/>
    <w:rsid w:val="007E6ECA"/>
    <w:rsid w:val="007E706D"/>
    <w:rsid w:val="007E7274"/>
    <w:rsid w:val="007E7C82"/>
    <w:rsid w:val="007E7FFD"/>
    <w:rsid w:val="007F0382"/>
    <w:rsid w:val="007F03AE"/>
    <w:rsid w:val="007F0D1A"/>
    <w:rsid w:val="007F0D56"/>
    <w:rsid w:val="007F0DCC"/>
    <w:rsid w:val="007F12A1"/>
    <w:rsid w:val="007F1589"/>
    <w:rsid w:val="007F17B9"/>
    <w:rsid w:val="007F1ADD"/>
    <w:rsid w:val="007F21FC"/>
    <w:rsid w:val="007F2291"/>
    <w:rsid w:val="007F2448"/>
    <w:rsid w:val="007F2518"/>
    <w:rsid w:val="007F2B49"/>
    <w:rsid w:val="007F3072"/>
    <w:rsid w:val="007F311B"/>
    <w:rsid w:val="007F348D"/>
    <w:rsid w:val="007F3CF4"/>
    <w:rsid w:val="007F4732"/>
    <w:rsid w:val="007F4958"/>
    <w:rsid w:val="007F4AC9"/>
    <w:rsid w:val="007F4B5D"/>
    <w:rsid w:val="007F4C93"/>
    <w:rsid w:val="007F4EBF"/>
    <w:rsid w:val="007F51EE"/>
    <w:rsid w:val="007F531C"/>
    <w:rsid w:val="007F5493"/>
    <w:rsid w:val="007F565B"/>
    <w:rsid w:val="007F59BE"/>
    <w:rsid w:val="007F5EA3"/>
    <w:rsid w:val="007F5EE5"/>
    <w:rsid w:val="007F5F67"/>
    <w:rsid w:val="007F5FB8"/>
    <w:rsid w:val="007F63C6"/>
    <w:rsid w:val="007F6B07"/>
    <w:rsid w:val="007F716A"/>
    <w:rsid w:val="007F7296"/>
    <w:rsid w:val="007F7A40"/>
    <w:rsid w:val="00800059"/>
    <w:rsid w:val="008002F5"/>
    <w:rsid w:val="008004A4"/>
    <w:rsid w:val="008006B1"/>
    <w:rsid w:val="00800754"/>
    <w:rsid w:val="00800C68"/>
    <w:rsid w:val="00800EE0"/>
    <w:rsid w:val="00800F35"/>
    <w:rsid w:val="008012BC"/>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EA9"/>
    <w:rsid w:val="00803FF2"/>
    <w:rsid w:val="008041B4"/>
    <w:rsid w:val="0080470A"/>
    <w:rsid w:val="00804885"/>
    <w:rsid w:val="00805517"/>
    <w:rsid w:val="008056B7"/>
    <w:rsid w:val="00805BDC"/>
    <w:rsid w:val="00805C54"/>
    <w:rsid w:val="008060BE"/>
    <w:rsid w:val="00806276"/>
    <w:rsid w:val="008068DD"/>
    <w:rsid w:val="00806B58"/>
    <w:rsid w:val="0080722E"/>
    <w:rsid w:val="00807726"/>
    <w:rsid w:val="00807ABF"/>
    <w:rsid w:val="00810055"/>
    <w:rsid w:val="0081089A"/>
    <w:rsid w:val="008109B9"/>
    <w:rsid w:val="00810B1D"/>
    <w:rsid w:val="00810BB7"/>
    <w:rsid w:val="0081102F"/>
    <w:rsid w:val="00811E09"/>
    <w:rsid w:val="00811EDC"/>
    <w:rsid w:val="00811FCE"/>
    <w:rsid w:val="00812809"/>
    <w:rsid w:val="00812A49"/>
    <w:rsid w:val="00812B45"/>
    <w:rsid w:val="00812BA6"/>
    <w:rsid w:val="00813394"/>
    <w:rsid w:val="00813561"/>
    <w:rsid w:val="0081375E"/>
    <w:rsid w:val="00813803"/>
    <w:rsid w:val="00813D75"/>
    <w:rsid w:val="00813DC6"/>
    <w:rsid w:val="0081444E"/>
    <w:rsid w:val="00814C4A"/>
    <w:rsid w:val="00815636"/>
    <w:rsid w:val="00815F25"/>
    <w:rsid w:val="008161BA"/>
    <w:rsid w:val="00816662"/>
    <w:rsid w:val="00816728"/>
    <w:rsid w:val="00816965"/>
    <w:rsid w:val="00816AC7"/>
    <w:rsid w:val="00816C73"/>
    <w:rsid w:val="00816D8D"/>
    <w:rsid w:val="008172D2"/>
    <w:rsid w:val="00817723"/>
    <w:rsid w:val="0082037B"/>
    <w:rsid w:val="0082064D"/>
    <w:rsid w:val="00820A02"/>
    <w:rsid w:val="00820C8A"/>
    <w:rsid w:val="00820D9E"/>
    <w:rsid w:val="00820DE0"/>
    <w:rsid w:val="00820E08"/>
    <w:rsid w:val="00821128"/>
    <w:rsid w:val="00821294"/>
    <w:rsid w:val="00821950"/>
    <w:rsid w:val="00821AA0"/>
    <w:rsid w:val="00821BCD"/>
    <w:rsid w:val="00821D54"/>
    <w:rsid w:val="00821D64"/>
    <w:rsid w:val="00822287"/>
    <w:rsid w:val="008224D0"/>
    <w:rsid w:val="008224F7"/>
    <w:rsid w:val="00822CBF"/>
    <w:rsid w:val="00822E55"/>
    <w:rsid w:val="00822F91"/>
    <w:rsid w:val="00823163"/>
    <w:rsid w:val="00823B83"/>
    <w:rsid w:val="00823CB1"/>
    <w:rsid w:val="00823D78"/>
    <w:rsid w:val="00823DB3"/>
    <w:rsid w:val="00823DFE"/>
    <w:rsid w:val="00824CC7"/>
    <w:rsid w:val="00825071"/>
    <w:rsid w:val="008256D1"/>
    <w:rsid w:val="008256EA"/>
    <w:rsid w:val="00825730"/>
    <w:rsid w:val="00826488"/>
    <w:rsid w:val="008266A9"/>
    <w:rsid w:val="00826711"/>
    <w:rsid w:val="00826729"/>
    <w:rsid w:val="00826A3E"/>
    <w:rsid w:val="00826B42"/>
    <w:rsid w:val="00826BDA"/>
    <w:rsid w:val="00826E77"/>
    <w:rsid w:val="0082709B"/>
    <w:rsid w:val="008270B2"/>
    <w:rsid w:val="00830074"/>
    <w:rsid w:val="008305DB"/>
    <w:rsid w:val="0083073F"/>
    <w:rsid w:val="0083078F"/>
    <w:rsid w:val="0083085E"/>
    <w:rsid w:val="00830986"/>
    <w:rsid w:val="00830CAC"/>
    <w:rsid w:val="0083120C"/>
    <w:rsid w:val="00831664"/>
    <w:rsid w:val="00831767"/>
    <w:rsid w:val="00831D98"/>
    <w:rsid w:val="00832043"/>
    <w:rsid w:val="00832D73"/>
    <w:rsid w:val="00833E04"/>
    <w:rsid w:val="00834126"/>
    <w:rsid w:val="00834261"/>
    <w:rsid w:val="00834451"/>
    <w:rsid w:val="00834ACB"/>
    <w:rsid w:val="00834B9F"/>
    <w:rsid w:val="00834D27"/>
    <w:rsid w:val="00835100"/>
    <w:rsid w:val="0083557C"/>
    <w:rsid w:val="00835E25"/>
    <w:rsid w:val="00835E32"/>
    <w:rsid w:val="008361C0"/>
    <w:rsid w:val="008363A4"/>
    <w:rsid w:val="008366F2"/>
    <w:rsid w:val="008368DB"/>
    <w:rsid w:val="00836C82"/>
    <w:rsid w:val="00836D94"/>
    <w:rsid w:val="00837D8C"/>
    <w:rsid w:val="0084089D"/>
    <w:rsid w:val="00840D67"/>
    <w:rsid w:val="00841448"/>
    <w:rsid w:val="00841CF5"/>
    <w:rsid w:val="00841D5D"/>
    <w:rsid w:val="008421CA"/>
    <w:rsid w:val="008421EC"/>
    <w:rsid w:val="00842812"/>
    <w:rsid w:val="0084293A"/>
    <w:rsid w:val="00842B89"/>
    <w:rsid w:val="00842CA0"/>
    <w:rsid w:val="00842E3E"/>
    <w:rsid w:val="00842FD4"/>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505BB"/>
    <w:rsid w:val="0085061C"/>
    <w:rsid w:val="008507CD"/>
    <w:rsid w:val="00851001"/>
    <w:rsid w:val="00851224"/>
    <w:rsid w:val="00851339"/>
    <w:rsid w:val="0085191A"/>
    <w:rsid w:val="00851F24"/>
    <w:rsid w:val="00852282"/>
    <w:rsid w:val="00852506"/>
    <w:rsid w:val="008527C5"/>
    <w:rsid w:val="00852A1E"/>
    <w:rsid w:val="00852B21"/>
    <w:rsid w:val="008530F3"/>
    <w:rsid w:val="008531A3"/>
    <w:rsid w:val="0085346F"/>
    <w:rsid w:val="00853B5F"/>
    <w:rsid w:val="00853C87"/>
    <w:rsid w:val="00853CC2"/>
    <w:rsid w:val="00854624"/>
    <w:rsid w:val="00855060"/>
    <w:rsid w:val="00855697"/>
    <w:rsid w:val="008561FD"/>
    <w:rsid w:val="0085670E"/>
    <w:rsid w:val="00856D21"/>
    <w:rsid w:val="00856DE6"/>
    <w:rsid w:val="00856F8A"/>
    <w:rsid w:val="008574EC"/>
    <w:rsid w:val="00857A0A"/>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F74"/>
    <w:rsid w:val="00864485"/>
    <w:rsid w:val="0086509A"/>
    <w:rsid w:val="0086515C"/>
    <w:rsid w:val="0086521F"/>
    <w:rsid w:val="008656C5"/>
    <w:rsid w:val="0086570D"/>
    <w:rsid w:val="0086619A"/>
    <w:rsid w:val="00866DA9"/>
    <w:rsid w:val="00866F7D"/>
    <w:rsid w:val="00866FD7"/>
    <w:rsid w:val="008675B8"/>
    <w:rsid w:val="0086765E"/>
    <w:rsid w:val="008677EC"/>
    <w:rsid w:val="00870265"/>
    <w:rsid w:val="008705C4"/>
    <w:rsid w:val="00871650"/>
    <w:rsid w:val="008718F6"/>
    <w:rsid w:val="00871B34"/>
    <w:rsid w:val="00871E83"/>
    <w:rsid w:val="00871ED5"/>
    <w:rsid w:val="0087202B"/>
    <w:rsid w:val="00872057"/>
    <w:rsid w:val="00872213"/>
    <w:rsid w:val="0087283D"/>
    <w:rsid w:val="008729D1"/>
    <w:rsid w:val="00872BE4"/>
    <w:rsid w:val="00872C2D"/>
    <w:rsid w:val="00872F91"/>
    <w:rsid w:val="008731FD"/>
    <w:rsid w:val="0087331A"/>
    <w:rsid w:val="0087355B"/>
    <w:rsid w:val="008737C9"/>
    <w:rsid w:val="008737CC"/>
    <w:rsid w:val="008737F6"/>
    <w:rsid w:val="0087383F"/>
    <w:rsid w:val="00873C78"/>
    <w:rsid w:val="00873C92"/>
    <w:rsid w:val="00873F73"/>
    <w:rsid w:val="00874253"/>
    <w:rsid w:val="008743DB"/>
    <w:rsid w:val="00874401"/>
    <w:rsid w:val="00874483"/>
    <w:rsid w:val="008744D2"/>
    <w:rsid w:val="00874B38"/>
    <w:rsid w:val="008752CF"/>
    <w:rsid w:val="008756FA"/>
    <w:rsid w:val="00875C7A"/>
    <w:rsid w:val="00875DFC"/>
    <w:rsid w:val="00876991"/>
    <w:rsid w:val="008769A1"/>
    <w:rsid w:val="00876F14"/>
    <w:rsid w:val="008770D9"/>
    <w:rsid w:val="008772D9"/>
    <w:rsid w:val="00877925"/>
    <w:rsid w:val="00877F74"/>
    <w:rsid w:val="00880D1D"/>
    <w:rsid w:val="00881B34"/>
    <w:rsid w:val="00881BC3"/>
    <w:rsid w:val="00881C1E"/>
    <w:rsid w:val="0088260B"/>
    <w:rsid w:val="00882676"/>
    <w:rsid w:val="00882921"/>
    <w:rsid w:val="00882A43"/>
    <w:rsid w:val="00882C6E"/>
    <w:rsid w:val="00882F39"/>
    <w:rsid w:val="00883817"/>
    <w:rsid w:val="0088387A"/>
    <w:rsid w:val="00883906"/>
    <w:rsid w:val="00883B38"/>
    <w:rsid w:val="00883ED8"/>
    <w:rsid w:val="00883EE2"/>
    <w:rsid w:val="00883F1F"/>
    <w:rsid w:val="0088487D"/>
    <w:rsid w:val="00884CB2"/>
    <w:rsid w:val="00884CC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6D5"/>
    <w:rsid w:val="00890AEE"/>
    <w:rsid w:val="00890C1D"/>
    <w:rsid w:val="00891E4B"/>
    <w:rsid w:val="0089218F"/>
    <w:rsid w:val="008921A7"/>
    <w:rsid w:val="00892525"/>
    <w:rsid w:val="00892C97"/>
    <w:rsid w:val="00893072"/>
    <w:rsid w:val="00893350"/>
    <w:rsid w:val="00893C30"/>
    <w:rsid w:val="00893CA2"/>
    <w:rsid w:val="00893D0F"/>
    <w:rsid w:val="00893D18"/>
    <w:rsid w:val="008940BB"/>
    <w:rsid w:val="0089420E"/>
    <w:rsid w:val="008947B2"/>
    <w:rsid w:val="008949A9"/>
    <w:rsid w:val="00895081"/>
    <w:rsid w:val="008950B6"/>
    <w:rsid w:val="00895D84"/>
    <w:rsid w:val="008961F8"/>
    <w:rsid w:val="0089664B"/>
    <w:rsid w:val="0089730E"/>
    <w:rsid w:val="0089771E"/>
    <w:rsid w:val="00897B68"/>
    <w:rsid w:val="008A03E5"/>
    <w:rsid w:val="008A0438"/>
    <w:rsid w:val="008A05BB"/>
    <w:rsid w:val="008A0897"/>
    <w:rsid w:val="008A0E43"/>
    <w:rsid w:val="008A0F50"/>
    <w:rsid w:val="008A161A"/>
    <w:rsid w:val="008A1639"/>
    <w:rsid w:val="008A169A"/>
    <w:rsid w:val="008A184C"/>
    <w:rsid w:val="008A1AC1"/>
    <w:rsid w:val="008A1C73"/>
    <w:rsid w:val="008A1D06"/>
    <w:rsid w:val="008A1EF8"/>
    <w:rsid w:val="008A22CF"/>
    <w:rsid w:val="008A238E"/>
    <w:rsid w:val="008A26C9"/>
    <w:rsid w:val="008A2FD5"/>
    <w:rsid w:val="008A3248"/>
    <w:rsid w:val="008A37BA"/>
    <w:rsid w:val="008A3BC4"/>
    <w:rsid w:val="008A3C86"/>
    <w:rsid w:val="008A4047"/>
    <w:rsid w:val="008A408A"/>
    <w:rsid w:val="008A4240"/>
    <w:rsid w:val="008A446F"/>
    <w:rsid w:val="008A469D"/>
    <w:rsid w:val="008A470D"/>
    <w:rsid w:val="008A4EA2"/>
    <w:rsid w:val="008A507B"/>
    <w:rsid w:val="008A5135"/>
    <w:rsid w:val="008A5433"/>
    <w:rsid w:val="008A5F55"/>
    <w:rsid w:val="008A6347"/>
    <w:rsid w:val="008A639E"/>
    <w:rsid w:val="008A64FF"/>
    <w:rsid w:val="008A6955"/>
    <w:rsid w:val="008A7096"/>
    <w:rsid w:val="008A71C0"/>
    <w:rsid w:val="008A7255"/>
    <w:rsid w:val="008A759B"/>
    <w:rsid w:val="008A7830"/>
    <w:rsid w:val="008A78C0"/>
    <w:rsid w:val="008B0037"/>
    <w:rsid w:val="008B03C0"/>
    <w:rsid w:val="008B044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2AC"/>
    <w:rsid w:val="008B4529"/>
    <w:rsid w:val="008B4948"/>
    <w:rsid w:val="008B49C8"/>
    <w:rsid w:val="008B4AD4"/>
    <w:rsid w:val="008B4DD2"/>
    <w:rsid w:val="008B5570"/>
    <w:rsid w:val="008B5A9B"/>
    <w:rsid w:val="008B5AF3"/>
    <w:rsid w:val="008B6011"/>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250D"/>
    <w:rsid w:val="008C264C"/>
    <w:rsid w:val="008C28BF"/>
    <w:rsid w:val="008C308C"/>
    <w:rsid w:val="008C3488"/>
    <w:rsid w:val="008C3913"/>
    <w:rsid w:val="008C399D"/>
    <w:rsid w:val="008C3D47"/>
    <w:rsid w:val="008C4507"/>
    <w:rsid w:val="008C4835"/>
    <w:rsid w:val="008C4A7A"/>
    <w:rsid w:val="008C4B4D"/>
    <w:rsid w:val="008C4F75"/>
    <w:rsid w:val="008C55B8"/>
    <w:rsid w:val="008C59DD"/>
    <w:rsid w:val="008C5A81"/>
    <w:rsid w:val="008C609E"/>
    <w:rsid w:val="008C61D8"/>
    <w:rsid w:val="008C637C"/>
    <w:rsid w:val="008C63FF"/>
    <w:rsid w:val="008C65D4"/>
    <w:rsid w:val="008C6E69"/>
    <w:rsid w:val="008C6E70"/>
    <w:rsid w:val="008D017E"/>
    <w:rsid w:val="008D02F0"/>
    <w:rsid w:val="008D0944"/>
    <w:rsid w:val="008D1431"/>
    <w:rsid w:val="008D1D15"/>
    <w:rsid w:val="008D21F1"/>
    <w:rsid w:val="008D250C"/>
    <w:rsid w:val="008D2B4E"/>
    <w:rsid w:val="008D2DD9"/>
    <w:rsid w:val="008D3062"/>
    <w:rsid w:val="008D3151"/>
    <w:rsid w:val="008D3614"/>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72ED"/>
    <w:rsid w:val="008D7393"/>
    <w:rsid w:val="008E06B2"/>
    <w:rsid w:val="008E0DFD"/>
    <w:rsid w:val="008E1B69"/>
    <w:rsid w:val="008E2481"/>
    <w:rsid w:val="008E2668"/>
    <w:rsid w:val="008E28DC"/>
    <w:rsid w:val="008E2CA8"/>
    <w:rsid w:val="008E2CE9"/>
    <w:rsid w:val="008E2F3C"/>
    <w:rsid w:val="008E328E"/>
    <w:rsid w:val="008E3B91"/>
    <w:rsid w:val="008E3DDA"/>
    <w:rsid w:val="008E3F77"/>
    <w:rsid w:val="008E41D1"/>
    <w:rsid w:val="008E433E"/>
    <w:rsid w:val="008E4504"/>
    <w:rsid w:val="008E4A21"/>
    <w:rsid w:val="008E4FCB"/>
    <w:rsid w:val="008E5171"/>
    <w:rsid w:val="008E52D8"/>
    <w:rsid w:val="008E52EA"/>
    <w:rsid w:val="008E5471"/>
    <w:rsid w:val="008E58EF"/>
    <w:rsid w:val="008E5E7E"/>
    <w:rsid w:val="008E62D6"/>
    <w:rsid w:val="008E67EE"/>
    <w:rsid w:val="008E6B9F"/>
    <w:rsid w:val="008E6D35"/>
    <w:rsid w:val="008E7029"/>
    <w:rsid w:val="008E734F"/>
    <w:rsid w:val="008F01A0"/>
    <w:rsid w:val="008F0292"/>
    <w:rsid w:val="008F03C5"/>
    <w:rsid w:val="008F0BE4"/>
    <w:rsid w:val="008F116A"/>
    <w:rsid w:val="008F1ACA"/>
    <w:rsid w:val="008F1DCF"/>
    <w:rsid w:val="008F1E02"/>
    <w:rsid w:val="008F1F01"/>
    <w:rsid w:val="008F23EF"/>
    <w:rsid w:val="008F2443"/>
    <w:rsid w:val="008F2695"/>
    <w:rsid w:val="008F27A8"/>
    <w:rsid w:val="008F2820"/>
    <w:rsid w:val="008F36C5"/>
    <w:rsid w:val="008F3C5B"/>
    <w:rsid w:val="008F3CAC"/>
    <w:rsid w:val="008F3CB4"/>
    <w:rsid w:val="008F3F56"/>
    <w:rsid w:val="008F47A3"/>
    <w:rsid w:val="008F4D70"/>
    <w:rsid w:val="008F4EE3"/>
    <w:rsid w:val="008F5255"/>
    <w:rsid w:val="008F5DF6"/>
    <w:rsid w:val="008F5F59"/>
    <w:rsid w:val="008F5FEF"/>
    <w:rsid w:val="008F60DB"/>
    <w:rsid w:val="008F6287"/>
    <w:rsid w:val="008F629E"/>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083"/>
    <w:rsid w:val="00900132"/>
    <w:rsid w:val="0090014E"/>
    <w:rsid w:val="0090028E"/>
    <w:rsid w:val="00900EDB"/>
    <w:rsid w:val="009010B6"/>
    <w:rsid w:val="0090113D"/>
    <w:rsid w:val="0090166B"/>
    <w:rsid w:val="00901785"/>
    <w:rsid w:val="00901916"/>
    <w:rsid w:val="00901C8F"/>
    <w:rsid w:val="00901CA5"/>
    <w:rsid w:val="00901E01"/>
    <w:rsid w:val="00901F58"/>
    <w:rsid w:val="00902070"/>
    <w:rsid w:val="00902163"/>
    <w:rsid w:val="00902181"/>
    <w:rsid w:val="00902390"/>
    <w:rsid w:val="009025A2"/>
    <w:rsid w:val="00902791"/>
    <w:rsid w:val="00902B59"/>
    <w:rsid w:val="00902CF2"/>
    <w:rsid w:val="009031F3"/>
    <w:rsid w:val="009035D0"/>
    <w:rsid w:val="00903D4A"/>
    <w:rsid w:val="00903E10"/>
    <w:rsid w:val="00903EDD"/>
    <w:rsid w:val="009040D4"/>
    <w:rsid w:val="00904334"/>
    <w:rsid w:val="00904AB1"/>
    <w:rsid w:val="00904AC0"/>
    <w:rsid w:val="00904B0A"/>
    <w:rsid w:val="00904DB5"/>
    <w:rsid w:val="009055B4"/>
    <w:rsid w:val="009056C5"/>
    <w:rsid w:val="009057EB"/>
    <w:rsid w:val="009059AA"/>
    <w:rsid w:val="00905F5B"/>
    <w:rsid w:val="0090649E"/>
    <w:rsid w:val="0090658A"/>
    <w:rsid w:val="00906880"/>
    <w:rsid w:val="00907153"/>
    <w:rsid w:val="00907446"/>
    <w:rsid w:val="009076C7"/>
    <w:rsid w:val="0091057E"/>
    <w:rsid w:val="009107A6"/>
    <w:rsid w:val="009108A4"/>
    <w:rsid w:val="009109A8"/>
    <w:rsid w:val="00911110"/>
    <w:rsid w:val="009111AC"/>
    <w:rsid w:val="00911255"/>
    <w:rsid w:val="009112C4"/>
    <w:rsid w:val="00911C0D"/>
    <w:rsid w:val="009120D8"/>
    <w:rsid w:val="009124AF"/>
    <w:rsid w:val="0091292C"/>
    <w:rsid w:val="00912A4E"/>
    <w:rsid w:val="00912FCB"/>
    <w:rsid w:val="00913175"/>
    <w:rsid w:val="0091343C"/>
    <w:rsid w:val="009135FB"/>
    <w:rsid w:val="00913964"/>
    <w:rsid w:val="00913BC5"/>
    <w:rsid w:val="00913BC9"/>
    <w:rsid w:val="00914227"/>
    <w:rsid w:val="0091441D"/>
    <w:rsid w:val="00914490"/>
    <w:rsid w:val="00914BD7"/>
    <w:rsid w:val="00914ECC"/>
    <w:rsid w:val="009151D7"/>
    <w:rsid w:val="009152CB"/>
    <w:rsid w:val="00915340"/>
    <w:rsid w:val="009153FE"/>
    <w:rsid w:val="0091543D"/>
    <w:rsid w:val="009156A5"/>
    <w:rsid w:val="00915A26"/>
    <w:rsid w:val="00915E5B"/>
    <w:rsid w:val="00916392"/>
    <w:rsid w:val="00916513"/>
    <w:rsid w:val="00917354"/>
    <w:rsid w:val="00917479"/>
    <w:rsid w:val="0092052D"/>
    <w:rsid w:val="00920CB9"/>
    <w:rsid w:val="00921BFA"/>
    <w:rsid w:val="00922DF1"/>
    <w:rsid w:val="00922FFF"/>
    <w:rsid w:val="00923627"/>
    <w:rsid w:val="00923A93"/>
    <w:rsid w:val="00923A9D"/>
    <w:rsid w:val="00923B96"/>
    <w:rsid w:val="009243DA"/>
    <w:rsid w:val="00924A1F"/>
    <w:rsid w:val="00924A60"/>
    <w:rsid w:val="00924B83"/>
    <w:rsid w:val="00924CC7"/>
    <w:rsid w:val="00924D5E"/>
    <w:rsid w:val="009252D3"/>
    <w:rsid w:val="009256ED"/>
    <w:rsid w:val="009257B9"/>
    <w:rsid w:val="00925B14"/>
    <w:rsid w:val="00925E4A"/>
    <w:rsid w:val="0092652D"/>
    <w:rsid w:val="00926551"/>
    <w:rsid w:val="00926983"/>
    <w:rsid w:val="009275B8"/>
    <w:rsid w:val="009278FA"/>
    <w:rsid w:val="00927E4F"/>
    <w:rsid w:val="00930220"/>
    <w:rsid w:val="00930640"/>
    <w:rsid w:val="00930AEA"/>
    <w:rsid w:val="00930DA9"/>
    <w:rsid w:val="00930FA1"/>
    <w:rsid w:val="009317BB"/>
    <w:rsid w:val="0093233B"/>
    <w:rsid w:val="009324D1"/>
    <w:rsid w:val="009327AD"/>
    <w:rsid w:val="009329D5"/>
    <w:rsid w:val="00932E5E"/>
    <w:rsid w:val="00933E73"/>
    <w:rsid w:val="00934009"/>
    <w:rsid w:val="00934248"/>
    <w:rsid w:val="00934B57"/>
    <w:rsid w:val="00934C62"/>
    <w:rsid w:val="009352DA"/>
    <w:rsid w:val="00935556"/>
    <w:rsid w:val="00935648"/>
    <w:rsid w:val="009356AF"/>
    <w:rsid w:val="00935EF9"/>
    <w:rsid w:val="00936125"/>
    <w:rsid w:val="00936AA5"/>
    <w:rsid w:val="00936CBD"/>
    <w:rsid w:val="0093754F"/>
    <w:rsid w:val="00937B67"/>
    <w:rsid w:val="00937C1B"/>
    <w:rsid w:val="00937EDB"/>
    <w:rsid w:val="00940292"/>
    <w:rsid w:val="009403C6"/>
    <w:rsid w:val="00940732"/>
    <w:rsid w:val="00940ACD"/>
    <w:rsid w:val="009412A4"/>
    <w:rsid w:val="009412DB"/>
    <w:rsid w:val="0094138D"/>
    <w:rsid w:val="009415DC"/>
    <w:rsid w:val="009418D2"/>
    <w:rsid w:val="00941C1D"/>
    <w:rsid w:val="00941D24"/>
    <w:rsid w:val="00941F10"/>
    <w:rsid w:val="00942064"/>
    <w:rsid w:val="009423DC"/>
    <w:rsid w:val="009424F3"/>
    <w:rsid w:val="00942502"/>
    <w:rsid w:val="0094285B"/>
    <w:rsid w:val="00942949"/>
    <w:rsid w:val="00942BFB"/>
    <w:rsid w:val="00942C42"/>
    <w:rsid w:val="00942D61"/>
    <w:rsid w:val="00942F73"/>
    <w:rsid w:val="00943AF3"/>
    <w:rsid w:val="00943C7C"/>
    <w:rsid w:val="00944233"/>
    <w:rsid w:val="0094465F"/>
    <w:rsid w:val="00944D19"/>
    <w:rsid w:val="00944E5A"/>
    <w:rsid w:val="00944EB2"/>
    <w:rsid w:val="00945350"/>
    <w:rsid w:val="00945488"/>
    <w:rsid w:val="00945508"/>
    <w:rsid w:val="009456A1"/>
    <w:rsid w:val="00945A8B"/>
    <w:rsid w:val="00945BCE"/>
    <w:rsid w:val="00945D4C"/>
    <w:rsid w:val="00945D63"/>
    <w:rsid w:val="00945F8E"/>
    <w:rsid w:val="009460FF"/>
    <w:rsid w:val="009466E1"/>
    <w:rsid w:val="00946A27"/>
    <w:rsid w:val="00946AAE"/>
    <w:rsid w:val="00946C0A"/>
    <w:rsid w:val="009471AB"/>
    <w:rsid w:val="009472FA"/>
    <w:rsid w:val="009474DF"/>
    <w:rsid w:val="00947E77"/>
    <w:rsid w:val="00950147"/>
    <w:rsid w:val="009509EA"/>
    <w:rsid w:val="009515E4"/>
    <w:rsid w:val="0095163C"/>
    <w:rsid w:val="009517D0"/>
    <w:rsid w:val="00951F03"/>
    <w:rsid w:val="0095208A"/>
    <w:rsid w:val="0095218E"/>
    <w:rsid w:val="0095226E"/>
    <w:rsid w:val="00952620"/>
    <w:rsid w:val="00952790"/>
    <w:rsid w:val="00952C4D"/>
    <w:rsid w:val="00952DFE"/>
    <w:rsid w:val="00952E90"/>
    <w:rsid w:val="009530E4"/>
    <w:rsid w:val="00953584"/>
    <w:rsid w:val="0095393E"/>
    <w:rsid w:val="00954225"/>
    <w:rsid w:val="0095449C"/>
    <w:rsid w:val="00954A91"/>
    <w:rsid w:val="00954DC4"/>
    <w:rsid w:val="0095509F"/>
    <w:rsid w:val="00955238"/>
    <w:rsid w:val="00955361"/>
    <w:rsid w:val="00955B19"/>
    <w:rsid w:val="00955FCD"/>
    <w:rsid w:val="00956262"/>
    <w:rsid w:val="00956283"/>
    <w:rsid w:val="009562BE"/>
    <w:rsid w:val="009564A6"/>
    <w:rsid w:val="009564E0"/>
    <w:rsid w:val="00956E1A"/>
    <w:rsid w:val="0095735D"/>
    <w:rsid w:val="00957590"/>
    <w:rsid w:val="00957C3C"/>
    <w:rsid w:val="00957C82"/>
    <w:rsid w:val="00957ECE"/>
    <w:rsid w:val="009600CC"/>
    <w:rsid w:val="009601E9"/>
    <w:rsid w:val="00960464"/>
    <w:rsid w:val="009614A8"/>
    <w:rsid w:val="009614E7"/>
    <w:rsid w:val="00961705"/>
    <w:rsid w:val="00961BD4"/>
    <w:rsid w:val="00961C75"/>
    <w:rsid w:val="00961F72"/>
    <w:rsid w:val="0096299D"/>
    <w:rsid w:val="00962F47"/>
    <w:rsid w:val="009634BA"/>
    <w:rsid w:val="0096363B"/>
    <w:rsid w:val="009639A7"/>
    <w:rsid w:val="009640CA"/>
    <w:rsid w:val="0096472F"/>
    <w:rsid w:val="00964DE7"/>
    <w:rsid w:val="00964F97"/>
    <w:rsid w:val="009655D1"/>
    <w:rsid w:val="00965679"/>
    <w:rsid w:val="009657C6"/>
    <w:rsid w:val="009659F3"/>
    <w:rsid w:val="00965B3E"/>
    <w:rsid w:val="00965DB7"/>
    <w:rsid w:val="00965E1A"/>
    <w:rsid w:val="00965E36"/>
    <w:rsid w:val="00965F6F"/>
    <w:rsid w:val="00966188"/>
    <w:rsid w:val="00966C7D"/>
    <w:rsid w:val="00966CA9"/>
    <w:rsid w:val="00966EB1"/>
    <w:rsid w:val="00966EFE"/>
    <w:rsid w:val="00966FEB"/>
    <w:rsid w:val="00967049"/>
    <w:rsid w:val="009671F1"/>
    <w:rsid w:val="009675D4"/>
    <w:rsid w:val="00967F68"/>
    <w:rsid w:val="00970472"/>
    <w:rsid w:val="00970C2B"/>
    <w:rsid w:val="00970D94"/>
    <w:rsid w:val="00970E3C"/>
    <w:rsid w:val="009711C0"/>
    <w:rsid w:val="00971B25"/>
    <w:rsid w:val="00971DCC"/>
    <w:rsid w:val="009723C8"/>
    <w:rsid w:val="0097264D"/>
    <w:rsid w:val="00972796"/>
    <w:rsid w:val="009728CF"/>
    <w:rsid w:val="00972A68"/>
    <w:rsid w:val="00972DB7"/>
    <w:rsid w:val="009730B2"/>
    <w:rsid w:val="009732CF"/>
    <w:rsid w:val="00973358"/>
    <w:rsid w:val="009738FE"/>
    <w:rsid w:val="00973A86"/>
    <w:rsid w:val="00973B10"/>
    <w:rsid w:val="00973B94"/>
    <w:rsid w:val="00973DB2"/>
    <w:rsid w:val="00973E79"/>
    <w:rsid w:val="00973F55"/>
    <w:rsid w:val="009743E5"/>
    <w:rsid w:val="0097444E"/>
    <w:rsid w:val="009744C7"/>
    <w:rsid w:val="00974809"/>
    <w:rsid w:val="00975294"/>
    <w:rsid w:val="009752B4"/>
    <w:rsid w:val="009754C9"/>
    <w:rsid w:val="00975962"/>
    <w:rsid w:val="00975B7F"/>
    <w:rsid w:val="00975C43"/>
    <w:rsid w:val="00975E08"/>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3C5"/>
    <w:rsid w:val="00981903"/>
    <w:rsid w:val="00981B9E"/>
    <w:rsid w:val="00981F33"/>
    <w:rsid w:val="0098208C"/>
    <w:rsid w:val="00982B45"/>
    <w:rsid w:val="00982C03"/>
    <w:rsid w:val="009830D8"/>
    <w:rsid w:val="0098365B"/>
    <w:rsid w:val="009836A8"/>
    <w:rsid w:val="00983AB1"/>
    <w:rsid w:val="00983F04"/>
    <w:rsid w:val="009840B7"/>
    <w:rsid w:val="009842B6"/>
    <w:rsid w:val="00984484"/>
    <w:rsid w:val="00984633"/>
    <w:rsid w:val="00984663"/>
    <w:rsid w:val="009847F5"/>
    <w:rsid w:val="00984C51"/>
    <w:rsid w:val="00984FF3"/>
    <w:rsid w:val="00985916"/>
    <w:rsid w:val="00985E39"/>
    <w:rsid w:val="00985FDF"/>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422"/>
    <w:rsid w:val="009906CF"/>
    <w:rsid w:val="0099098E"/>
    <w:rsid w:val="009911E9"/>
    <w:rsid w:val="009912D1"/>
    <w:rsid w:val="0099135F"/>
    <w:rsid w:val="009913B3"/>
    <w:rsid w:val="009914EB"/>
    <w:rsid w:val="00991703"/>
    <w:rsid w:val="00991706"/>
    <w:rsid w:val="0099180F"/>
    <w:rsid w:val="00991C7C"/>
    <w:rsid w:val="00991FC7"/>
    <w:rsid w:val="009922EC"/>
    <w:rsid w:val="00992605"/>
    <w:rsid w:val="009928DF"/>
    <w:rsid w:val="00993865"/>
    <w:rsid w:val="009939CE"/>
    <w:rsid w:val="00993AE3"/>
    <w:rsid w:val="00993FFC"/>
    <w:rsid w:val="00994044"/>
    <w:rsid w:val="00994E1F"/>
    <w:rsid w:val="00994F7A"/>
    <w:rsid w:val="0099547F"/>
    <w:rsid w:val="009957E2"/>
    <w:rsid w:val="0099584C"/>
    <w:rsid w:val="009959CC"/>
    <w:rsid w:val="00995D20"/>
    <w:rsid w:val="0099626D"/>
    <w:rsid w:val="0099656D"/>
    <w:rsid w:val="00996737"/>
    <w:rsid w:val="009967BF"/>
    <w:rsid w:val="00996876"/>
    <w:rsid w:val="00996EAE"/>
    <w:rsid w:val="009970C8"/>
    <w:rsid w:val="009971B1"/>
    <w:rsid w:val="00997254"/>
    <w:rsid w:val="00997A0A"/>
    <w:rsid w:val="00997B7D"/>
    <w:rsid w:val="00997E07"/>
    <w:rsid w:val="00997FCB"/>
    <w:rsid w:val="009A0C34"/>
    <w:rsid w:val="009A0F14"/>
    <w:rsid w:val="009A0FDF"/>
    <w:rsid w:val="009A110B"/>
    <w:rsid w:val="009A1130"/>
    <w:rsid w:val="009A1626"/>
    <w:rsid w:val="009A16DB"/>
    <w:rsid w:val="009A2049"/>
    <w:rsid w:val="009A2482"/>
    <w:rsid w:val="009A2830"/>
    <w:rsid w:val="009A295B"/>
    <w:rsid w:val="009A2E7E"/>
    <w:rsid w:val="009A2F66"/>
    <w:rsid w:val="009A3409"/>
    <w:rsid w:val="009A344B"/>
    <w:rsid w:val="009A347E"/>
    <w:rsid w:val="009A3811"/>
    <w:rsid w:val="009A39B9"/>
    <w:rsid w:val="009A3BFB"/>
    <w:rsid w:val="009A41BA"/>
    <w:rsid w:val="009A4317"/>
    <w:rsid w:val="009A45B3"/>
    <w:rsid w:val="009A461C"/>
    <w:rsid w:val="009A469A"/>
    <w:rsid w:val="009A46A1"/>
    <w:rsid w:val="009A48DA"/>
    <w:rsid w:val="009A4B3B"/>
    <w:rsid w:val="009A4BA7"/>
    <w:rsid w:val="009A5204"/>
    <w:rsid w:val="009A564B"/>
    <w:rsid w:val="009A5A7A"/>
    <w:rsid w:val="009A5A90"/>
    <w:rsid w:val="009A5D62"/>
    <w:rsid w:val="009A5F58"/>
    <w:rsid w:val="009A64F9"/>
    <w:rsid w:val="009A69F0"/>
    <w:rsid w:val="009A6A36"/>
    <w:rsid w:val="009A6D7A"/>
    <w:rsid w:val="009A6EF3"/>
    <w:rsid w:val="009A71C8"/>
    <w:rsid w:val="009A73E9"/>
    <w:rsid w:val="009A7539"/>
    <w:rsid w:val="009A7666"/>
    <w:rsid w:val="009A7857"/>
    <w:rsid w:val="009A7E3A"/>
    <w:rsid w:val="009A7E55"/>
    <w:rsid w:val="009B02C1"/>
    <w:rsid w:val="009B0309"/>
    <w:rsid w:val="009B0411"/>
    <w:rsid w:val="009B0DB6"/>
    <w:rsid w:val="009B17C1"/>
    <w:rsid w:val="009B2239"/>
    <w:rsid w:val="009B2C74"/>
    <w:rsid w:val="009B2F8F"/>
    <w:rsid w:val="009B31F4"/>
    <w:rsid w:val="009B3467"/>
    <w:rsid w:val="009B3978"/>
    <w:rsid w:val="009B4083"/>
    <w:rsid w:val="009B458F"/>
    <w:rsid w:val="009B4DD8"/>
    <w:rsid w:val="009B54EF"/>
    <w:rsid w:val="009B588D"/>
    <w:rsid w:val="009B5B8F"/>
    <w:rsid w:val="009B5FEF"/>
    <w:rsid w:val="009B624A"/>
    <w:rsid w:val="009B63C7"/>
    <w:rsid w:val="009B6454"/>
    <w:rsid w:val="009B67D7"/>
    <w:rsid w:val="009B6BDD"/>
    <w:rsid w:val="009B6F1E"/>
    <w:rsid w:val="009B74DF"/>
    <w:rsid w:val="009B754B"/>
    <w:rsid w:val="009B7689"/>
    <w:rsid w:val="009B76B1"/>
    <w:rsid w:val="009B773B"/>
    <w:rsid w:val="009B777E"/>
    <w:rsid w:val="009B7A7E"/>
    <w:rsid w:val="009B7B57"/>
    <w:rsid w:val="009C0448"/>
    <w:rsid w:val="009C051C"/>
    <w:rsid w:val="009C0721"/>
    <w:rsid w:val="009C0A20"/>
    <w:rsid w:val="009C0B02"/>
    <w:rsid w:val="009C0B13"/>
    <w:rsid w:val="009C0E10"/>
    <w:rsid w:val="009C0FDD"/>
    <w:rsid w:val="009C1883"/>
    <w:rsid w:val="009C1CC0"/>
    <w:rsid w:val="009C1E1B"/>
    <w:rsid w:val="009C1FC1"/>
    <w:rsid w:val="009C2381"/>
    <w:rsid w:val="009C24BD"/>
    <w:rsid w:val="009C272F"/>
    <w:rsid w:val="009C2C54"/>
    <w:rsid w:val="009C329B"/>
    <w:rsid w:val="009C366D"/>
    <w:rsid w:val="009C36A5"/>
    <w:rsid w:val="009C3822"/>
    <w:rsid w:val="009C3C83"/>
    <w:rsid w:val="009C4498"/>
    <w:rsid w:val="009C486B"/>
    <w:rsid w:val="009C4981"/>
    <w:rsid w:val="009C5096"/>
    <w:rsid w:val="009C51B8"/>
    <w:rsid w:val="009C5445"/>
    <w:rsid w:val="009C5730"/>
    <w:rsid w:val="009C5A12"/>
    <w:rsid w:val="009C5B0E"/>
    <w:rsid w:val="009C5B2F"/>
    <w:rsid w:val="009C5D69"/>
    <w:rsid w:val="009C6102"/>
    <w:rsid w:val="009C6358"/>
    <w:rsid w:val="009C64B2"/>
    <w:rsid w:val="009C6566"/>
    <w:rsid w:val="009C6A21"/>
    <w:rsid w:val="009C6A68"/>
    <w:rsid w:val="009C6B7F"/>
    <w:rsid w:val="009D0A3F"/>
    <w:rsid w:val="009D1258"/>
    <w:rsid w:val="009D133F"/>
    <w:rsid w:val="009D17EA"/>
    <w:rsid w:val="009D1B11"/>
    <w:rsid w:val="009D1C29"/>
    <w:rsid w:val="009D22D4"/>
    <w:rsid w:val="009D2435"/>
    <w:rsid w:val="009D2863"/>
    <w:rsid w:val="009D305C"/>
    <w:rsid w:val="009D3824"/>
    <w:rsid w:val="009D3C9A"/>
    <w:rsid w:val="009D44A6"/>
    <w:rsid w:val="009D4748"/>
    <w:rsid w:val="009D53E6"/>
    <w:rsid w:val="009D5495"/>
    <w:rsid w:val="009D55BD"/>
    <w:rsid w:val="009D57FB"/>
    <w:rsid w:val="009D590B"/>
    <w:rsid w:val="009D5C9E"/>
    <w:rsid w:val="009D6B63"/>
    <w:rsid w:val="009D6FE9"/>
    <w:rsid w:val="009D775E"/>
    <w:rsid w:val="009D7E98"/>
    <w:rsid w:val="009E0289"/>
    <w:rsid w:val="009E03FE"/>
    <w:rsid w:val="009E0639"/>
    <w:rsid w:val="009E0C5B"/>
    <w:rsid w:val="009E1C21"/>
    <w:rsid w:val="009E1D72"/>
    <w:rsid w:val="009E2042"/>
    <w:rsid w:val="009E2070"/>
    <w:rsid w:val="009E217A"/>
    <w:rsid w:val="009E23B9"/>
    <w:rsid w:val="009E2458"/>
    <w:rsid w:val="009E2518"/>
    <w:rsid w:val="009E299B"/>
    <w:rsid w:val="009E2FFD"/>
    <w:rsid w:val="009E3363"/>
    <w:rsid w:val="009E3435"/>
    <w:rsid w:val="009E3766"/>
    <w:rsid w:val="009E381B"/>
    <w:rsid w:val="009E38CA"/>
    <w:rsid w:val="009E3954"/>
    <w:rsid w:val="009E3A88"/>
    <w:rsid w:val="009E3D2B"/>
    <w:rsid w:val="009E410F"/>
    <w:rsid w:val="009E4232"/>
    <w:rsid w:val="009E47AF"/>
    <w:rsid w:val="009E4B5A"/>
    <w:rsid w:val="009E4D03"/>
    <w:rsid w:val="009E4F67"/>
    <w:rsid w:val="009E56CA"/>
    <w:rsid w:val="009E5805"/>
    <w:rsid w:val="009E587A"/>
    <w:rsid w:val="009E59CA"/>
    <w:rsid w:val="009E6503"/>
    <w:rsid w:val="009E657D"/>
    <w:rsid w:val="009E687E"/>
    <w:rsid w:val="009E6A90"/>
    <w:rsid w:val="009E6AE0"/>
    <w:rsid w:val="009E6DD4"/>
    <w:rsid w:val="009E752D"/>
    <w:rsid w:val="009E760D"/>
    <w:rsid w:val="009E77F1"/>
    <w:rsid w:val="009E7B35"/>
    <w:rsid w:val="009E7D36"/>
    <w:rsid w:val="009E7D82"/>
    <w:rsid w:val="009E7D87"/>
    <w:rsid w:val="009E7DD2"/>
    <w:rsid w:val="009F021D"/>
    <w:rsid w:val="009F0467"/>
    <w:rsid w:val="009F068C"/>
    <w:rsid w:val="009F0994"/>
    <w:rsid w:val="009F0BF9"/>
    <w:rsid w:val="009F10D9"/>
    <w:rsid w:val="009F13F6"/>
    <w:rsid w:val="009F157B"/>
    <w:rsid w:val="009F166A"/>
    <w:rsid w:val="009F191B"/>
    <w:rsid w:val="009F1D93"/>
    <w:rsid w:val="009F1F40"/>
    <w:rsid w:val="009F2009"/>
    <w:rsid w:val="009F202C"/>
    <w:rsid w:val="009F2105"/>
    <w:rsid w:val="009F27CF"/>
    <w:rsid w:val="009F2DB7"/>
    <w:rsid w:val="009F2F67"/>
    <w:rsid w:val="009F305D"/>
    <w:rsid w:val="009F3D8E"/>
    <w:rsid w:val="009F3DE6"/>
    <w:rsid w:val="009F4066"/>
    <w:rsid w:val="009F426C"/>
    <w:rsid w:val="009F471F"/>
    <w:rsid w:val="009F493D"/>
    <w:rsid w:val="009F4A4D"/>
    <w:rsid w:val="009F4B76"/>
    <w:rsid w:val="009F4C82"/>
    <w:rsid w:val="009F4DB6"/>
    <w:rsid w:val="009F50D7"/>
    <w:rsid w:val="009F55AF"/>
    <w:rsid w:val="009F65F9"/>
    <w:rsid w:val="009F6616"/>
    <w:rsid w:val="009F66E4"/>
    <w:rsid w:val="009F66ED"/>
    <w:rsid w:val="009F6937"/>
    <w:rsid w:val="009F696E"/>
    <w:rsid w:val="009F6BEB"/>
    <w:rsid w:val="009F6E59"/>
    <w:rsid w:val="009F7208"/>
    <w:rsid w:val="009F74E5"/>
    <w:rsid w:val="00A00173"/>
    <w:rsid w:val="00A00291"/>
    <w:rsid w:val="00A00871"/>
    <w:rsid w:val="00A008A4"/>
    <w:rsid w:val="00A011C5"/>
    <w:rsid w:val="00A0123C"/>
    <w:rsid w:val="00A012A7"/>
    <w:rsid w:val="00A013B5"/>
    <w:rsid w:val="00A01616"/>
    <w:rsid w:val="00A0183C"/>
    <w:rsid w:val="00A01ACF"/>
    <w:rsid w:val="00A01D63"/>
    <w:rsid w:val="00A0208A"/>
    <w:rsid w:val="00A02832"/>
    <w:rsid w:val="00A029E5"/>
    <w:rsid w:val="00A02FF1"/>
    <w:rsid w:val="00A030BB"/>
    <w:rsid w:val="00A03301"/>
    <w:rsid w:val="00A0346A"/>
    <w:rsid w:val="00A03B34"/>
    <w:rsid w:val="00A03C61"/>
    <w:rsid w:val="00A03D93"/>
    <w:rsid w:val="00A03D99"/>
    <w:rsid w:val="00A03E05"/>
    <w:rsid w:val="00A040DD"/>
    <w:rsid w:val="00A04249"/>
    <w:rsid w:val="00A04496"/>
    <w:rsid w:val="00A0463E"/>
    <w:rsid w:val="00A047B0"/>
    <w:rsid w:val="00A04A7E"/>
    <w:rsid w:val="00A04DC9"/>
    <w:rsid w:val="00A05150"/>
    <w:rsid w:val="00A05619"/>
    <w:rsid w:val="00A059F4"/>
    <w:rsid w:val="00A05AE3"/>
    <w:rsid w:val="00A05C82"/>
    <w:rsid w:val="00A05CF4"/>
    <w:rsid w:val="00A0607D"/>
    <w:rsid w:val="00A06570"/>
    <w:rsid w:val="00A065D1"/>
    <w:rsid w:val="00A06696"/>
    <w:rsid w:val="00A06781"/>
    <w:rsid w:val="00A06F3D"/>
    <w:rsid w:val="00A100BB"/>
    <w:rsid w:val="00A10231"/>
    <w:rsid w:val="00A1099C"/>
    <w:rsid w:val="00A109F9"/>
    <w:rsid w:val="00A10BA9"/>
    <w:rsid w:val="00A10F49"/>
    <w:rsid w:val="00A11152"/>
    <w:rsid w:val="00A11D5B"/>
    <w:rsid w:val="00A125DB"/>
    <w:rsid w:val="00A13229"/>
    <w:rsid w:val="00A13768"/>
    <w:rsid w:val="00A1380A"/>
    <w:rsid w:val="00A13B4F"/>
    <w:rsid w:val="00A13D28"/>
    <w:rsid w:val="00A14041"/>
    <w:rsid w:val="00A146B2"/>
    <w:rsid w:val="00A14A69"/>
    <w:rsid w:val="00A14AE3"/>
    <w:rsid w:val="00A14B18"/>
    <w:rsid w:val="00A14C01"/>
    <w:rsid w:val="00A14D81"/>
    <w:rsid w:val="00A14E2D"/>
    <w:rsid w:val="00A162CD"/>
    <w:rsid w:val="00A164C9"/>
    <w:rsid w:val="00A164E5"/>
    <w:rsid w:val="00A166D5"/>
    <w:rsid w:val="00A16861"/>
    <w:rsid w:val="00A1693D"/>
    <w:rsid w:val="00A16A09"/>
    <w:rsid w:val="00A1712D"/>
    <w:rsid w:val="00A174E8"/>
    <w:rsid w:val="00A17517"/>
    <w:rsid w:val="00A17618"/>
    <w:rsid w:val="00A17928"/>
    <w:rsid w:val="00A17ABD"/>
    <w:rsid w:val="00A17B43"/>
    <w:rsid w:val="00A17CBF"/>
    <w:rsid w:val="00A20264"/>
    <w:rsid w:val="00A20492"/>
    <w:rsid w:val="00A2078B"/>
    <w:rsid w:val="00A21009"/>
    <w:rsid w:val="00A21534"/>
    <w:rsid w:val="00A215A0"/>
    <w:rsid w:val="00A217F5"/>
    <w:rsid w:val="00A21C37"/>
    <w:rsid w:val="00A21D30"/>
    <w:rsid w:val="00A21DFC"/>
    <w:rsid w:val="00A21F30"/>
    <w:rsid w:val="00A22039"/>
    <w:rsid w:val="00A2229A"/>
    <w:rsid w:val="00A22A47"/>
    <w:rsid w:val="00A22BB7"/>
    <w:rsid w:val="00A22C31"/>
    <w:rsid w:val="00A22D23"/>
    <w:rsid w:val="00A23019"/>
    <w:rsid w:val="00A23F24"/>
    <w:rsid w:val="00A2403E"/>
    <w:rsid w:val="00A24244"/>
    <w:rsid w:val="00A247D2"/>
    <w:rsid w:val="00A247DD"/>
    <w:rsid w:val="00A24CEF"/>
    <w:rsid w:val="00A24E46"/>
    <w:rsid w:val="00A253EB"/>
    <w:rsid w:val="00A25613"/>
    <w:rsid w:val="00A25B81"/>
    <w:rsid w:val="00A260F4"/>
    <w:rsid w:val="00A268F0"/>
    <w:rsid w:val="00A269E5"/>
    <w:rsid w:val="00A26B3D"/>
    <w:rsid w:val="00A26BFD"/>
    <w:rsid w:val="00A270F7"/>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9A8"/>
    <w:rsid w:val="00A35A8F"/>
    <w:rsid w:val="00A3637E"/>
    <w:rsid w:val="00A3645E"/>
    <w:rsid w:val="00A36790"/>
    <w:rsid w:val="00A36D57"/>
    <w:rsid w:val="00A36EF9"/>
    <w:rsid w:val="00A3745F"/>
    <w:rsid w:val="00A37FC1"/>
    <w:rsid w:val="00A405BE"/>
    <w:rsid w:val="00A40AFE"/>
    <w:rsid w:val="00A40F1C"/>
    <w:rsid w:val="00A41449"/>
    <w:rsid w:val="00A414C0"/>
    <w:rsid w:val="00A416A5"/>
    <w:rsid w:val="00A41817"/>
    <w:rsid w:val="00A418D5"/>
    <w:rsid w:val="00A41D34"/>
    <w:rsid w:val="00A42B99"/>
    <w:rsid w:val="00A42BF5"/>
    <w:rsid w:val="00A433F0"/>
    <w:rsid w:val="00A4340A"/>
    <w:rsid w:val="00A43616"/>
    <w:rsid w:val="00A43788"/>
    <w:rsid w:val="00A439E6"/>
    <w:rsid w:val="00A44091"/>
    <w:rsid w:val="00A443F6"/>
    <w:rsid w:val="00A451D3"/>
    <w:rsid w:val="00A452E0"/>
    <w:rsid w:val="00A453C8"/>
    <w:rsid w:val="00A454F6"/>
    <w:rsid w:val="00A4579F"/>
    <w:rsid w:val="00A45903"/>
    <w:rsid w:val="00A4632A"/>
    <w:rsid w:val="00A465AD"/>
    <w:rsid w:val="00A47039"/>
    <w:rsid w:val="00A509D6"/>
    <w:rsid w:val="00A50BB4"/>
    <w:rsid w:val="00A5144E"/>
    <w:rsid w:val="00A5150C"/>
    <w:rsid w:val="00A51625"/>
    <w:rsid w:val="00A517D6"/>
    <w:rsid w:val="00A51881"/>
    <w:rsid w:val="00A5193D"/>
    <w:rsid w:val="00A5201D"/>
    <w:rsid w:val="00A5214D"/>
    <w:rsid w:val="00A529E9"/>
    <w:rsid w:val="00A52B18"/>
    <w:rsid w:val="00A52F3E"/>
    <w:rsid w:val="00A53116"/>
    <w:rsid w:val="00A53473"/>
    <w:rsid w:val="00A54350"/>
    <w:rsid w:val="00A54501"/>
    <w:rsid w:val="00A54568"/>
    <w:rsid w:val="00A55510"/>
    <w:rsid w:val="00A555E5"/>
    <w:rsid w:val="00A55D8A"/>
    <w:rsid w:val="00A55EBA"/>
    <w:rsid w:val="00A56048"/>
    <w:rsid w:val="00A56245"/>
    <w:rsid w:val="00A5647A"/>
    <w:rsid w:val="00A5650F"/>
    <w:rsid w:val="00A56610"/>
    <w:rsid w:val="00A56985"/>
    <w:rsid w:val="00A569BB"/>
    <w:rsid w:val="00A569FC"/>
    <w:rsid w:val="00A57060"/>
    <w:rsid w:val="00A57145"/>
    <w:rsid w:val="00A5727E"/>
    <w:rsid w:val="00A5768B"/>
    <w:rsid w:val="00A5783B"/>
    <w:rsid w:val="00A57869"/>
    <w:rsid w:val="00A6052A"/>
    <w:rsid w:val="00A60938"/>
    <w:rsid w:val="00A609C8"/>
    <w:rsid w:val="00A60AD7"/>
    <w:rsid w:val="00A60D12"/>
    <w:rsid w:val="00A60F14"/>
    <w:rsid w:val="00A60F87"/>
    <w:rsid w:val="00A613BB"/>
    <w:rsid w:val="00A614A0"/>
    <w:rsid w:val="00A614B7"/>
    <w:rsid w:val="00A618F8"/>
    <w:rsid w:val="00A61903"/>
    <w:rsid w:val="00A61DFD"/>
    <w:rsid w:val="00A61E39"/>
    <w:rsid w:val="00A61F40"/>
    <w:rsid w:val="00A62123"/>
    <w:rsid w:val="00A62372"/>
    <w:rsid w:val="00A62848"/>
    <w:rsid w:val="00A629FB"/>
    <w:rsid w:val="00A62D62"/>
    <w:rsid w:val="00A6300D"/>
    <w:rsid w:val="00A63461"/>
    <w:rsid w:val="00A639E0"/>
    <w:rsid w:val="00A640C7"/>
    <w:rsid w:val="00A64228"/>
    <w:rsid w:val="00A6454D"/>
    <w:rsid w:val="00A64568"/>
    <w:rsid w:val="00A647EF"/>
    <w:rsid w:val="00A650B1"/>
    <w:rsid w:val="00A653C4"/>
    <w:rsid w:val="00A6585D"/>
    <w:rsid w:val="00A659ED"/>
    <w:rsid w:val="00A65B61"/>
    <w:rsid w:val="00A65BBB"/>
    <w:rsid w:val="00A65C4E"/>
    <w:rsid w:val="00A65C92"/>
    <w:rsid w:val="00A65F2A"/>
    <w:rsid w:val="00A6636E"/>
    <w:rsid w:val="00A66543"/>
    <w:rsid w:val="00A66576"/>
    <w:rsid w:val="00A66868"/>
    <w:rsid w:val="00A66EEF"/>
    <w:rsid w:val="00A670F1"/>
    <w:rsid w:val="00A673F5"/>
    <w:rsid w:val="00A67979"/>
    <w:rsid w:val="00A67A31"/>
    <w:rsid w:val="00A67EED"/>
    <w:rsid w:val="00A67FCE"/>
    <w:rsid w:val="00A70156"/>
    <w:rsid w:val="00A70200"/>
    <w:rsid w:val="00A70CDB"/>
    <w:rsid w:val="00A70E3F"/>
    <w:rsid w:val="00A7125D"/>
    <w:rsid w:val="00A7146C"/>
    <w:rsid w:val="00A71CDA"/>
    <w:rsid w:val="00A71EDC"/>
    <w:rsid w:val="00A7279F"/>
    <w:rsid w:val="00A72D90"/>
    <w:rsid w:val="00A72DAC"/>
    <w:rsid w:val="00A7321A"/>
    <w:rsid w:val="00A73E3B"/>
    <w:rsid w:val="00A746C3"/>
    <w:rsid w:val="00A748C3"/>
    <w:rsid w:val="00A748F4"/>
    <w:rsid w:val="00A74AB0"/>
    <w:rsid w:val="00A750E5"/>
    <w:rsid w:val="00A75307"/>
    <w:rsid w:val="00A755A9"/>
    <w:rsid w:val="00A7576A"/>
    <w:rsid w:val="00A7576B"/>
    <w:rsid w:val="00A759F2"/>
    <w:rsid w:val="00A76219"/>
    <w:rsid w:val="00A7635E"/>
    <w:rsid w:val="00A763E9"/>
    <w:rsid w:val="00A764D7"/>
    <w:rsid w:val="00A7666B"/>
    <w:rsid w:val="00A76F32"/>
    <w:rsid w:val="00A76FDD"/>
    <w:rsid w:val="00A771DA"/>
    <w:rsid w:val="00A77508"/>
    <w:rsid w:val="00A779EC"/>
    <w:rsid w:val="00A77C26"/>
    <w:rsid w:val="00A80146"/>
    <w:rsid w:val="00A80629"/>
    <w:rsid w:val="00A808A8"/>
    <w:rsid w:val="00A80B89"/>
    <w:rsid w:val="00A812EA"/>
    <w:rsid w:val="00A81419"/>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E3"/>
    <w:rsid w:val="00A91B46"/>
    <w:rsid w:val="00A91C53"/>
    <w:rsid w:val="00A91E3F"/>
    <w:rsid w:val="00A9244D"/>
    <w:rsid w:val="00A92EEA"/>
    <w:rsid w:val="00A93725"/>
    <w:rsid w:val="00A93D95"/>
    <w:rsid w:val="00A941D8"/>
    <w:rsid w:val="00A94414"/>
    <w:rsid w:val="00A944CE"/>
    <w:rsid w:val="00A94604"/>
    <w:rsid w:val="00A94B90"/>
    <w:rsid w:val="00A951EA"/>
    <w:rsid w:val="00A9542F"/>
    <w:rsid w:val="00A957A6"/>
    <w:rsid w:val="00A95E7D"/>
    <w:rsid w:val="00A9630D"/>
    <w:rsid w:val="00A9645B"/>
    <w:rsid w:val="00A9653F"/>
    <w:rsid w:val="00A974E2"/>
    <w:rsid w:val="00AA02CD"/>
    <w:rsid w:val="00AA04D6"/>
    <w:rsid w:val="00AA06D5"/>
    <w:rsid w:val="00AA0B7C"/>
    <w:rsid w:val="00AA0F9C"/>
    <w:rsid w:val="00AA1949"/>
    <w:rsid w:val="00AA23D7"/>
    <w:rsid w:val="00AA253C"/>
    <w:rsid w:val="00AA2609"/>
    <w:rsid w:val="00AA2639"/>
    <w:rsid w:val="00AA26F2"/>
    <w:rsid w:val="00AA2701"/>
    <w:rsid w:val="00AA2859"/>
    <w:rsid w:val="00AA2A45"/>
    <w:rsid w:val="00AA2E7D"/>
    <w:rsid w:val="00AA3082"/>
    <w:rsid w:val="00AA3DCA"/>
    <w:rsid w:val="00AA42F4"/>
    <w:rsid w:val="00AA43DB"/>
    <w:rsid w:val="00AA5550"/>
    <w:rsid w:val="00AA66DF"/>
    <w:rsid w:val="00AA6D45"/>
    <w:rsid w:val="00AA7117"/>
    <w:rsid w:val="00AA741B"/>
    <w:rsid w:val="00AA74AF"/>
    <w:rsid w:val="00AA7668"/>
    <w:rsid w:val="00AA7798"/>
    <w:rsid w:val="00AB0040"/>
    <w:rsid w:val="00AB033B"/>
    <w:rsid w:val="00AB0425"/>
    <w:rsid w:val="00AB0447"/>
    <w:rsid w:val="00AB07E3"/>
    <w:rsid w:val="00AB0B57"/>
    <w:rsid w:val="00AB0D80"/>
    <w:rsid w:val="00AB0E38"/>
    <w:rsid w:val="00AB1020"/>
    <w:rsid w:val="00AB10CA"/>
    <w:rsid w:val="00AB1E02"/>
    <w:rsid w:val="00AB1FAC"/>
    <w:rsid w:val="00AB2161"/>
    <w:rsid w:val="00AB226A"/>
    <w:rsid w:val="00AB27A8"/>
    <w:rsid w:val="00AB285E"/>
    <w:rsid w:val="00AB2AD7"/>
    <w:rsid w:val="00AB2D9C"/>
    <w:rsid w:val="00AB2DF4"/>
    <w:rsid w:val="00AB2DFC"/>
    <w:rsid w:val="00AB2E3A"/>
    <w:rsid w:val="00AB37CD"/>
    <w:rsid w:val="00AB3B8A"/>
    <w:rsid w:val="00AB4B66"/>
    <w:rsid w:val="00AB4E13"/>
    <w:rsid w:val="00AB53E4"/>
    <w:rsid w:val="00AB56E4"/>
    <w:rsid w:val="00AB5A48"/>
    <w:rsid w:val="00AB5AC9"/>
    <w:rsid w:val="00AB5F58"/>
    <w:rsid w:val="00AB7207"/>
    <w:rsid w:val="00AB77F6"/>
    <w:rsid w:val="00AB7B23"/>
    <w:rsid w:val="00AB7D73"/>
    <w:rsid w:val="00AB7E31"/>
    <w:rsid w:val="00AB7F20"/>
    <w:rsid w:val="00AC07C4"/>
    <w:rsid w:val="00AC07D4"/>
    <w:rsid w:val="00AC0D99"/>
    <w:rsid w:val="00AC1164"/>
    <w:rsid w:val="00AC142F"/>
    <w:rsid w:val="00AC1863"/>
    <w:rsid w:val="00AC2755"/>
    <w:rsid w:val="00AC2935"/>
    <w:rsid w:val="00AC2BE5"/>
    <w:rsid w:val="00AC2BF5"/>
    <w:rsid w:val="00AC2E2D"/>
    <w:rsid w:val="00AC3A50"/>
    <w:rsid w:val="00AC4020"/>
    <w:rsid w:val="00AC47FA"/>
    <w:rsid w:val="00AC47FB"/>
    <w:rsid w:val="00AC48E9"/>
    <w:rsid w:val="00AC4B08"/>
    <w:rsid w:val="00AC4BB7"/>
    <w:rsid w:val="00AC4BC0"/>
    <w:rsid w:val="00AC4FFB"/>
    <w:rsid w:val="00AC5279"/>
    <w:rsid w:val="00AC55A6"/>
    <w:rsid w:val="00AC6506"/>
    <w:rsid w:val="00AC6C65"/>
    <w:rsid w:val="00AC7101"/>
    <w:rsid w:val="00AC710A"/>
    <w:rsid w:val="00AC7473"/>
    <w:rsid w:val="00AC75E1"/>
    <w:rsid w:val="00AC7B2D"/>
    <w:rsid w:val="00AC7D64"/>
    <w:rsid w:val="00AD07A2"/>
    <w:rsid w:val="00AD0801"/>
    <w:rsid w:val="00AD0D54"/>
    <w:rsid w:val="00AD0FAA"/>
    <w:rsid w:val="00AD1463"/>
    <w:rsid w:val="00AD1852"/>
    <w:rsid w:val="00AD1AD6"/>
    <w:rsid w:val="00AD1C65"/>
    <w:rsid w:val="00AD1D16"/>
    <w:rsid w:val="00AD22EE"/>
    <w:rsid w:val="00AD2765"/>
    <w:rsid w:val="00AD2A4C"/>
    <w:rsid w:val="00AD2A61"/>
    <w:rsid w:val="00AD2B76"/>
    <w:rsid w:val="00AD2DF5"/>
    <w:rsid w:val="00AD2E69"/>
    <w:rsid w:val="00AD2EA0"/>
    <w:rsid w:val="00AD2FF8"/>
    <w:rsid w:val="00AD36B8"/>
    <w:rsid w:val="00AD36CE"/>
    <w:rsid w:val="00AD3953"/>
    <w:rsid w:val="00AD4019"/>
    <w:rsid w:val="00AD4375"/>
    <w:rsid w:val="00AD454E"/>
    <w:rsid w:val="00AD47BD"/>
    <w:rsid w:val="00AD4C22"/>
    <w:rsid w:val="00AD4D42"/>
    <w:rsid w:val="00AD4E30"/>
    <w:rsid w:val="00AD4F24"/>
    <w:rsid w:val="00AD6034"/>
    <w:rsid w:val="00AD6879"/>
    <w:rsid w:val="00AD7F13"/>
    <w:rsid w:val="00AD7F1A"/>
    <w:rsid w:val="00AE0521"/>
    <w:rsid w:val="00AE0C06"/>
    <w:rsid w:val="00AE0D11"/>
    <w:rsid w:val="00AE0EFC"/>
    <w:rsid w:val="00AE0F21"/>
    <w:rsid w:val="00AE114C"/>
    <w:rsid w:val="00AE15FD"/>
    <w:rsid w:val="00AE189E"/>
    <w:rsid w:val="00AE1A2F"/>
    <w:rsid w:val="00AE2C57"/>
    <w:rsid w:val="00AE3BFA"/>
    <w:rsid w:val="00AE3DBD"/>
    <w:rsid w:val="00AE3E1A"/>
    <w:rsid w:val="00AE4566"/>
    <w:rsid w:val="00AE482E"/>
    <w:rsid w:val="00AE4CB8"/>
    <w:rsid w:val="00AE510A"/>
    <w:rsid w:val="00AE519A"/>
    <w:rsid w:val="00AE520B"/>
    <w:rsid w:val="00AE58A7"/>
    <w:rsid w:val="00AE5FF9"/>
    <w:rsid w:val="00AE6616"/>
    <w:rsid w:val="00AE67A2"/>
    <w:rsid w:val="00AE6A27"/>
    <w:rsid w:val="00AE712B"/>
    <w:rsid w:val="00AE72DF"/>
    <w:rsid w:val="00AE73BC"/>
    <w:rsid w:val="00AE7A67"/>
    <w:rsid w:val="00AE7DE8"/>
    <w:rsid w:val="00AE7F7C"/>
    <w:rsid w:val="00AF0A43"/>
    <w:rsid w:val="00AF0E6A"/>
    <w:rsid w:val="00AF1424"/>
    <w:rsid w:val="00AF1A7A"/>
    <w:rsid w:val="00AF1B1A"/>
    <w:rsid w:val="00AF2596"/>
    <w:rsid w:val="00AF2A0D"/>
    <w:rsid w:val="00AF2C67"/>
    <w:rsid w:val="00AF2D91"/>
    <w:rsid w:val="00AF3056"/>
    <w:rsid w:val="00AF3133"/>
    <w:rsid w:val="00AF3D53"/>
    <w:rsid w:val="00AF3DC3"/>
    <w:rsid w:val="00AF3EDB"/>
    <w:rsid w:val="00AF448F"/>
    <w:rsid w:val="00AF4A79"/>
    <w:rsid w:val="00AF51E6"/>
    <w:rsid w:val="00AF5947"/>
    <w:rsid w:val="00AF5E78"/>
    <w:rsid w:val="00AF5F2E"/>
    <w:rsid w:val="00AF6068"/>
    <w:rsid w:val="00AF6530"/>
    <w:rsid w:val="00AF65C2"/>
    <w:rsid w:val="00AF6D6A"/>
    <w:rsid w:val="00AF6DFF"/>
    <w:rsid w:val="00AF77A4"/>
    <w:rsid w:val="00AF7E11"/>
    <w:rsid w:val="00AF7E1F"/>
    <w:rsid w:val="00AF7F0D"/>
    <w:rsid w:val="00B00370"/>
    <w:rsid w:val="00B009A1"/>
    <w:rsid w:val="00B010B4"/>
    <w:rsid w:val="00B01648"/>
    <w:rsid w:val="00B018C8"/>
    <w:rsid w:val="00B01A00"/>
    <w:rsid w:val="00B01A87"/>
    <w:rsid w:val="00B02069"/>
    <w:rsid w:val="00B020AE"/>
    <w:rsid w:val="00B02A32"/>
    <w:rsid w:val="00B02A9D"/>
    <w:rsid w:val="00B02BAB"/>
    <w:rsid w:val="00B0300D"/>
    <w:rsid w:val="00B0318B"/>
    <w:rsid w:val="00B032A0"/>
    <w:rsid w:val="00B03402"/>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72ED"/>
    <w:rsid w:val="00B073F6"/>
    <w:rsid w:val="00B078BB"/>
    <w:rsid w:val="00B07D33"/>
    <w:rsid w:val="00B07E5B"/>
    <w:rsid w:val="00B1099D"/>
    <w:rsid w:val="00B10B9F"/>
    <w:rsid w:val="00B1109C"/>
    <w:rsid w:val="00B1127C"/>
    <w:rsid w:val="00B12038"/>
    <w:rsid w:val="00B1218C"/>
    <w:rsid w:val="00B1275C"/>
    <w:rsid w:val="00B12EC6"/>
    <w:rsid w:val="00B1355C"/>
    <w:rsid w:val="00B1371E"/>
    <w:rsid w:val="00B13A72"/>
    <w:rsid w:val="00B13D29"/>
    <w:rsid w:val="00B14444"/>
    <w:rsid w:val="00B1456E"/>
    <w:rsid w:val="00B1458F"/>
    <w:rsid w:val="00B14B7E"/>
    <w:rsid w:val="00B14D0A"/>
    <w:rsid w:val="00B15454"/>
    <w:rsid w:val="00B1549A"/>
    <w:rsid w:val="00B15870"/>
    <w:rsid w:val="00B15AF2"/>
    <w:rsid w:val="00B16005"/>
    <w:rsid w:val="00B16252"/>
    <w:rsid w:val="00B1665D"/>
    <w:rsid w:val="00B1689B"/>
    <w:rsid w:val="00B16B9B"/>
    <w:rsid w:val="00B16CE0"/>
    <w:rsid w:val="00B1724D"/>
    <w:rsid w:val="00B17562"/>
    <w:rsid w:val="00B1788F"/>
    <w:rsid w:val="00B17DC8"/>
    <w:rsid w:val="00B2021E"/>
    <w:rsid w:val="00B2048D"/>
    <w:rsid w:val="00B204FE"/>
    <w:rsid w:val="00B20ADA"/>
    <w:rsid w:val="00B20B9A"/>
    <w:rsid w:val="00B20CC4"/>
    <w:rsid w:val="00B21298"/>
    <w:rsid w:val="00B21800"/>
    <w:rsid w:val="00B2181B"/>
    <w:rsid w:val="00B21AB0"/>
    <w:rsid w:val="00B21D12"/>
    <w:rsid w:val="00B22339"/>
    <w:rsid w:val="00B223AC"/>
    <w:rsid w:val="00B223D9"/>
    <w:rsid w:val="00B2248D"/>
    <w:rsid w:val="00B224C6"/>
    <w:rsid w:val="00B225BC"/>
    <w:rsid w:val="00B225DE"/>
    <w:rsid w:val="00B22695"/>
    <w:rsid w:val="00B22B0B"/>
    <w:rsid w:val="00B23103"/>
    <w:rsid w:val="00B23156"/>
    <w:rsid w:val="00B232E8"/>
    <w:rsid w:val="00B2334E"/>
    <w:rsid w:val="00B23804"/>
    <w:rsid w:val="00B239DF"/>
    <w:rsid w:val="00B23A4F"/>
    <w:rsid w:val="00B23EC5"/>
    <w:rsid w:val="00B2431E"/>
    <w:rsid w:val="00B243B8"/>
    <w:rsid w:val="00B24D44"/>
    <w:rsid w:val="00B257EB"/>
    <w:rsid w:val="00B2588B"/>
    <w:rsid w:val="00B25DB1"/>
    <w:rsid w:val="00B2608A"/>
    <w:rsid w:val="00B26113"/>
    <w:rsid w:val="00B26135"/>
    <w:rsid w:val="00B2654F"/>
    <w:rsid w:val="00B266E2"/>
    <w:rsid w:val="00B27172"/>
    <w:rsid w:val="00B27193"/>
    <w:rsid w:val="00B27384"/>
    <w:rsid w:val="00B276B4"/>
    <w:rsid w:val="00B2784C"/>
    <w:rsid w:val="00B27E6A"/>
    <w:rsid w:val="00B27E98"/>
    <w:rsid w:val="00B27FA7"/>
    <w:rsid w:val="00B30097"/>
    <w:rsid w:val="00B30110"/>
    <w:rsid w:val="00B30518"/>
    <w:rsid w:val="00B3053C"/>
    <w:rsid w:val="00B3065D"/>
    <w:rsid w:val="00B307FA"/>
    <w:rsid w:val="00B3106A"/>
    <w:rsid w:val="00B313D3"/>
    <w:rsid w:val="00B31539"/>
    <w:rsid w:val="00B32B24"/>
    <w:rsid w:val="00B3307B"/>
    <w:rsid w:val="00B331F9"/>
    <w:rsid w:val="00B332A4"/>
    <w:rsid w:val="00B3346B"/>
    <w:rsid w:val="00B33BFE"/>
    <w:rsid w:val="00B33D17"/>
    <w:rsid w:val="00B33EA2"/>
    <w:rsid w:val="00B34EFA"/>
    <w:rsid w:val="00B35148"/>
    <w:rsid w:val="00B352D0"/>
    <w:rsid w:val="00B353FE"/>
    <w:rsid w:val="00B357E3"/>
    <w:rsid w:val="00B35A7D"/>
    <w:rsid w:val="00B35A92"/>
    <w:rsid w:val="00B36150"/>
    <w:rsid w:val="00B36274"/>
    <w:rsid w:val="00B3646B"/>
    <w:rsid w:val="00B36721"/>
    <w:rsid w:val="00B36AA9"/>
    <w:rsid w:val="00B36B81"/>
    <w:rsid w:val="00B378FE"/>
    <w:rsid w:val="00B37AD0"/>
    <w:rsid w:val="00B37E44"/>
    <w:rsid w:val="00B40148"/>
    <w:rsid w:val="00B40220"/>
    <w:rsid w:val="00B407EB"/>
    <w:rsid w:val="00B40B14"/>
    <w:rsid w:val="00B40E9B"/>
    <w:rsid w:val="00B413D1"/>
    <w:rsid w:val="00B41481"/>
    <w:rsid w:val="00B41711"/>
    <w:rsid w:val="00B41854"/>
    <w:rsid w:val="00B41936"/>
    <w:rsid w:val="00B41977"/>
    <w:rsid w:val="00B41FC5"/>
    <w:rsid w:val="00B421CF"/>
    <w:rsid w:val="00B42581"/>
    <w:rsid w:val="00B425D3"/>
    <w:rsid w:val="00B427EF"/>
    <w:rsid w:val="00B42984"/>
    <w:rsid w:val="00B42B9B"/>
    <w:rsid w:val="00B42BF7"/>
    <w:rsid w:val="00B42FE8"/>
    <w:rsid w:val="00B43057"/>
    <w:rsid w:val="00B431B2"/>
    <w:rsid w:val="00B43BF8"/>
    <w:rsid w:val="00B44119"/>
    <w:rsid w:val="00B4494A"/>
    <w:rsid w:val="00B44ED5"/>
    <w:rsid w:val="00B4501B"/>
    <w:rsid w:val="00B45334"/>
    <w:rsid w:val="00B45579"/>
    <w:rsid w:val="00B45ACC"/>
    <w:rsid w:val="00B45DAE"/>
    <w:rsid w:val="00B45FC7"/>
    <w:rsid w:val="00B4605F"/>
    <w:rsid w:val="00B462AF"/>
    <w:rsid w:val="00B46409"/>
    <w:rsid w:val="00B4668B"/>
    <w:rsid w:val="00B467AE"/>
    <w:rsid w:val="00B46D3E"/>
    <w:rsid w:val="00B4768D"/>
    <w:rsid w:val="00B47F9E"/>
    <w:rsid w:val="00B503A3"/>
    <w:rsid w:val="00B5047D"/>
    <w:rsid w:val="00B50969"/>
    <w:rsid w:val="00B50AF6"/>
    <w:rsid w:val="00B50DA9"/>
    <w:rsid w:val="00B50EDD"/>
    <w:rsid w:val="00B51659"/>
    <w:rsid w:val="00B51B34"/>
    <w:rsid w:val="00B51BBE"/>
    <w:rsid w:val="00B51D34"/>
    <w:rsid w:val="00B520F6"/>
    <w:rsid w:val="00B5234F"/>
    <w:rsid w:val="00B529B5"/>
    <w:rsid w:val="00B52FA7"/>
    <w:rsid w:val="00B531C8"/>
    <w:rsid w:val="00B5381D"/>
    <w:rsid w:val="00B538C1"/>
    <w:rsid w:val="00B53966"/>
    <w:rsid w:val="00B53AA1"/>
    <w:rsid w:val="00B53B02"/>
    <w:rsid w:val="00B54198"/>
    <w:rsid w:val="00B54510"/>
    <w:rsid w:val="00B54947"/>
    <w:rsid w:val="00B54BEB"/>
    <w:rsid w:val="00B54BED"/>
    <w:rsid w:val="00B555BD"/>
    <w:rsid w:val="00B556EA"/>
    <w:rsid w:val="00B559CE"/>
    <w:rsid w:val="00B56BDC"/>
    <w:rsid w:val="00B56C69"/>
    <w:rsid w:val="00B56F78"/>
    <w:rsid w:val="00B572CE"/>
    <w:rsid w:val="00B5739E"/>
    <w:rsid w:val="00B576D4"/>
    <w:rsid w:val="00B57D87"/>
    <w:rsid w:val="00B57FAB"/>
    <w:rsid w:val="00B57FE2"/>
    <w:rsid w:val="00B608CB"/>
    <w:rsid w:val="00B609DA"/>
    <w:rsid w:val="00B60CCF"/>
    <w:rsid w:val="00B610F0"/>
    <w:rsid w:val="00B6146C"/>
    <w:rsid w:val="00B61810"/>
    <w:rsid w:val="00B618C6"/>
    <w:rsid w:val="00B619A0"/>
    <w:rsid w:val="00B61D27"/>
    <w:rsid w:val="00B621F2"/>
    <w:rsid w:val="00B62565"/>
    <w:rsid w:val="00B625A5"/>
    <w:rsid w:val="00B62EA5"/>
    <w:rsid w:val="00B63BE9"/>
    <w:rsid w:val="00B641B5"/>
    <w:rsid w:val="00B642D5"/>
    <w:rsid w:val="00B64431"/>
    <w:rsid w:val="00B644D2"/>
    <w:rsid w:val="00B64AF1"/>
    <w:rsid w:val="00B64BF0"/>
    <w:rsid w:val="00B64CAB"/>
    <w:rsid w:val="00B65213"/>
    <w:rsid w:val="00B6538C"/>
    <w:rsid w:val="00B65566"/>
    <w:rsid w:val="00B656A4"/>
    <w:rsid w:val="00B65A83"/>
    <w:rsid w:val="00B65B3B"/>
    <w:rsid w:val="00B664DC"/>
    <w:rsid w:val="00B66534"/>
    <w:rsid w:val="00B668E0"/>
    <w:rsid w:val="00B66A94"/>
    <w:rsid w:val="00B670B4"/>
    <w:rsid w:val="00B67243"/>
    <w:rsid w:val="00B67269"/>
    <w:rsid w:val="00B675CE"/>
    <w:rsid w:val="00B679CA"/>
    <w:rsid w:val="00B67E0A"/>
    <w:rsid w:val="00B67F14"/>
    <w:rsid w:val="00B70295"/>
    <w:rsid w:val="00B704CB"/>
    <w:rsid w:val="00B70536"/>
    <w:rsid w:val="00B70766"/>
    <w:rsid w:val="00B712A5"/>
    <w:rsid w:val="00B7131B"/>
    <w:rsid w:val="00B71542"/>
    <w:rsid w:val="00B715BC"/>
    <w:rsid w:val="00B71762"/>
    <w:rsid w:val="00B71AA9"/>
    <w:rsid w:val="00B71F4C"/>
    <w:rsid w:val="00B71FA8"/>
    <w:rsid w:val="00B724EB"/>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63F"/>
    <w:rsid w:val="00B74815"/>
    <w:rsid w:val="00B74AFB"/>
    <w:rsid w:val="00B759A4"/>
    <w:rsid w:val="00B75C95"/>
    <w:rsid w:val="00B75D3D"/>
    <w:rsid w:val="00B76241"/>
    <w:rsid w:val="00B76410"/>
    <w:rsid w:val="00B76461"/>
    <w:rsid w:val="00B771A5"/>
    <w:rsid w:val="00B777FA"/>
    <w:rsid w:val="00B77C87"/>
    <w:rsid w:val="00B8047B"/>
    <w:rsid w:val="00B807E7"/>
    <w:rsid w:val="00B80B64"/>
    <w:rsid w:val="00B80DC3"/>
    <w:rsid w:val="00B80F62"/>
    <w:rsid w:val="00B814A1"/>
    <w:rsid w:val="00B81D56"/>
    <w:rsid w:val="00B83101"/>
    <w:rsid w:val="00B83291"/>
    <w:rsid w:val="00B83530"/>
    <w:rsid w:val="00B83584"/>
    <w:rsid w:val="00B839A1"/>
    <w:rsid w:val="00B839FE"/>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5A3"/>
    <w:rsid w:val="00B876A2"/>
    <w:rsid w:val="00B877DF"/>
    <w:rsid w:val="00B901B3"/>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8EA"/>
    <w:rsid w:val="00B92C53"/>
    <w:rsid w:val="00B92F66"/>
    <w:rsid w:val="00B9325F"/>
    <w:rsid w:val="00B937FA"/>
    <w:rsid w:val="00B93AB9"/>
    <w:rsid w:val="00B93C79"/>
    <w:rsid w:val="00B94019"/>
    <w:rsid w:val="00B94321"/>
    <w:rsid w:val="00B94706"/>
    <w:rsid w:val="00B94B9A"/>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0E59"/>
    <w:rsid w:val="00BA122F"/>
    <w:rsid w:val="00BA16D7"/>
    <w:rsid w:val="00BA1727"/>
    <w:rsid w:val="00BA1DA6"/>
    <w:rsid w:val="00BA1E75"/>
    <w:rsid w:val="00BA1E89"/>
    <w:rsid w:val="00BA276D"/>
    <w:rsid w:val="00BA2A16"/>
    <w:rsid w:val="00BA2A78"/>
    <w:rsid w:val="00BA30FD"/>
    <w:rsid w:val="00BA3BEB"/>
    <w:rsid w:val="00BA3C08"/>
    <w:rsid w:val="00BA46D8"/>
    <w:rsid w:val="00BA4723"/>
    <w:rsid w:val="00BA4ADA"/>
    <w:rsid w:val="00BA4C0E"/>
    <w:rsid w:val="00BA4CF2"/>
    <w:rsid w:val="00BA4F40"/>
    <w:rsid w:val="00BA5141"/>
    <w:rsid w:val="00BA657A"/>
    <w:rsid w:val="00BA65A0"/>
    <w:rsid w:val="00BA65BD"/>
    <w:rsid w:val="00BA6B6A"/>
    <w:rsid w:val="00BA6DC1"/>
    <w:rsid w:val="00BA7B86"/>
    <w:rsid w:val="00BA7BED"/>
    <w:rsid w:val="00BA7E19"/>
    <w:rsid w:val="00BA7F6E"/>
    <w:rsid w:val="00BB077C"/>
    <w:rsid w:val="00BB0A6E"/>
    <w:rsid w:val="00BB0B68"/>
    <w:rsid w:val="00BB0D83"/>
    <w:rsid w:val="00BB1102"/>
    <w:rsid w:val="00BB1119"/>
    <w:rsid w:val="00BB1284"/>
    <w:rsid w:val="00BB1A86"/>
    <w:rsid w:val="00BB1A8C"/>
    <w:rsid w:val="00BB1DDC"/>
    <w:rsid w:val="00BB208F"/>
    <w:rsid w:val="00BB20F7"/>
    <w:rsid w:val="00BB2301"/>
    <w:rsid w:val="00BB2E60"/>
    <w:rsid w:val="00BB2EED"/>
    <w:rsid w:val="00BB2FF5"/>
    <w:rsid w:val="00BB309E"/>
    <w:rsid w:val="00BB30E6"/>
    <w:rsid w:val="00BB3429"/>
    <w:rsid w:val="00BB3902"/>
    <w:rsid w:val="00BB3944"/>
    <w:rsid w:val="00BB39EF"/>
    <w:rsid w:val="00BB3AB9"/>
    <w:rsid w:val="00BB3B13"/>
    <w:rsid w:val="00BB3F68"/>
    <w:rsid w:val="00BB42E7"/>
    <w:rsid w:val="00BB4862"/>
    <w:rsid w:val="00BB4AA8"/>
    <w:rsid w:val="00BB5C14"/>
    <w:rsid w:val="00BB60D1"/>
    <w:rsid w:val="00BB6D77"/>
    <w:rsid w:val="00BB74BF"/>
    <w:rsid w:val="00BB79F2"/>
    <w:rsid w:val="00BC0074"/>
    <w:rsid w:val="00BC04C0"/>
    <w:rsid w:val="00BC0846"/>
    <w:rsid w:val="00BC13C7"/>
    <w:rsid w:val="00BC1800"/>
    <w:rsid w:val="00BC1F2A"/>
    <w:rsid w:val="00BC2316"/>
    <w:rsid w:val="00BC25D2"/>
    <w:rsid w:val="00BC310F"/>
    <w:rsid w:val="00BC3338"/>
    <w:rsid w:val="00BC37B5"/>
    <w:rsid w:val="00BC3C63"/>
    <w:rsid w:val="00BC450B"/>
    <w:rsid w:val="00BC48B1"/>
    <w:rsid w:val="00BC4ECE"/>
    <w:rsid w:val="00BC4FA7"/>
    <w:rsid w:val="00BC5227"/>
    <w:rsid w:val="00BC52C6"/>
    <w:rsid w:val="00BC5365"/>
    <w:rsid w:val="00BC5465"/>
    <w:rsid w:val="00BC568B"/>
    <w:rsid w:val="00BC5742"/>
    <w:rsid w:val="00BC58C6"/>
    <w:rsid w:val="00BC5B9B"/>
    <w:rsid w:val="00BC5BB9"/>
    <w:rsid w:val="00BC5EB7"/>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E25"/>
    <w:rsid w:val="00BD2402"/>
    <w:rsid w:val="00BD25D5"/>
    <w:rsid w:val="00BD266D"/>
    <w:rsid w:val="00BD32E9"/>
    <w:rsid w:val="00BD3382"/>
    <w:rsid w:val="00BD3DFE"/>
    <w:rsid w:val="00BD46E9"/>
    <w:rsid w:val="00BD4ED3"/>
    <w:rsid w:val="00BD537B"/>
    <w:rsid w:val="00BD5483"/>
    <w:rsid w:val="00BD5505"/>
    <w:rsid w:val="00BD5886"/>
    <w:rsid w:val="00BD5A22"/>
    <w:rsid w:val="00BD5A81"/>
    <w:rsid w:val="00BD6090"/>
    <w:rsid w:val="00BD6377"/>
    <w:rsid w:val="00BD6528"/>
    <w:rsid w:val="00BD6CB0"/>
    <w:rsid w:val="00BD6D38"/>
    <w:rsid w:val="00BD6E68"/>
    <w:rsid w:val="00BD6F59"/>
    <w:rsid w:val="00BD7206"/>
    <w:rsid w:val="00BD7A3A"/>
    <w:rsid w:val="00BD7B93"/>
    <w:rsid w:val="00BE06DE"/>
    <w:rsid w:val="00BE0B7D"/>
    <w:rsid w:val="00BE0F21"/>
    <w:rsid w:val="00BE17AC"/>
    <w:rsid w:val="00BE1A70"/>
    <w:rsid w:val="00BE1AC9"/>
    <w:rsid w:val="00BE1B2D"/>
    <w:rsid w:val="00BE21ED"/>
    <w:rsid w:val="00BE2359"/>
    <w:rsid w:val="00BE243B"/>
    <w:rsid w:val="00BE280F"/>
    <w:rsid w:val="00BE28CF"/>
    <w:rsid w:val="00BE2B98"/>
    <w:rsid w:val="00BE2C3F"/>
    <w:rsid w:val="00BE2D11"/>
    <w:rsid w:val="00BE2D38"/>
    <w:rsid w:val="00BE2F69"/>
    <w:rsid w:val="00BE3257"/>
    <w:rsid w:val="00BE36AC"/>
    <w:rsid w:val="00BE39D8"/>
    <w:rsid w:val="00BE3C79"/>
    <w:rsid w:val="00BE3F79"/>
    <w:rsid w:val="00BE44D4"/>
    <w:rsid w:val="00BE4506"/>
    <w:rsid w:val="00BE4DD4"/>
    <w:rsid w:val="00BE51BC"/>
    <w:rsid w:val="00BE578B"/>
    <w:rsid w:val="00BE57BD"/>
    <w:rsid w:val="00BE5A26"/>
    <w:rsid w:val="00BE5C28"/>
    <w:rsid w:val="00BE5CCD"/>
    <w:rsid w:val="00BE5D4F"/>
    <w:rsid w:val="00BE5E9C"/>
    <w:rsid w:val="00BE66A3"/>
    <w:rsid w:val="00BE688A"/>
    <w:rsid w:val="00BE73EB"/>
    <w:rsid w:val="00BE74DB"/>
    <w:rsid w:val="00BE7AFA"/>
    <w:rsid w:val="00BF0008"/>
    <w:rsid w:val="00BF0367"/>
    <w:rsid w:val="00BF097F"/>
    <w:rsid w:val="00BF0BCA"/>
    <w:rsid w:val="00BF0D4B"/>
    <w:rsid w:val="00BF0DD8"/>
    <w:rsid w:val="00BF1483"/>
    <w:rsid w:val="00BF1C75"/>
    <w:rsid w:val="00BF2147"/>
    <w:rsid w:val="00BF22B2"/>
    <w:rsid w:val="00BF23E4"/>
    <w:rsid w:val="00BF24A7"/>
    <w:rsid w:val="00BF2846"/>
    <w:rsid w:val="00BF303B"/>
    <w:rsid w:val="00BF36D9"/>
    <w:rsid w:val="00BF3FB6"/>
    <w:rsid w:val="00BF4326"/>
    <w:rsid w:val="00BF43AA"/>
    <w:rsid w:val="00BF46B4"/>
    <w:rsid w:val="00BF5013"/>
    <w:rsid w:val="00BF5336"/>
    <w:rsid w:val="00BF5D6B"/>
    <w:rsid w:val="00BF5EC2"/>
    <w:rsid w:val="00BF61D6"/>
    <w:rsid w:val="00BF635C"/>
    <w:rsid w:val="00BF6711"/>
    <w:rsid w:val="00BF687D"/>
    <w:rsid w:val="00BF6E73"/>
    <w:rsid w:val="00BF7175"/>
    <w:rsid w:val="00BF77D4"/>
    <w:rsid w:val="00BF786E"/>
    <w:rsid w:val="00BF7C9C"/>
    <w:rsid w:val="00BF7E5D"/>
    <w:rsid w:val="00C000BF"/>
    <w:rsid w:val="00C00D5F"/>
    <w:rsid w:val="00C01628"/>
    <w:rsid w:val="00C01ADA"/>
    <w:rsid w:val="00C01B67"/>
    <w:rsid w:val="00C01F18"/>
    <w:rsid w:val="00C02A22"/>
    <w:rsid w:val="00C03642"/>
    <w:rsid w:val="00C03694"/>
    <w:rsid w:val="00C03830"/>
    <w:rsid w:val="00C03B1B"/>
    <w:rsid w:val="00C04357"/>
    <w:rsid w:val="00C045C0"/>
    <w:rsid w:val="00C0463F"/>
    <w:rsid w:val="00C046CA"/>
    <w:rsid w:val="00C0487B"/>
    <w:rsid w:val="00C04D96"/>
    <w:rsid w:val="00C05229"/>
    <w:rsid w:val="00C061B5"/>
    <w:rsid w:val="00C061DE"/>
    <w:rsid w:val="00C06230"/>
    <w:rsid w:val="00C06484"/>
    <w:rsid w:val="00C06574"/>
    <w:rsid w:val="00C06882"/>
    <w:rsid w:val="00C071DE"/>
    <w:rsid w:val="00C07249"/>
    <w:rsid w:val="00C07251"/>
    <w:rsid w:val="00C077A3"/>
    <w:rsid w:val="00C07905"/>
    <w:rsid w:val="00C10019"/>
    <w:rsid w:val="00C10A24"/>
    <w:rsid w:val="00C10CDF"/>
    <w:rsid w:val="00C10D4A"/>
    <w:rsid w:val="00C10E7F"/>
    <w:rsid w:val="00C11458"/>
    <w:rsid w:val="00C11774"/>
    <w:rsid w:val="00C11D92"/>
    <w:rsid w:val="00C1204E"/>
    <w:rsid w:val="00C120CA"/>
    <w:rsid w:val="00C1253C"/>
    <w:rsid w:val="00C127EF"/>
    <w:rsid w:val="00C12D23"/>
    <w:rsid w:val="00C12EC6"/>
    <w:rsid w:val="00C130B6"/>
    <w:rsid w:val="00C1372F"/>
    <w:rsid w:val="00C13C7E"/>
    <w:rsid w:val="00C1410C"/>
    <w:rsid w:val="00C14292"/>
    <w:rsid w:val="00C1438D"/>
    <w:rsid w:val="00C1439D"/>
    <w:rsid w:val="00C143F2"/>
    <w:rsid w:val="00C1473B"/>
    <w:rsid w:val="00C14D37"/>
    <w:rsid w:val="00C14DBE"/>
    <w:rsid w:val="00C14EB6"/>
    <w:rsid w:val="00C14F89"/>
    <w:rsid w:val="00C14FA4"/>
    <w:rsid w:val="00C1543D"/>
    <w:rsid w:val="00C158F2"/>
    <w:rsid w:val="00C15C58"/>
    <w:rsid w:val="00C15D65"/>
    <w:rsid w:val="00C15F10"/>
    <w:rsid w:val="00C1610B"/>
    <w:rsid w:val="00C16199"/>
    <w:rsid w:val="00C1627C"/>
    <w:rsid w:val="00C16A4B"/>
    <w:rsid w:val="00C16B28"/>
    <w:rsid w:val="00C16B93"/>
    <w:rsid w:val="00C16BA5"/>
    <w:rsid w:val="00C16D7A"/>
    <w:rsid w:val="00C16E78"/>
    <w:rsid w:val="00C1720B"/>
    <w:rsid w:val="00C176A2"/>
    <w:rsid w:val="00C177DF"/>
    <w:rsid w:val="00C17889"/>
    <w:rsid w:val="00C179D3"/>
    <w:rsid w:val="00C17C97"/>
    <w:rsid w:val="00C20190"/>
    <w:rsid w:val="00C20445"/>
    <w:rsid w:val="00C204A4"/>
    <w:rsid w:val="00C208B9"/>
    <w:rsid w:val="00C21112"/>
    <w:rsid w:val="00C21429"/>
    <w:rsid w:val="00C21FFA"/>
    <w:rsid w:val="00C22061"/>
    <w:rsid w:val="00C2265A"/>
    <w:rsid w:val="00C233B7"/>
    <w:rsid w:val="00C2365C"/>
    <w:rsid w:val="00C239A5"/>
    <w:rsid w:val="00C23B21"/>
    <w:rsid w:val="00C23DD8"/>
    <w:rsid w:val="00C24807"/>
    <w:rsid w:val="00C24923"/>
    <w:rsid w:val="00C24A44"/>
    <w:rsid w:val="00C24B30"/>
    <w:rsid w:val="00C24B86"/>
    <w:rsid w:val="00C24BC2"/>
    <w:rsid w:val="00C24DCC"/>
    <w:rsid w:val="00C24DF9"/>
    <w:rsid w:val="00C24EDA"/>
    <w:rsid w:val="00C25962"/>
    <w:rsid w:val="00C25C3D"/>
    <w:rsid w:val="00C25F32"/>
    <w:rsid w:val="00C2616A"/>
    <w:rsid w:val="00C269DC"/>
    <w:rsid w:val="00C269ED"/>
    <w:rsid w:val="00C26A67"/>
    <w:rsid w:val="00C26C59"/>
    <w:rsid w:val="00C2706A"/>
    <w:rsid w:val="00C27689"/>
    <w:rsid w:val="00C27786"/>
    <w:rsid w:val="00C27811"/>
    <w:rsid w:val="00C27EAB"/>
    <w:rsid w:val="00C30277"/>
    <w:rsid w:val="00C3027F"/>
    <w:rsid w:val="00C3085D"/>
    <w:rsid w:val="00C3093D"/>
    <w:rsid w:val="00C30C95"/>
    <w:rsid w:val="00C30CEB"/>
    <w:rsid w:val="00C30ECE"/>
    <w:rsid w:val="00C30FB1"/>
    <w:rsid w:val="00C312F7"/>
    <w:rsid w:val="00C31CAE"/>
    <w:rsid w:val="00C32530"/>
    <w:rsid w:val="00C326A3"/>
    <w:rsid w:val="00C327B2"/>
    <w:rsid w:val="00C327BA"/>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6DE"/>
    <w:rsid w:val="00C37F62"/>
    <w:rsid w:val="00C400F8"/>
    <w:rsid w:val="00C40308"/>
    <w:rsid w:val="00C40395"/>
    <w:rsid w:val="00C403F4"/>
    <w:rsid w:val="00C4042E"/>
    <w:rsid w:val="00C407CF"/>
    <w:rsid w:val="00C4081B"/>
    <w:rsid w:val="00C41561"/>
    <w:rsid w:val="00C41F18"/>
    <w:rsid w:val="00C42404"/>
    <w:rsid w:val="00C42435"/>
    <w:rsid w:val="00C4275D"/>
    <w:rsid w:val="00C42D48"/>
    <w:rsid w:val="00C42F05"/>
    <w:rsid w:val="00C43796"/>
    <w:rsid w:val="00C437C6"/>
    <w:rsid w:val="00C439C4"/>
    <w:rsid w:val="00C43EC1"/>
    <w:rsid w:val="00C44A2D"/>
    <w:rsid w:val="00C44E2A"/>
    <w:rsid w:val="00C44E43"/>
    <w:rsid w:val="00C44F17"/>
    <w:rsid w:val="00C45082"/>
    <w:rsid w:val="00C452F9"/>
    <w:rsid w:val="00C45EE2"/>
    <w:rsid w:val="00C46150"/>
    <w:rsid w:val="00C468D3"/>
    <w:rsid w:val="00C46E01"/>
    <w:rsid w:val="00C47170"/>
    <w:rsid w:val="00C473C7"/>
    <w:rsid w:val="00C479DE"/>
    <w:rsid w:val="00C47C82"/>
    <w:rsid w:val="00C47D00"/>
    <w:rsid w:val="00C47DDD"/>
    <w:rsid w:val="00C47E85"/>
    <w:rsid w:val="00C501A5"/>
    <w:rsid w:val="00C502CE"/>
    <w:rsid w:val="00C50886"/>
    <w:rsid w:val="00C50EB5"/>
    <w:rsid w:val="00C50FA5"/>
    <w:rsid w:val="00C51B14"/>
    <w:rsid w:val="00C51F37"/>
    <w:rsid w:val="00C530F0"/>
    <w:rsid w:val="00C5328B"/>
    <w:rsid w:val="00C5458D"/>
    <w:rsid w:val="00C54778"/>
    <w:rsid w:val="00C5559A"/>
    <w:rsid w:val="00C55CFB"/>
    <w:rsid w:val="00C55F6A"/>
    <w:rsid w:val="00C560BB"/>
    <w:rsid w:val="00C5662B"/>
    <w:rsid w:val="00C56CFF"/>
    <w:rsid w:val="00C56E9A"/>
    <w:rsid w:val="00C57179"/>
    <w:rsid w:val="00C5738F"/>
    <w:rsid w:val="00C57937"/>
    <w:rsid w:val="00C57F69"/>
    <w:rsid w:val="00C6034A"/>
    <w:rsid w:val="00C603AF"/>
    <w:rsid w:val="00C60DE4"/>
    <w:rsid w:val="00C61324"/>
    <w:rsid w:val="00C6135C"/>
    <w:rsid w:val="00C61834"/>
    <w:rsid w:val="00C61A38"/>
    <w:rsid w:val="00C61C2F"/>
    <w:rsid w:val="00C61F4A"/>
    <w:rsid w:val="00C6255F"/>
    <w:rsid w:val="00C626A1"/>
    <w:rsid w:val="00C62868"/>
    <w:rsid w:val="00C62EA0"/>
    <w:rsid w:val="00C62EF0"/>
    <w:rsid w:val="00C634F9"/>
    <w:rsid w:val="00C6369D"/>
    <w:rsid w:val="00C63E6F"/>
    <w:rsid w:val="00C63F89"/>
    <w:rsid w:val="00C64094"/>
    <w:rsid w:val="00C648DB"/>
    <w:rsid w:val="00C64CA0"/>
    <w:rsid w:val="00C64D80"/>
    <w:rsid w:val="00C64D95"/>
    <w:rsid w:val="00C64E3B"/>
    <w:rsid w:val="00C64F9B"/>
    <w:rsid w:val="00C653F4"/>
    <w:rsid w:val="00C6556C"/>
    <w:rsid w:val="00C656F4"/>
    <w:rsid w:val="00C65BC3"/>
    <w:rsid w:val="00C65ED3"/>
    <w:rsid w:val="00C66502"/>
    <w:rsid w:val="00C665B4"/>
    <w:rsid w:val="00C666E1"/>
    <w:rsid w:val="00C66725"/>
    <w:rsid w:val="00C668E8"/>
    <w:rsid w:val="00C66B21"/>
    <w:rsid w:val="00C66B3D"/>
    <w:rsid w:val="00C6710D"/>
    <w:rsid w:val="00C67339"/>
    <w:rsid w:val="00C6766D"/>
    <w:rsid w:val="00C67BBB"/>
    <w:rsid w:val="00C67BCE"/>
    <w:rsid w:val="00C67C79"/>
    <w:rsid w:val="00C700F8"/>
    <w:rsid w:val="00C70DAD"/>
    <w:rsid w:val="00C710BA"/>
    <w:rsid w:val="00C713B9"/>
    <w:rsid w:val="00C71410"/>
    <w:rsid w:val="00C718A8"/>
    <w:rsid w:val="00C72093"/>
    <w:rsid w:val="00C73644"/>
    <w:rsid w:val="00C7369B"/>
    <w:rsid w:val="00C73A7A"/>
    <w:rsid w:val="00C73C1B"/>
    <w:rsid w:val="00C73D18"/>
    <w:rsid w:val="00C740CF"/>
    <w:rsid w:val="00C74625"/>
    <w:rsid w:val="00C7468D"/>
    <w:rsid w:val="00C74911"/>
    <w:rsid w:val="00C74ACC"/>
    <w:rsid w:val="00C74ED8"/>
    <w:rsid w:val="00C74F40"/>
    <w:rsid w:val="00C74FC6"/>
    <w:rsid w:val="00C750D4"/>
    <w:rsid w:val="00C75364"/>
    <w:rsid w:val="00C758B6"/>
    <w:rsid w:val="00C758C8"/>
    <w:rsid w:val="00C7598A"/>
    <w:rsid w:val="00C761EF"/>
    <w:rsid w:val="00C76D32"/>
    <w:rsid w:val="00C77DA2"/>
    <w:rsid w:val="00C77F96"/>
    <w:rsid w:val="00C802B0"/>
    <w:rsid w:val="00C804C6"/>
    <w:rsid w:val="00C80C20"/>
    <w:rsid w:val="00C80E55"/>
    <w:rsid w:val="00C8118E"/>
    <w:rsid w:val="00C8147F"/>
    <w:rsid w:val="00C81B38"/>
    <w:rsid w:val="00C82204"/>
    <w:rsid w:val="00C82221"/>
    <w:rsid w:val="00C82411"/>
    <w:rsid w:val="00C82577"/>
    <w:rsid w:val="00C82C40"/>
    <w:rsid w:val="00C82E0D"/>
    <w:rsid w:val="00C8346B"/>
    <w:rsid w:val="00C83474"/>
    <w:rsid w:val="00C83592"/>
    <w:rsid w:val="00C83629"/>
    <w:rsid w:val="00C8380A"/>
    <w:rsid w:val="00C83970"/>
    <w:rsid w:val="00C83B16"/>
    <w:rsid w:val="00C83C41"/>
    <w:rsid w:val="00C83F67"/>
    <w:rsid w:val="00C845F1"/>
    <w:rsid w:val="00C847E9"/>
    <w:rsid w:val="00C84B00"/>
    <w:rsid w:val="00C84DC5"/>
    <w:rsid w:val="00C84EA6"/>
    <w:rsid w:val="00C84FBD"/>
    <w:rsid w:val="00C8557D"/>
    <w:rsid w:val="00C85E86"/>
    <w:rsid w:val="00C86C2D"/>
    <w:rsid w:val="00C86CDC"/>
    <w:rsid w:val="00C870B0"/>
    <w:rsid w:val="00C87178"/>
    <w:rsid w:val="00C8734D"/>
    <w:rsid w:val="00C874AA"/>
    <w:rsid w:val="00C87585"/>
    <w:rsid w:val="00C87ABE"/>
    <w:rsid w:val="00C87FF4"/>
    <w:rsid w:val="00C9016B"/>
    <w:rsid w:val="00C9075C"/>
    <w:rsid w:val="00C908B5"/>
    <w:rsid w:val="00C90F08"/>
    <w:rsid w:val="00C912E9"/>
    <w:rsid w:val="00C925CC"/>
    <w:rsid w:val="00C9293F"/>
    <w:rsid w:val="00C92D69"/>
    <w:rsid w:val="00C92DCE"/>
    <w:rsid w:val="00C92E44"/>
    <w:rsid w:val="00C93177"/>
    <w:rsid w:val="00C93747"/>
    <w:rsid w:val="00C939D8"/>
    <w:rsid w:val="00C93AA5"/>
    <w:rsid w:val="00C944EE"/>
    <w:rsid w:val="00C9476A"/>
    <w:rsid w:val="00C94B77"/>
    <w:rsid w:val="00C94BBF"/>
    <w:rsid w:val="00C94CD4"/>
    <w:rsid w:val="00C94E0E"/>
    <w:rsid w:val="00C950CD"/>
    <w:rsid w:val="00C950F3"/>
    <w:rsid w:val="00C951E6"/>
    <w:rsid w:val="00C953F9"/>
    <w:rsid w:val="00C95568"/>
    <w:rsid w:val="00C957A1"/>
    <w:rsid w:val="00C957EC"/>
    <w:rsid w:val="00C959FD"/>
    <w:rsid w:val="00C95BC2"/>
    <w:rsid w:val="00C960B5"/>
    <w:rsid w:val="00C97187"/>
    <w:rsid w:val="00C976E6"/>
    <w:rsid w:val="00C978EE"/>
    <w:rsid w:val="00C979DA"/>
    <w:rsid w:val="00CA0241"/>
    <w:rsid w:val="00CA036B"/>
    <w:rsid w:val="00CA073D"/>
    <w:rsid w:val="00CA0EEF"/>
    <w:rsid w:val="00CA0F20"/>
    <w:rsid w:val="00CA1021"/>
    <w:rsid w:val="00CA117C"/>
    <w:rsid w:val="00CA1686"/>
    <w:rsid w:val="00CA1BA3"/>
    <w:rsid w:val="00CA1EB2"/>
    <w:rsid w:val="00CA251E"/>
    <w:rsid w:val="00CA28C1"/>
    <w:rsid w:val="00CA2972"/>
    <w:rsid w:val="00CA2FEA"/>
    <w:rsid w:val="00CA2FF5"/>
    <w:rsid w:val="00CA3A06"/>
    <w:rsid w:val="00CA404B"/>
    <w:rsid w:val="00CA4102"/>
    <w:rsid w:val="00CA4960"/>
    <w:rsid w:val="00CA4B12"/>
    <w:rsid w:val="00CA4BAC"/>
    <w:rsid w:val="00CA4BE4"/>
    <w:rsid w:val="00CA51F7"/>
    <w:rsid w:val="00CA5201"/>
    <w:rsid w:val="00CA532E"/>
    <w:rsid w:val="00CA556B"/>
    <w:rsid w:val="00CA55BF"/>
    <w:rsid w:val="00CA566F"/>
    <w:rsid w:val="00CA5C0C"/>
    <w:rsid w:val="00CA5E12"/>
    <w:rsid w:val="00CA6429"/>
    <w:rsid w:val="00CA6753"/>
    <w:rsid w:val="00CA6776"/>
    <w:rsid w:val="00CA686B"/>
    <w:rsid w:val="00CA6E62"/>
    <w:rsid w:val="00CA6F44"/>
    <w:rsid w:val="00CA7129"/>
    <w:rsid w:val="00CA7526"/>
    <w:rsid w:val="00CA7F2B"/>
    <w:rsid w:val="00CA7F79"/>
    <w:rsid w:val="00CB000E"/>
    <w:rsid w:val="00CB0D12"/>
    <w:rsid w:val="00CB142C"/>
    <w:rsid w:val="00CB1BC3"/>
    <w:rsid w:val="00CB1C27"/>
    <w:rsid w:val="00CB2097"/>
    <w:rsid w:val="00CB29F9"/>
    <w:rsid w:val="00CB2CE4"/>
    <w:rsid w:val="00CB30CF"/>
    <w:rsid w:val="00CB3778"/>
    <w:rsid w:val="00CB4604"/>
    <w:rsid w:val="00CB4880"/>
    <w:rsid w:val="00CB50D8"/>
    <w:rsid w:val="00CB51E7"/>
    <w:rsid w:val="00CB546E"/>
    <w:rsid w:val="00CB5498"/>
    <w:rsid w:val="00CB5D95"/>
    <w:rsid w:val="00CB6017"/>
    <w:rsid w:val="00CB6521"/>
    <w:rsid w:val="00CB6823"/>
    <w:rsid w:val="00CB6B49"/>
    <w:rsid w:val="00CB6FBD"/>
    <w:rsid w:val="00CB710F"/>
    <w:rsid w:val="00CB7233"/>
    <w:rsid w:val="00CB72BE"/>
    <w:rsid w:val="00CB7522"/>
    <w:rsid w:val="00CB7689"/>
    <w:rsid w:val="00CB772B"/>
    <w:rsid w:val="00CB77C5"/>
    <w:rsid w:val="00CC0270"/>
    <w:rsid w:val="00CC02D1"/>
    <w:rsid w:val="00CC03BB"/>
    <w:rsid w:val="00CC0482"/>
    <w:rsid w:val="00CC0993"/>
    <w:rsid w:val="00CC0E0E"/>
    <w:rsid w:val="00CC153B"/>
    <w:rsid w:val="00CC1B69"/>
    <w:rsid w:val="00CC1C0D"/>
    <w:rsid w:val="00CC1CB7"/>
    <w:rsid w:val="00CC1F7A"/>
    <w:rsid w:val="00CC2C58"/>
    <w:rsid w:val="00CC2EBF"/>
    <w:rsid w:val="00CC395F"/>
    <w:rsid w:val="00CC3D14"/>
    <w:rsid w:val="00CC4059"/>
    <w:rsid w:val="00CC468E"/>
    <w:rsid w:val="00CC46F0"/>
    <w:rsid w:val="00CC49D7"/>
    <w:rsid w:val="00CC4A64"/>
    <w:rsid w:val="00CC4B30"/>
    <w:rsid w:val="00CC4F66"/>
    <w:rsid w:val="00CC4F87"/>
    <w:rsid w:val="00CC5236"/>
    <w:rsid w:val="00CC52FB"/>
    <w:rsid w:val="00CC53B4"/>
    <w:rsid w:val="00CC55A7"/>
    <w:rsid w:val="00CC5FCE"/>
    <w:rsid w:val="00CC6012"/>
    <w:rsid w:val="00CC6BD8"/>
    <w:rsid w:val="00CC6CF0"/>
    <w:rsid w:val="00CC6E02"/>
    <w:rsid w:val="00CC7201"/>
    <w:rsid w:val="00CC75D3"/>
    <w:rsid w:val="00CC77D5"/>
    <w:rsid w:val="00CC7839"/>
    <w:rsid w:val="00CC7DD2"/>
    <w:rsid w:val="00CD0631"/>
    <w:rsid w:val="00CD0704"/>
    <w:rsid w:val="00CD0B2C"/>
    <w:rsid w:val="00CD0B47"/>
    <w:rsid w:val="00CD0C6F"/>
    <w:rsid w:val="00CD0D2A"/>
    <w:rsid w:val="00CD10C8"/>
    <w:rsid w:val="00CD1112"/>
    <w:rsid w:val="00CD1337"/>
    <w:rsid w:val="00CD13DF"/>
    <w:rsid w:val="00CD1870"/>
    <w:rsid w:val="00CD1946"/>
    <w:rsid w:val="00CD1F58"/>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5ED"/>
    <w:rsid w:val="00CD580E"/>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A43"/>
    <w:rsid w:val="00CE0F32"/>
    <w:rsid w:val="00CE1BC8"/>
    <w:rsid w:val="00CE1E26"/>
    <w:rsid w:val="00CE2367"/>
    <w:rsid w:val="00CE2B21"/>
    <w:rsid w:val="00CE2EFE"/>
    <w:rsid w:val="00CE3324"/>
    <w:rsid w:val="00CE33C5"/>
    <w:rsid w:val="00CE390C"/>
    <w:rsid w:val="00CE3A07"/>
    <w:rsid w:val="00CE3F71"/>
    <w:rsid w:val="00CE452C"/>
    <w:rsid w:val="00CE4616"/>
    <w:rsid w:val="00CE4981"/>
    <w:rsid w:val="00CE4B24"/>
    <w:rsid w:val="00CE4C65"/>
    <w:rsid w:val="00CE51FE"/>
    <w:rsid w:val="00CE52DC"/>
    <w:rsid w:val="00CE53C0"/>
    <w:rsid w:val="00CE54A5"/>
    <w:rsid w:val="00CE5554"/>
    <w:rsid w:val="00CE58EA"/>
    <w:rsid w:val="00CE5ABF"/>
    <w:rsid w:val="00CE5C57"/>
    <w:rsid w:val="00CE674F"/>
    <w:rsid w:val="00CE6856"/>
    <w:rsid w:val="00CE6B93"/>
    <w:rsid w:val="00CE6C73"/>
    <w:rsid w:val="00CE6C92"/>
    <w:rsid w:val="00CE6EAE"/>
    <w:rsid w:val="00CE7054"/>
    <w:rsid w:val="00CE7367"/>
    <w:rsid w:val="00CE7534"/>
    <w:rsid w:val="00CF0156"/>
    <w:rsid w:val="00CF0CA7"/>
    <w:rsid w:val="00CF0DF2"/>
    <w:rsid w:val="00CF0F6B"/>
    <w:rsid w:val="00CF10F9"/>
    <w:rsid w:val="00CF1447"/>
    <w:rsid w:val="00CF16A5"/>
    <w:rsid w:val="00CF1759"/>
    <w:rsid w:val="00CF1BCE"/>
    <w:rsid w:val="00CF1E57"/>
    <w:rsid w:val="00CF2F2E"/>
    <w:rsid w:val="00CF3050"/>
    <w:rsid w:val="00CF40FD"/>
    <w:rsid w:val="00CF47D4"/>
    <w:rsid w:val="00CF48BB"/>
    <w:rsid w:val="00CF4902"/>
    <w:rsid w:val="00CF4DA4"/>
    <w:rsid w:val="00CF527F"/>
    <w:rsid w:val="00CF54A6"/>
    <w:rsid w:val="00CF55E3"/>
    <w:rsid w:val="00CF5912"/>
    <w:rsid w:val="00CF6085"/>
    <w:rsid w:val="00CF626B"/>
    <w:rsid w:val="00CF72CF"/>
    <w:rsid w:val="00CF7B67"/>
    <w:rsid w:val="00D00103"/>
    <w:rsid w:val="00D0012C"/>
    <w:rsid w:val="00D001A0"/>
    <w:rsid w:val="00D0037A"/>
    <w:rsid w:val="00D004A0"/>
    <w:rsid w:val="00D005FA"/>
    <w:rsid w:val="00D00BFD"/>
    <w:rsid w:val="00D01172"/>
    <w:rsid w:val="00D011F5"/>
    <w:rsid w:val="00D018AD"/>
    <w:rsid w:val="00D02474"/>
    <w:rsid w:val="00D024E9"/>
    <w:rsid w:val="00D02BB2"/>
    <w:rsid w:val="00D02DBD"/>
    <w:rsid w:val="00D0300B"/>
    <w:rsid w:val="00D034C7"/>
    <w:rsid w:val="00D03ABF"/>
    <w:rsid w:val="00D03BE8"/>
    <w:rsid w:val="00D04530"/>
    <w:rsid w:val="00D0532E"/>
    <w:rsid w:val="00D055BF"/>
    <w:rsid w:val="00D05E33"/>
    <w:rsid w:val="00D05F8F"/>
    <w:rsid w:val="00D06C3E"/>
    <w:rsid w:val="00D06FAD"/>
    <w:rsid w:val="00D07BD4"/>
    <w:rsid w:val="00D07D79"/>
    <w:rsid w:val="00D103AF"/>
    <w:rsid w:val="00D107F7"/>
    <w:rsid w:val="00D10AC0"/>
    <w:rsid w:val="00D10B99"/>
    <w:rsid w:val="00D111A3"/>
    <w:rsid w:val="00D111AF"/>
    <w:rsid w:val="00D11445"/>
    <w:rsid w:val="00D11680"/>
    <w:rsid w:val="00D11F3A"/>
    <w:rsid w:val="00D11FE3"/>
    <w:rsid w:val="00D1223F"/>
    <w:rsid w:val="00D122DD"/>
    <w:rsid w:val="00D12512"/>
    <w:rsid w:val="00D1259B"/>
    <w:rsid w:val="00D1265A"/>
    <w:rsid w:val="00D1265D"/>
    <w:rsid w:val="00D128F8"/>
    <w:rsid w:val="00D13613"/>
    <w:rsid w:val="00D13623"/>
    <w:rsid w:val="00D13A52"/>
    <w:rsid w:val="00D13AA4"/>
    <w:rsid w:val="00D13C7C"/>
    <w:rsid w:val="00D13FFB"/>
    <w:rsid w:val="00D143A5"/>
    <w:rsid w:val="00D14712"/>
    <w:rsid w:val="00D147F0"/>
    <w:rsid w:val="00D149ED"/>
    <w:rsid w:val="00D14F41"/>
    <w:rsid w:val="00D154CD"/>
    <w:rsid w:val="00D15578"/>
    <w:rsid w:val="00D1577D"/>
    <w:rsid w:val="00D15970"/>
    <w:rsid w:val="00D1598A"/>
    <w:rsid w:val="00D15A7D"/>
    <w:rsid w:val="00D15E0F"/>
    <w:rsid w:val="00D166F7"/>
    <w:rsid w:val="00D16A86"/>
    <w:rsid w:val="00D16A8D"/>
    <w:rsid w:val="00D16DC9"/>
    <w:rsid w:val="00D170C8"/>
    <w:rsid w:val="00D17A6A"/>
    <w:rsid w:val="00D20995"/>
    <w:rsid w:val="00D20AE3"/>
    <w:rsid w:val="00D20C01"/>
    <w:rsid w:val="00D20F08"/>
    <w:rsid w:val="00D2100C"/>
    <w:rsid w:val="00D2167E"/>
    <w:rsid w:val="00D21E83"/>
    <w:rsid w:val="00D22AD4"/>
    <w:rsid w:val="00D22B8F"/>
    <w:rsid w:val="00D23570"/>
    <w:rsid w:val="00D2372C"/>
    <w:rsid w:val="00D24BBD"/>
    <w:rsid w:val="00D24D44"/>
    <w:rsid w:val="00D25185"/>
    <w:rsid w:val="00D252AF"/>
    <w:rsid w:val="00D25410"/>
    <w:rsid w:val="00D256EC"/>
    <w:rsid w:val="00D25745"/>
    <w:rsid w:val="00D25979"/>
    <w:rsid w:val="00D25B81"/>
    <w:rsid w:val="00D25E32"/>
    <w:rsid w:val="00D263F3"/>
    <w:rsid w:val="00D2652B"/>
    <w:rsid w:val="00D26691"/>
    <w:rsid w:val="00D2696A"/>
    <w:rsid w:val="00D26BCA"/>
    <w:rsid w:val="00D26C73"/>
    <w:rsid w:val="00D26D31"/>
    <w:rsid w:val="00D26F4B"/>
    <w:rsid w:val="00D27418"/>
    <w:rsid w:val="00D27608"/>
    <w:rsid w:val="00D2766F"/>
    <w:rsid w:val="00D27838"/>
    <w:rsid w:val="00D30175"/>
    <w:rsid w:val="00D301A4"/>
    <w:rsid w:val="00D302B8"/>
    <w:rsid w:val="00D304DC"/>
    <w:rsid w:val="00D3050C"/>
    <w:rsid w:val="00D30A3D"/>
    <w:rsid w:val="00D30FB5"/>
    <w:rsid w:val="00D30FBD"/>
    <w:rsid w:val="00D316AA"/>
    <w:rsid w:val="00D31954"/>
    <w:rsid w:val="00D31F6C"/>
    <w:rsid w:val="00D32369"/>
    <w:rsid w:val="00D32D04"/>
    <w:rsid w:val="00D3348F"/>
    <w:rsid w:val="00D33D15"/>
    <w:rsid w:val="00D34ED7"/>
    <w:rsid w:val="00D34F9E"/>
    <w:rsid w:val="00D35187"/>
    <w:rsid w:val="00D3543B"/>
    <w:rsid w:val="00D355EC"/>
    <w:rsid w:val="00D36174"/>
    <w:rsid w:val="00D367AE"/>
    <w:rsid w:val="00D369F5"/>
    <w:rsid w:val="00D376EA"/>
    <w:rsid w:val="00D40559"/>
    <w:rsid w:val="00D4057A"/>
    <w:rsid w:val="00D40E58"/>
    <w:rsid w:val="00D41033"/>
    <w:rsid w:val="00D41151"/>
    <w:rsid w:val="00D41242"/>
    <w:rsid w:val="00D4139C"/>
    <w:rsid w:val="00D41926"/>
    <w:rsid w:val="00D41B20"/>
    <w:rsid w:val="00D42218"/>
    <w:rsid w:val="00D4272A"/>
    <w:rsid w:val="00D4275F"/>
    <w:rsid w:val="00D4295B"/>
    <w:rsid w:val="00D42E6E"/>
    <w:rsid w:val="00D43157"/>
    <w:rsid w:val="00D432AE"/>
    <w:rsid w:val="00D43711"/>
    <w:rsid w:val="00D437DF"/>
    <w:rsid w:val="00D43936"/>
    <w:rsid w:val="00D43B51"/>
    <w:rsid w:val="00D443EE"/>
    <w:rsid w:val="00D44529"/>
    <w:rsid w:val="00D4489F"/>
    <w:rsid w:val="00D449C3"/>
    <w:rsid w:val="00D44A69"/>
    <w:rsid w:val="00D44A9D"/>
    <w:rsid w:val="00D44C26"/>
    <w:rsid w:val="00D45251"/>
    <w:rsid w:val="00D4526B"/>
    <w:rsid w:val="00D45460"/>
    <w:rsid w:val="00D456B9"/>
    <w:rsid w:val="00D45B0F"/>
    <w:rsid w:val="00D45C27"/>
    <w:rsid w:val="00D4618B"/>
    <w:rsid w:val="00D46A27"/>
    <w:rsid w:val="00D4725D"/>
    <w:rsid w:val="00D476E9"/>
    <w:rsid w:val="00D4782C"/>
    <w:rsid w:val="00D478C6"/>
    <w:rsid w:val="00D47C76"/>
    <w:rsid w:val="00D47CFB"/>
    <w:rsid w:val="00D47F18"/>
    <w:rsid w:val="00D47FA6"/>
    <w:rsid w:val="00D50A2E"/>
    <w:rsid w:val="00D50CED"/>
    <w:rsid w:val="00D51693"/>
    <w:rsid w:val="00D52A69"/>
    <w:rsid w:val="00D53B61"/>
    <w:rsid w:val="00D54247"/>
    <w:rsid w:val="00D545A5"/>
    <w:rsid w:val="00D54E0B"/>
    <w:rsid w:val="00D55222"/>
    <w:rsid w:val="00D554B6"/>
    <w:rsid w:val="00D55CAA"/>
    <w:rsid w:val="00D55D95"/>
    <w:rsid w:val="00D5696D"/>
    <w:rsid w:val="00D56ABF"/>
    <w:rsid w:val="00D56DFA"/>
    <w:rsid w:val="00D5704E"/>
    <w:rsid w:val="00D57515"/>
    <w:rsid w:val="00D5762A"/>
    <w:rsid w:val="00D576F8"/>
    <w:rsid w:val="00D577E0"/>
    <w:rsid w:val="00D57B27"/>
    <w:rsid w:val="00D60CB3"/>
    <w:rsid w:val="00D60E58"/>
    <w:rsid w:val="00D61102"/>
    <w:rsid w:val="00D613CD"/>
    <w:rsid w:val="00D619CF"/>
    <w:rsid w:val="00D61C53"/>
    <w:rsid w:val="00D62019"/>
    <w:rsid w:val="00D6227B"/>
    <w:rsid w:val="00D629F2"/>
    <w:rsid w:val="00D62B72"/>
    <w:rsid w:val="00D62CEE"/>
    <w:rsid w:val="00D63171"/>
    <w:rsid w:val="00D6342B"/>
    <w:rsid w:val="00D635BB"/>
    <w:rsid w:val="00D638CE"/>
    <w:rsid w:val="00D63E8B"/>
    <w:rsid w:val="00D63F56"/>
    <w:rsid w:val="00D6454E"/>
    <w:rsid w:val="00D648D4"/>
    <w:rsid w:val="00D64AA5"/>
    <w:rsid w:val="00D64B19"/>
    <w:rsid w:val="00D64B67"/>
    <w:rsid w:val="00D64D93"/>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2920"/>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2DB"/>
    <w:rsid w:val="00D76D2F"/>
    <w:rsid w:val="00D7721B"/>
    <w:rsid w:val="00D77CC2"/>
    <w:rsid w:val="00D77D88"/>
    <w:rsid w:val="00D809C1"/>
    <w:rsid w:val="00D810A8"/>
    <w:rsid w:val="00D8131C"/>
    <w:rsid w:val="00D81588"/>
    <w:rsid w:val="00D81689"/>
    <w:rsid w:val="00D81C3E"/>
    <w:rsid w:val="00D81DAE"/>
    <w:rsid w:val="00D820D0"/>
    <w:rsid w:val="00D82107"/>
    <w:rsid w:val="00D82801"/>
    <w:rsid w:val="00D82B1F"/>
    <w:rsid w:val="00D82C60"/>
    <w:rsid w:val="00D83A64"/>
    <w:rsid w:val="00D83C04"/>
    <w:rsid w:val="00D83F3D"/>
    <w:rsid w:val="00D83F64"/>
    <w:rsid w:val="00D84ACB"/>
    <w:rsid w:val="00D851C8"/>
    <w:rsid w:val="00D853D0"/>
    <w:rsid w:val="00D8582E"/>
    <w:rsid w:val="00D85BD0"/>
    <w:rsid w:val="00D85FCE"/>
    <w:rsid w:val="00D8632B"/>
    <w:rsid w:val="00D86478"/>
    <w:rsid w:val="00D867BD"/>
    <w:rsid w:val="00D86E91"/>
    <w:rsid w:val="00D87291"/>
    <w:rsid w:val="00D8745E"/>
    <w:rsid w:val="00D87946"/>
    <w:rsid w:val="00D87BA8"/>
    <w:rsid w:val="00D87EF6"/>
    <w:rsid w:val="00D9020F"/>
    <w:rsid w:val="00D90216"/>
    <w:rsid w:val="00D90330"/>
    <w:rsid w:val="00D904A8"/>
    <w:rsid w:val="00D90612"/>
    <w:rsid w:val="00D9194B"/>
    <w:rsid w:val="00D919F8"/>
    <w:rsid w:val="00D91C3E"/>
    <w:rsid w:val="00D91D30"/>
    <w:rsid w:val="00D92102"/>
    <w:rsid w:val="00D92363"/>
    <w:rsid w:val="00D928B0"/>
    <w:rsid w:val="00D929D2"/>
    <w:rsid w:val="00D92A80"/>
    <w:rsid w:val="00D9311F"/>
    <w:rsid w:val="00D93587"/>
    <w:rsid w:val="00D93846"/>
    <w:rsid w:val="00D93A53"/>
    <w:rsid w:val="00D93D88"/>
    <w:rsid w:val="00D94930"/>
    <w:rsid w:val="00D94D39"/>
    <w:rsid w:val="00D94EC4"/>
    <w:rsid w:val="00D94EF1"/>
    <w:rsid w:val="00D954FF"/>
    <w:rsid w:val="00D95CF2"/>
    <w:rsid w:val="00D95F67"/>
    <w:rsid w:val="00D960C3"/>
    <w:rsid w:val="00D96336"/>
    <w:rsid w:val="00D96905"/>
    <w:rsid w:val="00D97166"/>
    <w:rsid w:val="00D97184"/>
    <w:rsid w:val="00D971CB"/>
    <w:rsid w:val="00D971FD"/>
    <w:rsid w:val="00D9746A"/>
    <w:rsid w:val="00D97747"/>
    <w:rsid w:val="00D977F9"/>
    <w:rsid w:val="00D97D7D"/>
    <w:rsid w:val="00DA0639"/>
    <w:rsid w:val="00DA076C"/>
    <w:rsid w:val="00DA090E"/>
    <w:rsid w:val="00DA16EC"/>
    <w:rsid w:val="00DA1E40"/>
    <w:rsid w:val="00DA215D"/>
    <w:rsid w:val="00DA2687"/>
    <w:rsid w:val="00DA2759"/>
    <w:rsid w:val="00DA2EC1"/>
    <w:rsid w:val="00DA2F3D"/>
    <w:rsid w:val="00DA33D6"/>
    <w:rsid w:val="00DA3421"/>
    <w:rsid w:val="00DA447D"/>
    <w:rsid w:val="00DA45A4"/>
    <w:rsid w:val="00DA4DD8"/>
    <w:rsid w:val="00DA5020"/>
    <w:rsid w:val="00DA516D"/>
    <w:rsid w:val="00DA52B7"/>
    <w:rsid w:val="00DA553F"/>
    <w:rsid w:val="00DA5AE8"/>
    <w:rsid w:val="00DA5D0E"/>
    <w:rsid w:val="00DA5EBB"/>
    <w:rsid w:val="00DA6778"/>
    <w:rsid w:val="00DA760B"/>
    <w:rsid w:val="00DA7AB9"/>
    <w:rsid w:val="00DA7FBC"/>
    <w:rsid w:val="00DB050D"/>
    <w:rsid w:val="00DB0DCB"/>
    <w:rsid w:val="00DB0F20"/>
    <w:rsid w:val="00DB1C2F"/>
    <w:rsid w:val="00DB1CFF"/>
    <w:rsid w:val="00DB22D2"/>
    <w:rsid w:val="00DB2341"/>
    <w:rsid w:val="00DB2832"/>
    <w:rsid w:val="00DB299C"/>
    <w:rsid w:val="00DB31A6"/>
    <w:rsid w:val="00DB36CA"/>
    <w:rsid w:val="00DB372D"/>
    <w:rsid w:val="00DB3B71"/>
    <w:rsid w:val="00DB43A9"/>
    <w:rsid w:val="00DB4AC0"/>
    <w:rsid w:val="00DB4ADB"/>
    <w:rsid w:val="00DB4B44"/>
    <w:rsid w:val="00DB522C"/>
    <w:rsid w:val="00DB611B"/>
    <w:rsid w:val="00DB6419"/>
    <w:rsid w:val="00DB6422"/>
    <w:rsid w:val="00DB6793"/>
    <w:rsid w:val="00DB6CB6"/>
    <w:rsid w:val="00DB6E8D"/>
    <w:rsid w:val="00DB77E3"/>
    <w:rsid w:val="00DC033C"/>
    <w:rsid w:val="00DC12A1"/>
    <w:rsid w:val="00DC1508"/>
    <w:rsid w:val="00DC164A"/>
    <w:rsid w:val="00DC1733"/>
    <w:rsid w:val="00DC179B"/>
    <w:rsid w:val="00DC1AD3"/>
    <w:rsid w:val="00DC1B12"/>
    <w:rsid w:val="00DC1BD7"/>
    <w:rsid w:val="00DC1FE1"/>
    <w:rsid w:val="00DC2141"/>
    <w:rsid w:val="00DC2AD5"/>
    <w:rsid w:val="00DC3201"/>
    <w:rsid w:val="00DC3732"/>
    <w:rsid w:val="00DC3C58"/>
    <w:rsid w:val="00DC3F8E"/>
    <w:rsid w:val="00DC3FC3"/>
    <w:rsid w:val="00DC479C"/>
    <w:rsid w:val="00DC47BD"/>
    <w:rsid w:val="00DC5FE3"/>
    <w:rsid w:val="00DC61B0"/>
    <w:rsid w:val="00DC6259"/>
    <w:rsid w:val="00DC79DD"/>
    <w:rsid w:val="00DC7BED"/>
    <w:rsid w:val="00DC7BEE"/>
    <w:rsid w:val="00DD0117"/>
    <w:rsid w:val="00DD049A"/>
    <w:rsid w:val="00DD0DB3"/>
    <w:rsid w:val="00DD1107"/>
    <w:rsid w:val="00DD1662"/>
    <w:rsid w:val="00DD1680"/>
    <w:rsid w:val="00DD2A1B"/>
    <w:rsid w:val="00DD2E94"/>
    <w:rsid w:val="00DD38E9"/>
    <w:rsid w:val="00DD3A18"/>
    <w:rsid w:val="00DD3EED"/>
    <w:rsid w:val="00DD40AC"/>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F9"/>
    <w:rsid w:val="00DE0CCB"/>
    <w:rsid w:val="00DE0CFE"/>
    <w:rsid w:val="00DE0E77"/>
    <w:rsid w:val="00DE14C3"/>
    <w:rsid w:val="00DE1771"/>
    <w:rsid w:val="00DE1955"/>
    <w:rsid w:val="00DE197D"/>
    <w:rsid w:val="00DE1B2F"/>
    <w:rsid w:val="00DE2219"/>
    <w:rsid w:val="00DE23B1"/>
    <w:rsid w:val="00DE2524"/>
    <w:rsid w:val="00DE304A"/>
    <w:rsid w:val="00DE353E"/>
    <w:rsid w:val="00DE375E"/>
    <w:rsid w:val="00DE39F7"/>
    <w:rsid w:val="00DE3CAB"/>
    <w:rsid w:val="00DE4064"/>
    <w:rsid w:val="00DE485C"/>
    <w:rsid w:val="00DE4AD3"/>
    <w:rsid w:val="00DE4D12"/>
    <w:rsid w:val="00DE50EA"/>
    <w:rsid w:val="00DE5550"/>
    <w:rsid w:val="00DE5593"/>
    <w:rsid w:val="00DE5991"/>
    <w:rsid w:val="00DE5BD1"/>
    <w:rsid w:val="00DE610B"/>
    <w:rsid w:val="00DE620B"/>
    <w:rsid w:val="00DE66D4"/>
    <w:rsid w:val="00DE6A72"/>
    <w:rsid w:val="00DE7184"/>
    <w:rsid w:val="00DE7D05"/>
    <w:rsid w:val="00DF001D"/>
    <w:rsid w:val="00DF03BC"/>
    <w:rsid w:val="00DF0589"/>
    <w:rsid w:val="00DF07B3"/>
    <w:rsid w:val="00DF0960"/>
    <w:rsid w:val="00DF0BA8"/>
    <w:rsid w:val="00DF0CEF"/>
    <w:rsid w:val="00DF10CD"/>
    <w:rsid w:val="00DF136B"/>
    <w:rsid w:val="00DF16B3"/>
    <w:rsid w:val="00DF176C"/>
    <w:rsid w:val="00DF1829"/>
    <w:rsid w:val="00DF20EE"/>
    <w:rsid w:val="00DF212A"/>
    <w:rsid w:val="00DF2226"/>
    <w:rsid w:val="00DF2354"/>
    <w:rsid w:val="00DF2546"/>
    <w:rsid w:val="00DF279D"/>
    <w:rsid w:val="00DF2E83"/>
    <w:rsid w:val="00DF31BE"/>
    <w:rsid w:val="00DF394D"/>
    <w:rsid w:val="00DF4181"/>
    <w:rsid w:val="00DF4373"/>
    <w:rsid w:val="00DF4B70"/>
    <w:rsid w:val="00DF4DEB"/>
    <w:rsid w:val="00DF4EE5"/>
    <w:rsid w:val="00DF540F"/>
    <w:rsid w:val="00DF5B9D"/>
    <w:rsid w:val="00DF631F"/>
    <w:rsid w:val="00DF6590"/>
    <w:rsid w:val="00DF7326"/>
    <w:rsid w:val="00DF7A02"/>
    <w:rsid w:val="00DF7AF4"/>
    <w:rsid w:val="00DF7B9C"/>
    <w:rsid w:val="00E00057"/>
    <w:rsid w:val="00E002C7"/>
    <w:rsid w:val="00E014FE"/>
    <w:rsid w:val="00E0182E"/>
    <w:rsid w:val="00E01D3D"/>
    <w:rsid w:val="00E01ED7"/>
    <w:rsid w:val="00E0203B"/>
    <w:rsid w:val="00E02390"/>
    <w:rsid w:val="00E02913"/>
    <w:rsid w:val="00E02926"/>
    <w:rsid w:val="00E02AAE"/>
    <w:rsid w:val="00E02D63"/>
    <w:rsid w:val="00E02E11"/>
    <w:rsid w:val="00E03B31"/>
    <w:rsid w:val="00E040A9"/>
    <w:rsid w:val="00E04472"/>
    <w:rsid w:val="00E045EF"/>
    <w:rsid w:val="00E0463B"/>
    <w:rsid w:val="00E046B6"/>
    <w:rsid w:val="00E048CC"/>
    <w:rsid w:val="00E04B6A"/>
    <w:rsid w:val="00E04D07"/>
    <w:rsid w:val="00E05123"/>
    <w:rsid w:val="00E0515B"/>
    <w:rsid w:val="00E053A1"/>
    <w:rsid w:val="00E053B0"/>
    <w:rsid w:val="00E05538"/>
    <w:rsid w:val="00E05A71"/>
    <w:rsid w:val="00E05F75"/>
    <w:rsid w:val="00E0600E"/>
    <w:rsid w:val="00E0688B"/>
    <w:rsid w:val="00E068CE"/>
    <w:rsid w:val="00E06DF4"/>
    <w:rsid w:val="00E0704C"/>
    <w:rsid w:val="00E075DE"/>
    <w:rsid w:val="00E07708"/>
    <w:rsid w:val="00E1000C"/>
    <w:rsid w:val="00E100ED"/>
    <w:rsid w:val="00E1050E"/>
    <w:rsid w:val="00E1053A"/>
    <w:rsid w:val="00E108E7"/>
    <w:rsid w:val="00E10A25"/>
    <w:rsid w:val="00E10E72"/>
    <w:rsid w:val="00E10FBB"/>
    <w:rsid w:val="00E1117A"/>
    <w:rsid w:val="00E1149E"/>
    <w:rsid w:val="00E11696"/>
    <w:rsid w:val="00E11F20"/>
    <w:rsid w:val="00E1254F"/>
    <w:rsid w:val="00E125A0"/>
    <w:rsid w:val="00E12694"/>
    <w:rsid w:val="00E12BDE"/>
    <w:rsid w:val="00E12D76"/>
    <w:rsid w:val="00E130B9"/>
    <w:rsid w:val="00E13162"/>
    <w:rsid w:val="00E13A73"/>
    <w:rsid w:val="00E13BBC"/>
    <w:rsid w:val="00E13E67"/>
    <w:rsid w:val="00E14027"/>
    <w:rsid w:val="00E140A3"/>
    <w:rsid w:val="00E140F8"/>
    <w:rsid w:val="00E14388"/>
    <w:rsid w:val="00E1439A"/>
    <w:rsid w:val="00E144AE"/>
    <w:rsid w:val="00E14D6B"/>
    <w:rsid w:val="00E155A2"/>
    <w:rsid w:val="00E159D8"/>
    <w:rsid w:val="00E15EE7"/>
    <w:rsid w:val="00E16305"/>
    <w:rsid w:val="00E165DF"/>
    <w:rsid w:val="00E16702"/>
    <w:rsid w:val="00E16E55"/>
    <w:rsid w:val="00E171A5"/>
    <w:rsid w:val="00E178CE"/>
    <w:rsid w:val="00E17B6F"/>
    <w:rsid w:val="00E208F6"/>
    <w:rsid w:val="00E20E23"/>
    <w:rsid w:val="00E21256"/>
    <w:rsid w:val="00E21557"/>
    <w:rsid w:val="00E217BC"/>
    <w:rsid w:val="00E22311"/>
    <w:rsid w:val="00E22719"/>
    <w:rsid w:val="00E2298F"/>
    <w:rsid w:val="00E23204"/>
    <w:rsid w:val="00E23459"/>
    <w:rsid w:val="00E23BE8"/>
    <w:rsid w:val="00E23E71"/>
    <w:rsid w:val="00E23EF8"/>
    <w:rsid w:val="00E2446A"/>
    <w:rsid w:val="00E24506"/>
    <w:rsid w:val="00E246E2"/>
    <w:rsid w:val="00E24947"/>
    <w:rsid w:val="00E24A04"/>
    <w:rsid w:val="00E24C1A"/>
    <w:rsid w:val="00E24C50"/>
    <w:rsid w:val="00E24CD5"/>
    <w:rsid w:val="00E25499"/>
    <w:rsid w:val="00E2550E"/>
    <w:rsid w:val="00E25BBB"/>
    <w:rsid w:val="00E25C50"/>
    <w:rsid w:val="00E25EC6"/>
    <w:rsid w:val="00E25EF7"/>
    <w:rsid w:val="00E26099"/>
    <w:rsid w:val="00E26403"/>
    <w:rsid w:val="00E2667B"/>
    <w:rsid w:val="00E2670B"/>
    <w:rsid w:val="00E26C4F"/>
    <w:rsid w:val="00E26D00"/>
    <w:rsid w:val="00E26E49"/>
    <w:rsid w:val="00E26E73"/>
    <w:rsid w:val="00E271DA"/>
    <w:rsid w:val="00E2759C"/>
    <w:rsid w:val="00E275F0"/>
    <w:rsid w:val="00E278E0"/>
    <w:rsid w:val="00E27B58"/>
    <w:rsid w:val="00E3010E"/>
    <w:rsid w:val="00E3037B"/>
    <w:rsid w:val="00E3052E"/>
    <w:rsid w:val="00E30E5F"/>
    <w:rsid w:val="00E310C0"/>
    <w:rsid w:val="00E31397"/>
    <w:rsid w:val="00E314BB"/>
    <w:rsid w:val="00E31543"/>
    <w:rsid w:val="00E3171D"/>
    <w:rsid w:val="00E31777"/>
    <w:rsid w:val="00E318B7"/>
    <w:rsid w:val="00E31F5D"/>
    <w:rsid w:val="00E3209E"/>
    <w:rsid w:val="00E320B3"/>
    <w:rsid w:val="00E320BC"/>
    <w:rsid w:val="00E326B4"/>
    <w:rsid w:val="00E32CD7"/>
    <w:rsid w:val="00E32D11"/>
    <w:rsid w:val="00E33024"/>
    <w:rsid w:val="00E33312"/>
    <w:rsid w:val="00E3336E"/>
    <w:rsid w:val="00E33810"/>
    <w:rsid w:val="00E33C04"/>
    <w:rsid w:val="00E3404C"/>
    <w:rsid w:val="00E340C7"/>
    <w:rsid w:val="00E344AB"/>
    <w:rsid w:val="00E34E76"/>
    <w:rsid w:val="00E35444"/>
    <w:rsid w:val="00E35794"/>
    <w:rsid w:val="00E357E4"/>
    <w:rsid w:val="00E357E9"/>
    <w:rsid w:val="00E359CD"/>
    <w:rsid w:val="00E359DF"/>
    <w:rsid w:val="00E35A44"/>
    <w:rsid w:val="00E35EDD"/>
    <w:rsid w:val="00E361A6"/>
    <w:rsid w:val="00E36573"/>
    <w:rsid w:val="00E365F2"/>
    <w:rsid w:val="00E366D2"/>
    <w:rsid w:val="00E36885"/>
    <w:rsid w:val="00E36934"/>
    <w:rsid w:val="00E36B6E"/>
    <w:rsid w:val="00E36E11"/>
    <w:rsid w:val="00E36EA2"/>
    <w:rsid w:val="00E37567"/>
    <w:rsid w:val="00E37BA2"/>
    <w:rsid w:val="00E401A9"/>
    <w:rsid w:val="00E4065D"/>
    <w:rsid w:val="00E40731"/>
    <w:rsid w:val="00E40F65"/>
    <w:rsid w:val="00E416F1"/>
    <w:rsid w:val="00E41824"/>
    <w:rsid w:val="00E41C52"/>
    <w:rsid w:val="00E424FD"/>
    <w:rsid w:val="00E42505"/>
    <w:rsid w:val="00E4250E"/>
    <w:rsid w:val="00E42B8E"/>
    <w:rsid w:val="00E430F1"/>
    <w:rsid w:val="00E431C7"/>
    <w:rsid w:val="00E43338"/>
    <w:rsid w:val="00E43589"/>
    <w:rsid w:val="00E436C1"/>
    <w:rsid w:val="00E436C7"/>
    <w:rsid w:val="00E43833"/>
    <w:rsid w:val="00E43DE8"/>
    <w:rsid w:val="00E43F58"/>
    <w:rsid w:val="00E44242"/>
    <w:rsid w:val="00E447F8"/>
    <w:rsid w:val="00E452E8"/>
    <w:rsid w:val="00E4534E"/>
    <w:rsid w:val="00E45521"/>
    <w:rsid w:val="00E455E6"/>
    <w:rsid w:val="00E45836"/>
    <w:rsid w:val="00E458D1"/>
    <w:rsid w:val="00E45E1C"/>
    <w:rsid w:val="00E45EFF"/>
    <w:rsid w:val="00E46200"/>
    <w:rsid w:val="00E46227"/>
    <w:rsid w:val="00E465E0"/>
    <w:rsid w:val="00E47015"/>
    <w:rsid w:val="00E470C8"/>
    <w:rsid w:val="00E470DA"/>
    <w:rsid w:val="00E4717D"/>
    <w:rsid w:val="00E47231"/>
    <w:rsid w:val="00E47718"/>
    <w:rsid w:val="00E477D4"/>
    <w:rsid w:val="00E47A2A"/>
    <w:rsid w:val="00E47FCD"/>
    <w:rsid w:val="00E502B2"/>
    <w:rsid w:val="00E507AA"/>
    <w:rsid w:val="00E507F4"/>
    <w:rsid w:val="00E507FD"/>
    <w:rsid w:val="00E508CB"/>
    <w:rsid w:val="00E50A74"/>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31"/>
    <w:rsid w:val="00E57E20"/>
    <w:rsid w:val="00E57EAA"/>
    <w:rsid w:val="00E57FE0"/>
    <w:rsid w:val="00E57FF6"/>
    <w:rsid w:val="00E600DB"/>
    <w:rsid w:val="00E61019"/>
    <w:rsid w:val="00E6139B"/>
    <w:rsid w:val="00E619EA"/>
    <w:rsid w:val="00E61A25"/>
    <w:rsid w:val="00E61CB9"/>
    <w:rsid w:val="00E61EB9"/>
    <w:rsid w:val="00E62142"/>
    <w:rsid w:val="00E62243"/>
    <w:rsid w:val="00E6260F"/>
    <w:rsid w:val="00E627E1"/>
    <w:rsid w:val="00E63141"/>
    <w:rsid w:val="00E631AD"/>
    <w:rsid w:val="00E632E9"/>
    <w:rsid w:val="00E634F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52A"/>
    <w:rsid w:val="00E706B0"/>
    <w:rsid w:val="00E71163"/>
    <w:rsid w:val="00E71254"/>
    <w:rsid w:val="00E71861"/>
    <w:rsid w:val="00E7227D"/>
    <w:rsid w:val="00E72643"/>
    <w:rsid w:val="00E72809"/>
    <w:rsid w:val="00E7285F"/>
    <w:rsid w:val="00E72A76"/>
    <w:rsid w:val="00E72F55"/>
    <w:rsid w:val="00E732C5"/>
    <w:rsid w:val="00E732F1"/>
    <w:rsid w:val="00E7343A"/>
    <w:rsid w:val="00E73878"/>
    <w:rsid w:val="00E73947"/>
    <w:rsid w:val="00E746CF"/>
    <w:rsid w:val="00E74788"/>
    <w:rsid w:val="00E74D6B"/>
    <w:rsid w:val="00E756ED"/>
    <w:rsid w:val="00E75AFD"/>
    <w:rsid w:val="00E761EB"/>
    <w:rsid w:val="00E76BC2"/>
    <w:rsid w:val="00E76FF7"/>
    <w:rsid w:val="00E77AAD"/>
    <w:rsid w:val="00E77B0A"/>
    <w:rsid w:val="00E77ED2"/>
    <w:rsid w:val="00E77FA8"/>
    <w:rsid w:val="00E80244"/>
    <w:rsid w:val="00E8032E"/>
    <w:rsid w:val="00E80467"/>
    <w:rsid w:val="00E8066E"/>
    <w:rsid w:val="00E806A3"/>
    <w:rsid w:val="00E808D3"/>
    <w:rsid w:val="00E80CBF"/>
    <w:rsid w:val="00E8174A"/>
    <w:rsid w:val="00E8189B"/>
    <w:rsid w:val="00E81C55"/>
    <w:rsid w:val="00E81D70"/>
    <w:rsid w:val="00E81F73"/>
    <w:rsid w:val="00E828A7"/>
    <w:rsid w:val="00E828EA"/>
    <w:rsid w:val="00E83414"/>
    <w:rsid w:val="00E83757"/>
    <w:rsid w:val="00E83952"/>
    <w:rsid w:val="00E83EF8"/>
    <w:rsid w:val="00E84029"/>
    <w:rsid w:val="00E84437"/>
    <w:rsid w:val="00E849C0"/>
    <w:rsid w:val="00E849DD"/>
    <w:rsid w:val="00E84BD4"/>
    <w:rsid w:val="00E850CC"/>
    <w:rsid w:val="00E853BF"/>
    <w:rsid w:val="00E859ED"/>
    <w:rsid w:val="00E86167"/>
    <w:rsid w:val="00E8644C"/>
    <w:rsid w:val="00E867D0"/>
    <w:rsid w:val="00E867F3"/>
    <w:rsid w:val="00E86F4E"/>
    <w:rsid w:val="00E8704A"/>
    <w:rsid w:val="00E87380"/>
    <w:rsid w:val="00E87453"/>
    <w:rsid w:val="00E876E9"/>
    <w:rsid w:val="00E87CC4"/>
    <w:rsid w:val="00E87D85"/>
    <w:rsid w:val="00E87DC1"/>
    <w:rsid w:val="00E909F2"/>
    <w:rsid w:val="00E90C24"/>
    <w:rsid w:val="00E911AD"/>
    <w:rsid w:val="00E9120E"/>
    <w:rsid w:val="00E92153"/>
    <w:rsid w:val="00E9289A"/>
    <w:rsid w:val="00E92A7A"/>
    <w:rsid w:val="00E92AB5"/>
    <w:rsid w:val="00E92BB2"/>
    <w:rsid w:val="00E92EA9"/>
    <w:rsid w:val="00E92F60"/>
    <w:rsid w:val="00E93027"/>
    <w:rsid w:val="00E9361B"/>
    <w:rsid w:val="00E938D3"/>
    <w:rsid w:val="00E93FB0"/>
    <w:rsid w:val="00E94078"/>
    <w:rsid w:val="00E94153"/>
    <w:rsid w:val="00E94EAA"/>
    <w:rsid w:val="00E952B9"/>
    <w:rsid w:val="00E95416"/>
    <w:rsid w:val="00E959EA"/>
    <w:rsid w:val="00E95FAB"/>
    <w:rsid w:val="00E961F5"/>
    <w:rsid w:val="00E96679"/>
    <w:rsid w:val="00E9676D"/>
    <w:rsid w:val="00E96F58"/>
    <w:rsid w:val="00E96FBC"/>
    <w:rsid w:val="00E971F0"/>
    <w:rsid w:val="00E97220"/>
    <w:rsid w:val="00E97787"/>
    <w:rsid w:val="00E97BA4"/>
    <w:rsid w:val="00E97FA9"/>
    <w:rsid w:val="00EA022E"/>
    <w:rsid w:val="00EA0D19"/>
    <w:rsid w:val="00EA0D33"/>
    <w:rsid w:val="00EA0F4E"/>
    <w:rsid w:val="00EA1358"/>
    <w:rsid w:val="00EA1761"/>
    <w:rsid w:val="00EA1E3C"/>
    <w:rsid w:val="00EA25BB"/>
    <w:rsid w:val="00EA2D0D"/>
    <w:rsid w:val="00EA2D50"/>
    <w:rsid w:val="00EA2ECF"/>
    <w:rsid w:val="00EA32E3"/>
    <w:rsid w:val="00EA3544"/>
    <w:rsid w:val="00EA3A86"/>
    <w:rsid w:val="00EA3ACE"/>
    <w:rsid w:val="00EA3C4E"/>
    <w:rsid w:val="00EA440E"/>
    <w:rsid w:val="00EA44FC"/>
    <w:rsid w:val="00EA4982"/>
    <w:rsid w:val="00EA5087"/>
    <w:rsid w:val="00EA50CA"/>
    <w:rsid w:val="00EA518A"/>
    <w:rsid w:val="00EA53C4"/>
    <w:rsid w:val="00EA5498"/>
    <w:rsid w:val="00EA575C"/>
    <w:rsid w:val="00EA58FF"/>
    <w:rsid w:val="00EA6101"/>
    <w:rsid w:val="00EA6168"/>
    <w:rsid w:val="00EA617E"/>
    <w:rsid w:val="00EA643A"/>
    <w:rsid w:val="00EA6C12"/>
    <w:rsid w:val="00EA71DA"/>
    <w:rsid w:val="00EA72AF"/>
    <w:rsid w:val="00EA784E"/>
    <w:rsid w:val="00EA79EE"/>
    <w:rsid w:val="00EB04CC"/>
    <w:rsid w:val="00EB086A"/>
    <w:rsid w:val="00EB0DDF"/>
    <w:rsid w:val="00EB0F5A"/>
    <w:rsid w:val="00EB14B4"/>
    <w:rsid w:val="00EB17E7"/>
    <w:rsid w:val="00EB1AEA"/>
    <w:rsid w:val="00EB218F"/>
    <w:rsid w:val="00EB21D6"/>
    <w:rsid w:val="00EB2355"/>
    <w:rsid w:val="00EB26E1"/>
    <w:rsid w:val="00EB28AB"/>
    <w:rsid w:val="00EB3CD5"/>
    <w:rsid w:val="00EB3CF0"/>
    <w:rsid w:val="00EB3EC1"/>
    <w:rsid w:val="00EB40B4"/>
    <w:rsid w:val="00EB4B26"/>
    <w:rsid w:val="00EB4B58"/>
    <w:rsid w:val="00EB4CAF"/>
    <w:rsid w:val="00EB50C2"/>
    <w:rsid w:val="00EB524F"/>
    <w:rsid w:val="00EB5DE3"/>
    <w:rsid w:val="00EB5F40"/>
    <w:rsid w:val="00EB669D"/>
    <w:rsid w:val="00EB67BC"/>
    <w:rsid w:val="00EB68A0"/>
    <w:rsid w:val="00EB74E5"/>
    <w:rsid w:val="00EB7531"/>
    <w:rsid w:val="00EB7C51"/>
    <w:rsid w:val="00EB7C86"/>
    <w:rsid w:val="00EB7D88"/>
    <w:rsid w:val="00EB7E8A"/>
    <w:rsid w:val="00EC00C6"/>
    <w:rsid w:val="00EC0306"/>
    <w:rsid w:val="00EC06AC"/>
    <w:rsid w:val="00EC13AA"/>
    <w:rsid w:val="00EC15B7"/>
    <w:rsid w:val="00EC17C5"/>
    <w:rsid w:val="00EC1994"/>
    <w:rsid w:val="00EC21D2"/>
    <w:rsid w:val="00EC2A1F"/>
    <w:rsid w:val="00EC2C6D"/>
    <w:rsid w:val="00EC2FCE"/>
    <w:rsid w:val="00EC3037"/>
    <w:rsid w:val="00EC309B"/>
    <w:rsid w:val="00EC3436"/>
    <w:rsid w:val="00EC3F5E"/>
    <w:rsid w:val="00EC41E1"/>
    <w:rsid w:val="00EC4AAE"/>
    <w:rsid w:val="00EC4EE5"/>
    <w:rsid w:val="00EC4F62"/>
    <w:rsid w:val="00EC4FCC"/>
    <w:rsid w:val="00EC50AD"/>
    <w:rsid w:val="00EC50C2"/>
    <w:rsid w:val="00EC6073"/>
    <w:rsid w:val="00EC614E"/>
    <w:rsid w:val="00EC66CE"/>
    <w:rsid w:val="00EC7059"/>
    <w:rsid w:val="00EC7084"/>
    <w:rsid w:val="00EC715E"/>
    <w:rsid w:val="00EC72A5"/>
    <w:rsid w:val="00EC731C"/>
    <w:rsid w:val="00EC75B4"/>
    <w:rsid w:val="00EC799A"/>
    <w:rsid w:val="00ED0023"/>
    <w:rsid w:val="00ED018A"/>
    <w:rsid w:val="00ED02BC"/>
    <w:rsid w:val="00ED05FF"/>
    <w:rsid w:val="00ED0B60"/>
    <w:rsid w:val="00ED1206"/>
    <w:rsid w:val="00ED1B22"/>
    <w:rsid w:val="00ED1BF3"/>
    <w:rsid w:val="00ED1F48"/>
    <w:rsid w:val="00ED1F69"/>
    <w:rsid w:val="00ED2184"/>
    <w:rsid w:val="00ED2379"/>
    <w:rsid w:val="00ED267F"/>
    <w:rsid w:val="00ED2962"/>
    <w:rsid w:val="00ED2A83"/>
    <w:rsid w:val="00ED3C93"/>
    <w:rsid w:val="00ED484C"/>
    <w:rsid w:val="00ED4C2B"/>
    <w:rsid w:val="00ED4C2D"/>
    <w:rsid w:val="00ED4F3E"/>
    <w:rsid w:val="00ED5617"/>
    <w:rsid w:val="00ED5923"/>
    <w:rsid w:val="00ED60DB"/>
    <w:rsid w:val="00ED652A"/>
    <w:rsid w:val="00ED69BF"/>
    <w:rsid w:val="00ED6C4A"/>
    <w:rsid w:val="00ED6CF1"/>
    <w:rsid w:val="00ED7DC3"/>
    <w:rsid w:val="00EE0588"/>
    <w:rsid w:val="00EE0B9C"/>
    <w:rsid w:val="00EE0CF3"/>
    <w:rsid w:val="00EE1256"/>
    <w:rsid w:val="00EE1389"/>
    <w:rsid w:val="00EE1633"/>
    <w:rsid w:val="00EE16BB"/>
    <w:rsid w:val="00EE2559"/>
    <w:rsid w:val="00EE26E5"/>
    <w:rsid w:val="00EE29D4"/>
    <w:rsid w:val="00EE2F94"/>
    <w:rsid w:val="00EE3663"/>
    <w:rsid w:val="00EE36D4"/>
    <w:rsid w:val="00EE3A64"/>
    <w:rsid w:val="00EE3C61"/>
    <w:rsid w:val="00EE3EC4"/>
    <w:rsid w:val="00EE44AE"/>
    <w:rsid w:val="00EE45E6"/>
    <w:rsid w:val="00EE4912"/>
    <w:rsid w:val="00EE4CF7"/>
    <w:rsid w:val="00EE4DCD"/>
    <w:rsid w:val="00EE52AD"/>
    <w:rsid w:val="00EE54CF"/>
    <w:rsid w:val="00EE5B3B"/>
    <w:rsid w:val="00EE5F09"/>
    <w:rsid w:val="00EE6076"/>
    <w:rsid w:val="00EE6163"/>
    <w:rsid w:val="00EE64B7"/>
    <w:rsid w:val="00EE66C8"/>
    <w:rsid w:val="00EE6E80"/>
    <w:rsid w:val="00EE73EA"/>
    <w:rsid w:val="00EE74F1"/>
    <w:rsid w:val="00EE7505"/>
    <w:rsid w:val="00EE77D8"/>
    <w:rsid w:val="00EE79CC"/>
    <w:rsid w:val="00EE7B8D"/>
    <w:rsid w:val="00EF0981"/>
    <w:rsid w:val="00EF09A6"/>
    <w:rsid w:val="00EF112C"/>
    <w:rsid w:val="00EF11AF"/>
    <w:rsid w:val="00EF121A"/>
    <w:rsid w:val="00EF12C6"/>
    <w:rsid w:val="00EF190A"/>
    <w:rsid w:val="00EF1A44"/>
    <w:rsid w:val="00EF1EF2"/>
    <w:rsid w:val="00EF25E1"/>
    <w:rsid w:val="00EF28E0"/>
    <w:rsid w:val="00EF296D"/>
    <w:rsid w:val="00EF2C67"/>
    <w:rsid w:val="00EF32F5"/>
    <w:rsid w:val="00EF37FD"/>
    <w:rsid w:val="00EF42E2"/>
    <w:rsid w:val="00EF4361"/>
    <w:rsid w:val="00EF4584"/>
    <w:rsid w:val="00EF47E1"/>
    <w:rsid w:val="00EF487E"/>
    <w:rsid w:val="00EF4CBE"/>
    <w:rsid w:val="00EF4ED1"/>
    <w:rsid w:val="00EF4F2D"/>
    <w:rsid w:val="00EF575F"/>
    <w:rsid w:val="00EF57D5"/>
    <w:rsid w:val="00EF5ED8"/>
    <w:rsid w:val="00EF5F5C"/>
    <w:rsid w:val="00EF7166"/>
    <w:rsid w:val="00EF71A6"/>
    <w:rsid w:val="00EF7AF8"/>
    <w:rsid w:val="00EF7D0C"/>
    <w:rsid w:val="00EF7D4C"/>
    <w:rsid w:val="00F006B8"/>
    <w:rsid w:val="00F00971"/>
    <w:rsid w:val="00F00BD0"/>
    <w:rsid w:val="00F01144"/>
    <w:rsid w:val="00F0155E"/>
    <w:rsid w:val="00F01809"/>
    <w:rsid w:val="00F0182F"/>
    <w:rsid w:val="00F01AD1"/>
    <w:rsid w:val="00F01B6B"/>
    <w:rsid w:val="00F02144"/>
    <w:rsid w:val="00F028A8"/>
    <w:rsid w:val="00F029D1"/>
    <w:rsid w:val="00F02A1C"/>
    <w:rsid w:val="00F02BF8"/>
    <w:rsid w:val="00F02D8C"/>
    <w:rsid w:val="00F037A8"/>
    <w:rsid w:val="00F052C7"/>
    <w:rsid w:val="00F05977"/>
    <w:rsid w:val="00F05987"/>
    <w:rsid w:val="00F076A4"/>
    <w:rsid w:val="00F07C20"/>
    <w:rsid w:val="00F07CBF"/>
    <w:rsid w:val="00F11074"/>
    <w:rsid w:val="00F11461"/>
    <w:rsid w:val="00F114E4"/>
    <w:rsid w:val="00F117EE"/>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5E5"/>
    <w:rsid w:val="00F14968"/>
    <w:rsid w:val="00F15182"/>
    <w:rsid w:val="00F15626"/>
    <w:rsid w:val="00F1590E"/>
    <w:rsid w:val="00F159A9"/>
    <w:rsid w:val="00F16A00"/>
    <w:rsid w:val="00F16F05"/>
    <w:rsid w:val="00F16F10"/>
    <w:rsid w:val="00F16F54"/>
    <w:rsid w:val="00F17389"/>
    <w:rsid w:val="00F1795F"/>
    <w:rsid w:val="00F17B79"/>
    <w:rsid w:val="00F17D0F"/>
    <w:rsid w:val="00F20179"/>
    <w:rsid w:val="00F204AD"/>
    <w:rsid w:val="00F2050D"/>
    <w:rsid w:val="00F208CE"/>
    <w:rsid w:val="00F20C5F"/>
    <w:rsid w:val="00F21BF6"/>
    <w:rsid w:val="00F22891"/>
    <w:rsid w:val="00F228C2"/>
    <w:rsid w:val="00F22D62"/>
    <w:rsid w:val="00F23325"/>
    <w:rsid w:val="00F236B2"/>
    <w:rsid w:val="00F23A01"/>
    <w:rsid w:val="00F23ECE"/>
    <w:rsid w:val="00F241E3"/>
    <w:rsid w:val="00F247B3"/>
    <w:rsid w:val="00F2544D"/>
    <w:rsid w:val="00F25B01"/>
    <w:rsid w:val="00F26105"/>
    <w:rsid w:val="00F26841"/>
    <w:rsid w:val="00F26C6A"/>
    <w:rsid w:val="00F26C9B"/>
    <w:rsid w:val="00F27403"/>
    <w:rsid w:val="00F27AE9"/>
    <w:rsid w:val="00F27D62"/>
    <w:rsid w:val="00F306A8"/>
    <w:rsid w:val="00F30785"/>
    <w:rsid w:val="00F3103A"/>
    <w:rsid w:val="00F312E1"/>
    <w:rsid w:val="00F319AC"/>
    <w:rsid w:val="00F319C6"/>
    <w:rsid w:val="00F31C69"/>
    <w:rsid w:val="00F31EC7"/>
    <w:rsid w:val="00F325FC"/>
    <w:rsid w:val="00F32959"/>
    <w:rsid w:val="00F331E7"/>
    <w:rsid w:val="00F33419"/>
    <w:rsid w:val="00F33473"/>
    <w:rsid w:val="00F33789"/>
    <w:rsid w:val="00F33D1A"/>
    <w:rsid w:val="00F33E01"/>
    <w:rsid w:val="00F341C2"/>
    <w:rsid w:val="00F3423D"/>
    <w:rsid w:val="00F34347"/>
    <w:rsid w:val="00F345AF"/>
    <w:rsid w:val="00F34694"/>
    <w:rsid w:val="00F3577D"/>
    <w:rsid w:val="00F35D9A"/>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59"/>
    <w:rsid w:val="00F43C9F"/>
    <w:rsid w:val="00F43E1E"/>
    <w:rsid w:val="00F44203"/>
    <w:rsid w:val="00F4457F"/>
    <w:rsid w:val="00F445CE"/>
    <w:rsid w:val="00F44BB3"/>
    <w:rsid w:val="00F44D8F"/>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80"/>
    <w:rsid w:val="00F510F5"/>
    <w:rsid w:val="00F51144"/>
    <w:rsid w:val="00F51552"/>
    <w:rsid w:val="00F51C7E"/>
    <w:rsid w:val="00F51E86"/>
    <w:rsid w:val="00F51F71"/>
    <w:rsid w:val="00F52A67"/>
    <w:rsid w:val="00F52C80"/>
    <w:rsid w:val="00F5330F"/>
    <w:rsid w:val="00F533ED"/>
    <w:rsid w:val="00F538EC"/>
    <w:rsid w:val="00F5449A"/>
    <w:rsid w:val="00F545D0"/>
    <w:rsid w:val="00F5465A"/>
    <w:rsid w:val="00F54E9B"/>
    <w:rsid w:val="00F55067"/>
    <w:rsid w:val="00F5533A"/>
    <w:rsid w:val="00F562C5"/>
    <w:rsid w:val="00F5650F"/>
    <w:rsid w:val="00F56C28"/>
    <w:rsid w:val="00F56D41"/>
    <w:rsid w:val="00F56E5A"/>
    <w:rsid w:val="00F57024"/>
    <w:rsid w:val="00F57241"/>
    <w:rsid w:val="00F57488"/>
    <w:rsid w:val="00F57656"/>
    <w:rsid w:val="00F57F44"/>
    <w:rsid w:val="00F60218"/>
    <w:rsid w:val="00F60A84"/>
    <w:rsid w:val="00F60F06"/>
    <w:rsid w:val="00F61325"/>
    <w:rsid w:val="00F6178A"/>
    <w:rsid w:val="00F61D4F"/>
    <w:rsid w:val="00F6271A"/>
    <w:rsid w:val="00F6299C"/>
    <w:rsid w:val="00F62CB5"/>
    <w:rsid w:val="00F630B9"/>
    <w:rsid w:val="00F63721"/>
    <w:rsid w:val="00F63755"/>
    <w:rsid w:val="00F63AA2"/>
    <w:rsid w:val="00F640C3"/>
    <w:rsid w:val="00F64633"/>
    <w:rsid w:val="00F64803"/>
    <w:rsid w:val="00F6487F"/>
    <w:rsid w:val="00F6537A"/>
    <w:rsid w:val="00F65749"/>
    <w:rsid w:val="00F65A24"/>
    <w:rsid w:val="00F65B6E"/>
    <w:rsid w:val="00F66294"/>
    <w:rsid w:val="00F663ED"/>
    <w:rsid w:val="00F66ACE"/>
    <w:rsid w:val="00F66BA3"/>
    <w:rsid w:val="00F66D47"/>
    <w:rsid w:val="00F66EDB"/>
    <w:rsid w:val="00F670D8"/>
    <w:rsid w:val="00F6738C"/>
    <w:rsid w:val="00F673FD"/>
    <w:rsid w:val="00F677E1"/>
    <w:rsid w:val="00F67B18"/>
    <w:rsid w:val="00F70D6B"/>
    <w:rsid w:val="00F711A0"/>
    <w:rsid w:val="00F7160D"/>
    <w:rsid w:val="00F721A3"/>
    <w:rsid w:val="00F7240A"/>
    <w:rsid w:val="00F72778"/>
    <w:rsid w:val="00F727A1"/>
    <w:rsid w:val="00F7385A"/>
    <w:rsid w:val="00F73D3A"/>
    <w:rsid w:val="00F74673"/>
    <w:rsid w:val="00F747EF"/>
    <w:rsid w:val="00F74989"/>
    <w:rsid w:val="00F7499F"/>
    <w:rsid w:val="00F749C0"/>
    <w:rsid w:val="00F74A71"/>
    <w:rsid w:val="00F74B46"/>
    <w:rsid w:val="00F74BA4"/>
    <w:rsid w:val="00F74BF2"/>
    <w:rsid w:val="00F75048"/>
    <w:rsid w:val="00F75540"/>
    <w:rsid w:val="00F75882"/>
    <w:rsid w:val="00F75A3C"/>
    <w:rsid w:val="00F75A42"/>
    <w:rsid w:val="00F761DD"/>
    <w:rsid w:val="00F76298"/>
    <w:rsid w:val="00F7659A"/>
    <w:rsid w:val="00F7681A"/>
    <w:rsid w:val="00F76AB3"/>
    <w:rsid w:val="00F77572"/>
    <w:rsid w:val="00F77680"/>
    <w:rsid w:val="00F776C8"/>
    <w:rsid w:val="00F77ED8"/>
    <w:rsid w:val="00F80376"/>
    <w:rsid w:val="00F803BD"/>
    <w:rsid w:val="00F809E3"/>
    <w:rsid w:val="00F811B2"/>
    <w:rsid w:val="00F811CD"/>
    <w:rsid w:val="00F816CA"/>
    <w:rsid w:val="00F81A28"/>
    <w:rsid w:val="00F81DF9"/>
    <w:rsid w:val="00F82148"/>
    <w:rsid w:val="00F821E7"/>
    <w:rsid w:val="00F823A7"/>
    <w:rsid w:val="00F824F7"/>
    <w:rsid w:val="00F8282F"/>
    <w:rsid w:val="00F830C1"/>
    <w:rsid w:val="00F83975"/>
    <w:rsid w:val="00F83C52"/>
    <w:rsid w:val="00F83E33"/>
    <w:rsid w:val="00F84153"/>
    <w:rsid w:val="00F842BA"/>
    <w:rsid w:val="00F84618"/>
    <w:rsid w:val="00F84689"/>
    <w:rsid w:val="00F846E7"/>
    <w:rsid w:val="00F84B07"/>
    <w:rsid w:val="00F853A8"/>
    <w:rsid w:val="00F854AC"/>
    <w:rsid w:val="00F85691"/>
    <w:rsid w:val="00F856A0"/>
    <w:rsid w:val="00F8579D"/>
    <w:rsid w:val="00F85861"/>
    <w:rsid w:val="00F859B7"/>
    <w:rsid w:val="00F85F4C"/>
    <w:rsid w:val="00F8601B"/>
    <w:rsid w:val="00F86294"/>
    <w:rsid w:val="00F862DC"/>
    <w:rsid w:val="00F86413"/>
    <w:rsid w:val="00F86E97"/>
    <w:rsid w:val="00F87221"/>
    <w:rsid w:val="00F87909"/>
    <w:rsid w:val="00F87CF2"/>
    <w:rsid w:val="00F904DF"/>
    <w:rsid w:val="00F9057E"/>
    <w:rsid w:val="00F905BB"/>
    <w:rsid w:val="00F90642"/>
    <w:rsid w:val="00F90FC6"/>
    <w:rsid w:val="00F910D8"/>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559"/>
    <w:rsid w:val="00F956A0"/>
    <w:rsid w:val="00F958EF"/>
    <w:rsid w:val="00F95A65"/>
    <w:rsid w:val="00F95E7F"/>
    <w:rsid w:val="00F96003"/>
    <w:rsid w:val="00F9629B"/>
    <w:rsid w:val="00F96D13"/>
    <w:rsid w:val="00F97117"/>
    <w:rsid w:val="00F9718E"/>
    <w:rsid w:val="00F971A1"/>
    <w:rsid w:val="00F97933"/>
    <w:rsid w:val="00F979EA"/>
    <w:rsid w:val="00F97C30"/>
    <w:rsid w:val="00FA0758"/>
    <w:rsid w:val="00FA12CE"/>
    <w:rsid w:val="00FA199D"/>
    <w:rsid w:val="00FA1C41"/>
    <w:rsid w:val="00FA1F40"/>
    <w:rsid w:val="00FA2037"/>
    <w:rsid w:val="00FA271D"/>
    <w:rsid w:val="00FA2A5B"/>
    <w:rsid w:val="00FA2C73"/>
    <w:rsid w:val="00FA3123"/>
    <w:rsid w:val="00FA34D7"/>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332"/>
    <w:rsid w:val="00FB14BB"/>
    <w:rsid w:val="00FB1B3F"/>
    <w:rsid w:val="00FB1FE0"/>
    <w:rsid w:val="00FB23F6"/>
    <w:rsid w:val="00FB2813"/>
    <w:rsid w:val="00FB281A"/>
    <w:rsid w:val="00FB300F"/>
    <w:rsid w:val="00FB32C8"/>
    <w:rsid w:val="00FB362E"/>
    <w:rsid w:val="00FB3630"/>
    <w:rsid w:val="00FB3705"/>
    <w:rsid w:val="00FB37C8"/>
    <w:rsid w:val="00FB3CFE"/>
    <w:rsid w:val="00FB405D"/>
    <w:rsid w:val="00FB43F0"/>
    <w:rsid w:val="00FB4759"/>
    <w:rsid w:val="00FB4F96"/>
    <w:rsid w:val="00FB507F"/>
    <w:rsid w:val="00FB516F"/>
    <w:rsid w:val="00FB57AD"/>
    <w:rsid w:val="00FB5C64"/>
    <w:rsid w:val="00FB5E2B"/>
    <w:rsid w:val="00FB601C"/>
    <w:rsid w:val="00FB63CC"/>
    <w:rsid w:val="00FB64AA"/>
    <w:rsid w:val="00FB6908"/>
    <w:rsid w:val="00FB6930"/>
    <w:rsid w:val="00FB6CCD"/>
    <w:rsid w:val="00FB6EB7"/>
    <w:rsid w:val="00FB753F"/>
    <w:rsid w:val="00FB7631"/>
    <w:rsid w:val="00FB7690"/>
    <w:rsid w:val="00FC0272"/>
    <w:rsid w:val="00FC03E9"/>
    <w:rsid w:val="00FC04C4"/>
    <w:rsid w:val="00FC055D"/>
    <w:rsid w:val="00FC05A1"/>
    <w:rsid w:val="00FC0751"/>
    <w:rsid w:val="00FC0766"/>
    <w:rsid w:val="00FC0B4E"/>
    <w:rsid w:val="00FC0D15"/>
    <w:rsid w:val="00FC0EB1"/>
    <w:rsid w:val="00FC0F30"/>
    <w:rsid w:val="00FC138F"/>
    <w:rsid w:val="00FC1CCE"/>
    <w:rsid w:val="00FC1FDE"/>
    <w:rsid w:val="00FC2060"/>
    <w:rsid w:val="00FC2A47"/>
    <w:rsid w:val="00FC2DDE"/>
    <w:rsid w:val="00FC2EEC"/>
    <w:rsid w:val="00FC3249"/>
    <w:rsid w:val="00FC3269"/>
    <w:rsid w:val="00FC343A"/>
    <w:rsid w:val="00FC35C5"/>
    <w:rsid w:val="00FC36DE"/>
    <w:rsid w:val="00FC3828"/>
    <w:rsid w:val="00FC3E92"/>
    <w:rsid w:val="00FC3ECD"/>
    <w:rsid w:val="00FC3F65"/>
    <w:rsid w:val="00FC4183"/>
    <w:rsid w:val="00FC4280"/>
    <w:rsid w:val="00FC470F"/>
    <w:rsid w:val="00FC47B1"/>
    <w:rsid w:val="00FC5619"/>
    <w:rsid w:val="00FC57F0"/>
    <w:rsid w:val="00FC5879"/>
    <w:rsid w:val="00FC63DF"/>
    <w:rsid w:val="00FC6406"/>
    <w:rsid w:val="00FC6677"/>
    <w:rsid w:val="00FC693B"/>
    <w:rsid w:val="00FC6A21"/>
    <w:rsid w:val="00FC7058"/>
    <w:rsid w:val="00FC70DE"/>
    <w:rsid w:val="00FC71CE"/>
    <w:rsid w:val="00FC7AC1"/>
    <w:rsid w:val="00FC7C6B"/>
    <w:rsid w:val="00FD06BA"/>
    <w:rsid w:val="00FD0973"/>
    <w:rsid w:val="00FD0C99"/>
    <w:rsid w:val="00FD14BA"/>
    <w:rsid w:val="00FD1655"/>
    <w:rsid w:val="00FD16F8"/>
    <w:rsid w:val="00FD192C"/>
    <w:rsid w:val="00FD1C06"/>
    <w:rsid w:val="00FD1DB6"/>
    <w:rsid w:val="00FD1E0D"/>
    <w:rsid w:val="00FD22B0"/>
    <w:rsid w:val="00FD23AD"/>
    <w:rsid w:val="00FD24C9"/>
    <w:rsid w:val="00FD2898"/>
    <w:rsid w:val="00FD2B64"/>
    <w:rsid w:val="00FD2E41"/>
    <w:rsid w:val="00FD2F66"/>
    <w:rsid w:val="00FD304F"/>
    <w:rsid w:val="00FD30B1"/>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F7C"/>
    <w:rsid w:val="00FE21F6"/>
    <w:rsid w:val="00FE2624"/>
    <w:rsid w:val="00FE2B2D"/>
    <w:rsid w:val="00FE30C0"/>
    <w:rsid w:val="00FE347C"/>
    <w:rsid w:val="00FE3694"/>
    <w:rsid w:val="00FE3A32"/>
    <w:rsid w:val="00FE41FE"/>
    <w:rsid w:val="00FE420A"/>
    <w:rsid w:val="00FE42E9"/>
    <w:rsid w:val="00FE4551"/>
    <w:rsid w:val="00FE45F0"/>
    <w:rsid w:val="00FE460D"/>
    <w:rsid w:val="00FE478C"/>
    <w:rsid w:val="00FE502A"/>
    <w:rsid w:val="00FE5386"/>
    <w:rsid w:val="00FE592C"/>
    <w:rsid w:val="00FE595D"/>
    <w:rsid w:val="00FE6227"/>
    <w:rsid w:val="00FE62E4"/>
    <w:rsid w:val="00FE6C93"/>
    <w:rsid w:val="00FE7137"/>
    <w:rsid w:val="00FE75CB"/>
    <w:rsid w:val="00FE7B22"/>
    <w:rsid w:val="00FE7C4C"/>
    <w:rsid w:val="00FF0263"/>
    <w:rsid w:val="00FF0B47"/>
    <w:rsid w:val="00FF0DED"/>
    <w:rsid w:val="00FF0FD6"/>
    <w:rsid w:val="00FF13F3"/>
    <w:rsid w:val="00FF1463"/>
    <w:rsid w:val="00FF1597"/>
    <w:rsid w:val="00FF17EE"/>
    <w:rsid w:val="00FF247B"/>
    <w:rsid w:val="00FF247E"/>
    <w:rsid w:val="00FF27CA"/>
    <w:rsid w:val="00FF2D4E"/>
    <w:rsid w:val="00FF3499"/>
    <w:rsid w:val="00FF3628"/>
    <w:rsid w:val="00FF435F"/>
    <w:rsid w:val="00FF4E89"/>
    <w:rsid w:val="00FF4E98"/>
    <w:rsid w:val="00FF4F78"/>
    <w:rsid w:val="00FF51E0"/>
    <w:rsid w:val="00FF5270"/>
    <w:rsid w:val="00FF5407"/>
    <w:rsid w:val="00FF5760"/>
    <w:rsid w:val="00FF59F8"/>
    <w:rsid w:val="00FF5A42"/>
    <w:rsid w:val="00FF66E6"/>
    <w:rsid w:val="00FF690D"/>
    <w:rsid w:val="00FF6B89"/>
    <w:rsid w:val="00FF6C4F"/>
    <w:rsid w:val="00FF7152"/>
    <w:rsid w:val="00FF7259"/>
    <w:rsid w:val="00FF755D"/>
    <w:rsid w:val="00FF75A6"/>
    <w:rsid w:val="00FF7A59"/>
    <w:rsid w:val="00FF7A87"/>
    <w:rsid w:val="00FF7F4F"/>
    <w:rsid w:val="01314994"/>
    <w:rsid w:val="014266B2"/>
    <w:rsid w:val="01A30B84"/>
    <w:rsid w:val="022F574D"/>
    <w:rsid w:val="02312F59"/>
    <w:rsid w:val="02AE03CC"/>
    <w:rsid w:val="02AE281A"/>
    <w:rsid w:val="02AF530D"/>
    <w:rsid w:val="02B602F9"/>
    <w:rsid w:val="02CD2D8A"/>
    <w:rsid w:val="037C1E12"/>
    <w:rsid w:val="03892AF2"/>
    <w:rsid w:val="038B0E94"/>
    <w:rsid w:val="03C5615A"/>
    <w:rsid w:val="03CF203B"/>
    <w:rsid w:val="03DA7CF4"/>
    <w:rsid w:val="03FB42C7"/>
    <w:rsid w:val="045952D5"/>
    <w:rsid w:val="046332C2"/>
    <w:rsid w:val="04B5154C"/>
    <w:rsid w:val="05C97CAD"/>
    <w:rsid w:val="06114C81"/>
    <w:rsid w:val="063406ED"/>
    <w:rsid w:val="06C034CF"/>
    <w:rsid w:val="071506B8"/>
    <w:rsid w:val="07217725"/>
    <w:rsid w:val="073B5428"/>
    <w:rsid w:val="0742097F"/>
    <w:rsid w:val="074A7B38"/>
    <w:rsid w:val="07830F0E"/>
    <w:rsid w:val="0793508F"/>
    <w:rsid w:val="07B60476"/>
    <w:rsid w:val="07DA7C8B"/>
    <w:rsid w:val="07E45595"/>
    <w:rsid w:val="07EE5AC6"/>
    <w:rsid w:val="07FF51D2"/>
    <w:rsid w:val="0874090F"/>
    <w:rsid w:val="08AA6EEE"/>
    <w:rsid w:val="08CF199D"/>
    <w:rsid w:val="08E33C65"/>
    <w:rsid w:val="092447CC"/>
    <w:rsid w:val="092F35BA"/>
    <w:rsid w:val="09474257"/>
    <w:rsid w:val="095666B5"/>
    <w:rsid w:val="09E3651C"/>
    <w:rsid w:val="0A1E527E"/>
    <w:rsid w:val="0AD951F5"/>
    <w:rsid w:val="0B492298"/>
    <w:rsid w:val="0B6C4184"/>
    <w:rsid w:val="0BEC60E0"/>
    <w:rsid w:val="0C4A7C31"/>
    <w:rsid w:val="0C826C2D"/>
    <w:rsid w:val="0CB94C67"/>
    <w:rsid w:val="0CF416FD"/>
    <w:rsid w:val="0D4712E0"/>
    <w:rsid w:val="0D541D76"/>
    <w:rsid w:val="0DEC583B"/>
    <w:rsid w:val="0DF13B23"/>
    <w:rsid w:val="0DFF4350"/>
    <w:rsid w:val="0E1F5910"/>
    <w:rsid w:val="0E2100BC"/>
    <w:rsid w:val="0E2C202B"/>
    <w:rsid w:val="0E495583"/>
    <w:rsid w:val="0F27226E"/>
    <w:rsid w:val="0F5027C3"/>
    <w:rsid w:val="100818F0"/>
    <w:rsid w:val="10524E5B"/>
    <w:rsid w:val="106F27E7"/>
    <w:rsid w:val="10A76C5B"/>
    <w:rsid w:val="10B90AE9"/>
    <w:rsid w:val="11077512"/>
    <w:rsid w:val="116040AB"/>
    <w:rsid w:val="119858A3"/>
    <w:rsid w:val="11DD32F3"/>
    <w:rsid w:val="12086D20"/>
    <w:rsid w:val="121D0C8B"/>
    <w:rsid w:val="12257655"/>
    <w:rsid w:val="12284A09"/>
    <w:rsid w:val="12433BA0"/>
    <w:rsid w:val="12594AA4"/>
    <w:rsid w:val="12885883"/>
    <w:rsid w:val="128B2D90"/>
    <w:rsid w:val="13725008"/>
    <w:rsid w:val="145647E0"/>
    <w:rsid w:val="14C126A9"/>
    <w:rsid w:val="14C51CDD"/>
    <w:rsid w:val="14CA41F0"/>
    <w:rsid w:val="14DF6744"/>
    <w:rsid w:val="15022643"/>
    <w:rsid w:val="15125CF4"/>
    <w:rsid w:val="151706A7"/>
    <w:rsid w:val="152C0347"/>
    <w:rsid w:val="152D4930"/>
    <w:rsid w:val="15336A70"/>
    <w:rsid w:val="156A5A5A"/>
    <w:rsid w:val="1586361D"/>
    <w:rsid w:val="15B978EE"/>
    <w:rsid w:val="15C16E81"/>
    <w:rsid w:val="15D3308B"/>
    <w:rsid w:val="15F16E6F"/>
    <w:rsid w:val="15F8377B"/>
    <w:rsid w:val="1634799C"/>
    <w:rsid w:val="164C019D"/>
    <w:rsid w:val="176B6E41"/>
    <w:rsid w:val="178E7449"/>
    <w:rsid w:val="17D67B40"/>
    <w:rsid w:val="184E668F"/>
    <w:rsid w:val="189E21B1"/>
    <w:rsid w:val="18D9798F"/>
    <w:rsid w:val="193449C2"/>
    <w:rsid w:val="199D1745"/>
    <w:rsid w:val="19DD1164"/>
    <w:rsid w:val="19EA027B"/>
    <w:rsid w:val="1A417F83"/>
    <w:rsid w:val="1AC97EEF"/>
    <w:rsid w:val="1B4605D0"/>
    <w:rsid w:val="1B876192"/>
    <w:rsid w:val="1BB91715"/>
    <w:rsid w:val="1BF26AA7"/>
    <w:rsid w:val="1C796DCB"/>
    <w:rsid w:val="1C937C02"/>
    <w:rsid w:val="1C975F0C"/>
    <w:rsid w:val="1C983F18"/>
    <w:rsid w:val="1CC470F5"/>
    <w:rsid w:val="1CCD7A00"/>
    <w:rsid w:val="1D0D4F53"/>
    <w:rsid w:val="1D1937BD"/>
    <w:rsid w:val="1D273E8D"/>
    <w:rsid w:val="1D3477C3"/>
    <w:rsid w:val="1D3B3CB4"/>
    <w:rsid w:val="1D4114D8"/>
    <w:rsid w:val="1D655A79"/>
    <w:rsid w:val="1D6F2E72"/>
    <w:rsid w:val="1D84249D"/>
    <w:rsid w:val="1DE93D04"/>
    <w:rsid w:val="1DFF745B"/>
    <w:rsid w:val="1E252AA8"/>
    <w:rsid w:val="1E3207CD"/>
    <w:rsid w:val="1E514A3E"/>
    <w:rsid w:val="1EB65A1E"/>
    <w:rsid w:val="1EFC4202"/>
    <w:rsid w:val="1F0D5398"/>
    <w:rsid w:val="1F1954FD"/>
    <w:rsid w:val="1F2031C2"/>
    <w:rsid w:val="1F506BC2"/>
    <w:rsid w:val="1F693C69"/>
    <w:rsid w:val="1FA262C3"/>
    <w:rsid w:val="1FBE6C16"/>
    <w:rsid w:val="1FC33E90"/>
    <w:rsid w:val="1FDE618C"/>
    <w:rsid w:val="20083D82"/>
    <w:rsid w:val="200A30DA"/>
    <w:rsid w:val="20295A94"/>
    <w:rsid w:val="20375340"/>
    <w:rsid w:val="20752A07"/>
    <w:rsid w:val="20C43C5A"/>
    <w:rsid w:val="215448F0"/>
    <w:rsid w:val="21AD0D11"/>
    <w:rsid w:val="21B27E37"/>
    <w:rsid w:val="21EE12EA"/>
    <w:rsid w:val="224348E6"/>
    <w:rsid w:val="225F40A2"/>
    <w:rsid w:val="226C3F0A"/>
    <w:rsid w:val="228828C8"/>
    <w:rsid w:val="23761E79"/>
    <w:rsid w:val="238251BD"/>
    <w:rsid w:val="23DA2BD4"/>
    <w:rsid w:val="2414446F"/>
    <w:rsid w:val="242E1878"/>
    <w:rsid w:val="243C1308"/>
    <w:rsid w:val="247E77C5"/>
    <w:rsid w:val="24E6667A"/>
    <w:rsid w:val="2504519E"/>
    <w:rsid w:val="253656AC"/>
    <w:rsid w:val="257172FF"/>
    <w:rsid w:val="257635C7"/>
    <w:rsid w:val="25DC0388"/>
    <w:rsid w:val="25FE0438"/>
    <w:rsid w:val="26026D30"/>
    <w:rsid w:val="261F0044"/>
    <w:rsid w:val="265C6527"/>
    <w:rsid w:val="269B7CCA"/>
    <w:rsid w:val="277854D5"/>
    <w:rsid w:val="27880634"/>
    <w:rsid w:val="27E811DC"/>
    <w:rsid w:val="28640CC3"/>
    <w:rsid w:val="287E7161"/>
    <w:rsid w:val="28BE278C"/>
    <w:rsid w:val="28BE718A"/>
    <w:rsid w:val="28C56BED"/>
    <w:rsid w:val="28FC043E"/>
    <w:rsid w:val="299E2180"/>
    <w:rsid w:val="2A306864"/>
    <w:rsid w:val="2A517744"/>
    <w:rsid w:val="2A96703F"/>
    <w:rsid w:val="2AE10DE3"/>
    <w:rsid w:val="2B062A8E"/>
    <w:rsid w:val="2BC62271"/>
    <w:rsid w:val="2BD03A86"/>
    <w:rsid w:val="2BD8747E"/>
    <w:rsid w:val="2C111F22"/>
    <w:rsid w:val="2C6C5E4E"/>
    <w:rsid w:val="2C700021"/>
    <w:rsid w:val="2C73629D"/>
    <w:rsid w:val="2C8155E4"/>
    <w:rsid w:val="2C850A84"/>
    <w:rsid w:val="2C8A1E0F"/>
    <w:rsid w:val="2CEF7B9A"/>
    <w:rsid w:val="2CF44814"/>
    <w:rsid w:val="2D0A1E58"/>
    <w:rsid w:val="2DBC1FE5"/>
    <w:rsid w:val="2DC03569"/>
    <w:rsid w:val="2E4E56E9"/>
    <w:rsid w:val="2E4E69D7"/>
    <w:rsid w:val="2EBD596E"/>
    <w:rsid w:val="2EF51B0F"/>
    <w:rsid w:val="2EF67071"/>
    <w:rsid w:val="2F875A64"/>
    <w:rsid w:val="2F9C1FFF"/>
    <w:rsid w:val="2FAF55C4"/>
    <w:rsid w:val="2FC15E06"/>
    <w:rsid w:val="2FC177BC"/>
    <w:rsid w:val="2FDF5CBF"/>
    <w:rsid w:val="301F2080"/>
    <w:rsid w:val="302B7996"/>
    <w:rsid w:val="3030589F"/>
    <w:rsid w:val="303A64AB"/>
    <w:rsid w:val="3069721B"/>
    <w:rsid w:val="30717894"/>
    <w:rsid w:val="30734178"/>
    <w:rsid w:val="30920956"/>
    <w:rsid w:val="31323FD4"/>
    <w:rsid w:val="3193253D"/>
    <w:rsid w:val="31FB0EFF"/>
    <w:rsid w:val="321B41C1"/>
    <w:rsid w:val="32382C3B"/>
    <w:rsid w:val="329B1473"/>
    <w:rsid w:val="32CB2F84"/>
    <w:rsid w:val="32EA66C5"/>
    <w:rsid w:val="32FB44E6"/>
    <w:rsid w:val="33662EE8"/>
    <w:rsid w:val="33D61A40"/>
    <w:rsid w:val="344856F0"/>
    <w:rsid w:val="34667DC9"/>
    <w:rsid w:val="34785827"/>
    <w:rsid w:val="34990E01"/>
    <w:rsid w:val="34A4396E"/>
    <w:rsid w:val="34AA3C83"/>
    <w:rsid w:val="34C20AFB"/>
    <w:rsid w:val="35376861"/>
    <w:rsid w:val="35930508"/>
    <w:rsid w:val="359F2480"/>
    <w:rsid w:val="36BE3356"/>
    <w:rsid w:val="37AB0021"/>
    <w:rsid w:val="37D418BB"/>
    <w:rsid w:val="37D54C2D"/>
    <w:rsid w:val="37DB789A"/>
    <w:rsid w:val="381017BD"/>
    <w:rsid w:val="38A11DAF"/>
    <w:rsid w:val="38CF1084"/>
    <w:rsid w:val="38D102B6"/>
    <w:rsid w:val="38EB44F2"/>
    <w:rsid w:val="39BD1531"/>
    <w:rsid w:val="39DB72E1"/>
    <w:rsid w:val="39FF5659"/>
    <w:rsid w:val="3A000098"/>
    <w:rsid w:val="3A3F021D"/>
    <w:rsid w:val="3A8D2661"/>
    <w:rsid w:val="3A9C0304"/>
    <w:rsid w:val="3ABB77FA"/>
    <w:rsid w:val="3ACF20A4"/>
    <w:rsid w:val="3AFC7616"/>
    <w:rsid w:val="3B1614D6"/>
    <w:rsid w:val="3B4F6579"/>
    <w:rsid w:val="3B7C20D5"/>
    <w:rsid w:val="3B960633"/>
    <w:rsid w:val="3BD35091"/>
    <w:rsid w:val="3C013F19"/>
    <w:rsid w:val="3C3E42F6"/>
    <w:rsid w:val="3C8668AC"/>
    <w:rsid w:val="3C9A2027"/>
    <w:rsid w:val="3CAC6B15"/>
    <w:rsid w:val="3D1D7491"/>
    <w:rsid w:val="3D512B87"/>
    <w:rsid w:val="3DC662B1"/>
    <w:rsid w:val="3E8946C1"/>
    <w:rsid w:val="3E995250"/>
    <w:rsid w:val="3EAE5DB1"/>
    <w:rsid w:val="3F4A7F9F"/>
    <w:rsid w:val="3F6A6873"/>
    <w:rsid w:val="3F8A4EE5"/>
    <w:rsid w:val="3FED5CF2"/>
    <w:rsid w:val="400015D4"/>
    <w:rsid w:val="40251BCC"/>
    <w:rsid w:val="40771A8F"/>
    <w:rsid w:val="40A61FEE"/>
    <w:rsid w:val="40AF381E"/>
    <w:rsid w:val="40D7697C"/>
    <w:rsid w:val="414909EF"/>
    <w:rsid w:val="414B0FB7"/>
    <w:rsid w:val="418B7482"/>
    <w:rsid w:val="41B33272"/>
    <w:rsid w:val="41C474EB"/>
    <w:rsid w:val="42111A79"/>
    <w:rsid w:val="426362F5"/>
    <w:rsid w:val="42C753AE"/>
    <w:rsid w:val="43041BAA"/>
    <w:rsid w:val="43520308"/>
    <w:rsid w:val="43564AAD"/>
    <w:rsid w:val="43920EAD"/>
    <w:rsid w:val="43D70F9B"/>
    <w:rsid w:val="447A1597"/>
    <w:rsid w:val="44B76370"/>
    <w:rsid w:val="451814E0"/>
    <w:rsid w:val="4522721E"/>
    <w:rsid w:val="45805966"/>
    <w:rsid w:val="4589315E"/>
    <w:rsid w:val="45CB2EBB"/>
    <w:rsid w:val="460E7CE0"/>
    <w:rsid w:val="462C08E9"/>
    <w:rsid w:val="46ED5220"/>
    <w:rsid w:val="46FF4CB6"/>
    <w:rsid w:val="47A967BB"/>
    <w:rsid w:val="481A5614"/>
    <w:rsid w:val="483C16A7"/>
    <w:rsid w:val="48881252"/>
    <w:rsid w:val="48AC1820"/>
    <w:rsid w:val="48B153A7"/>
    <w:rsid w:val="49B44AEF"/>
    <w:rsid w:val="49EC6F5C"/>
    <w:rsid w:val="4A3363E2"/>
    <w:rsid w:val="4A651D52"/>
    <w:rsid w:val="4ABC39BC"/>
    <w:rsid w:val="4AC44D11"/>
    <w:rsid w:val="4B061D35"/>
    <w:rsid w:val="4B7C549A"/>
    <w:rsid w:val="4BD73714"/>
    <w:rsid w:val="4BE32588"/>
    <w:rsid w:val="4C0C6C73"/>
    <w:rsid w:val="4C441282"/>
    <w:rsid w:val="4C572255"/>
    <w:rsid w:val="4C591E8D"/>
    <w:rsid w:val="4CE26546"/>
    <w:rsid w:val="4D5715B7"/>
    <w:rsid w:val="4D8560C1"/>
    <w:rsid w:val="4D9C1519"/>
    <w:rsid w:val="4DC81865"/>
    <w:rsid w:val="4DDE55E1"/>
    <w:rsid w:val="4E052DDD"/>
    <w:rsid w:val="4E3F71CB"/>
    <w:rsid w:val="4E673357"/>
    <w:rsid w:val="4E6743FB"/>
    <w:rsid w:val="4EBA7F27"/>
    <w:rsid w:val="4F4444C7"/>
    <w:rsid w:val="4F524E11"/>
    <w:rsid w:val="4F702A2E"/>
    <w:rsid w:val="504208A7"/>
    <w:rsid w:val="506E25FE"/>
    <w:rsid w:val="50C86A0E"/>
    <w:rsid w:val="50F27AEA"/>
    <w:rsid w:val="51122202"/>
    <w:rsid w:val="51227BB1"/>
    <w:rsid w:val="5180077C"/>
    <w:rsid w:val="518F1163"/>
    <w:rsid w:val="51A97479"/>
    <w:rsid w:val="51D76D00"/>
    <w:rsid w:val="51DD15EB"/>
    <w:rsid w:val="51E64241"/>
    <w:rsid w:val="52305F99"/>
    <w:rsid w:val="5253142A"/>
    <w:rsid w:val="52594C60"/>
    <w:rsid w:val="528E7501"/>
    <w:rsid w:val="52B40ADA"/>
    <w:rsid w:val="52B524BC"/>
    <w:rsid w:val="52BD379A"/>
    <w:rsid w:val="53614DA3"/>
    <w:rsid w:val="53D44504"/>
    <w:rsid w:val="54694E50"/>
    <w:rsid w:val="54723C7D"/>
    <w:rsid w:val="552A2FEC"/>
    <w:rsid w:val="557A1DE9"/>
    <w:rsid w:val="55EF73FB"/>
    <w:rsid w:val="561072C2"/>
    <w:rsid w:val="56293AB9"/>
    <w:rsid w:val="56336066"/>
    <w:rsid w:val="564930DB"/>
    <w:rsid w:val="56505FFC"/>
    <w:rsid w:val="568D54E4"/>
    <w:rsid w:val="56AF7C9A"/>
    <w:rsid w:val="56B15C0A"/>
    <w:rsid w:val="56EE0880"/>
    <w:rsid w:val="57226DAC"/>
    <w:rsid w:val="57474424"/>
    <w:rsid w:val="57736C9E"/>
    <w:rsid w:val="579C3874"/>
    <w:rsid w:val="57CD7C81"/>
    <w:rsid w:val="57E27573"/>
    <w:rsid w:val="57EB40E6"/>
    <w:rsid w:val="57F83B12"/>
    <w:rsid w:val="57F8503E"/>
    <w:rsid w:val="585A137A"/>
    <w:rsid w:val="589F16AE"/>
    <w:rsid w:val="58B05E8D"/>
    <w:rsid w:val="58E704F0"/>
    <w:rsid w:val="592E68C6"/>
    <w:rsid w:val="59986D93"/>
    <w:rsid w:val="59BD686C"/>
    <w:rsid w:val="5A026F29"/>
    <w:rsid w:val="5A6D3387"/>
    <w:rsid w:val="5B837A67"/>
    <w:rsid w:val="5B993D9B"/>
    <w:rsid w:val="5BDA336D"/>
    <w:rsid w:val="5BE1467F"/>
    <w:rsid w:val="5C46706E"/>
    <w:rsid w:val="5C625AEE"/>
    <w:rsid w:val="5C6F482A"/>
    <w:rsid w:val="5C9264B4"/>
    <w:rsid w:val="5D06074E"/>
    <w:rsid w:val="5D82783A"/>
    <w:rsid w:val="5DE37216"/>
    <w:rsid w:val="5E130B96"/>
    <w:rsid w:val="5E347ACE"/>
    <w:rsid w:val="5E7443B3"/>
    <w:rsid w:val="5E7E57B2"/>
    <w:rsid w:val="5EB1746D"/>
    <w:rsid w:val="5ED119FB"/>
    <w:rsid w:val="5ED160E1"/>
    <w:rsid w:val="5F0211BD"/>
    <w:rsid w:val="5F53626B"/>
    <w:rsid w:val="5F9B4C7E"/>
    <w:rsid w:val="5FAB02BF"/>
    <w:rsid w:val="5FAD370F"/>
    <w:rsid w:val="602222B9"/>
    <w:rsid w:val="603800D5"/>
    <w:rsid w:val="603D4D08"/>
    <w:rsid w:val="606F0885"/>
    <w:rsid w:val="61275305"/>
    <w:rsid w:val="614319CB"/>
    <w:rsid w:val="61F104BE"/>
    <w:rsid w:val="62505F40"/>
    <w:rsid w:val="626B71F3"/>
    <w:rsid w:val="629B1FB2"/>
    <w:rsid w:val="62BF2630"/>
    <w:rsid w:val="630F30E7"/>
    <w:rsid w:val="63192C97"/>
    <w:rsid w:val="634438E6"/>
    <w:rsid w:val="634F62BF"/>
    <w:rsid w:val="63CF6CF2"/>
    <w:rsid w:val="64590B25"/>
    <w:rsid w:val="64591C4E"/>
    <w:rsid w:val="64DE71D5"/>
    <w:rsid w:val="650F1F20"/>
    <w:rsid w:val="65B4633E"/>
    <w:rsid w:val="65B95AF0"/>
    <w:rsid w:val="662D54BC"/>
    <w:rsid w:val="67326C17"/>
    <w:rsid w:val="67354F3E"/>
    <w:rsid w:val="679101B7"/>
    <w:rsid w:val="68070DF3"/>
    <w:rsid w:val="6807397E"/>
    <w:rsid w:val="68396093"/>
    <w:rsid w:val="68557AEA"/>
    <w:rsid w:val="68D10AE8"/>
    <w:rsid w:val="692E6E68"/>
    <w:rsid w:val="693B21AE"/>
    <w:rsid w:val="693D77D3"/>
    <w:rsid w:val="6957285C"/>
    <w:rsid w:val="69BE0524"/>
    <w:rsid w:val="69C137FD"/>
    <w:rsid w:val="69D642E8"/>
    <w:rsid w:val="69DC0A1E"/>
    <w:rsid w:val="6A3428C7"/>
    <w:rsid w:val="6A3D1675"/>
    <w:rsid w:val="6A4C1FB9"/>
    <w:rsid w:val="6A5A793D"/>
    <w:rsid w:val="6A8A5B41"/>
    <w:rsid w:val="6A946668"/>
    <w:rsid w:val="6B065996"/>
    <w:rsid w:val="6B3869B7"/>
    <w:rsid w:val="6B55598C"/>
    <w:rsid w:val="6B6C32CF"/>
    <w:rsid w:val="6BB11FDB"/>
    <w:rsid w:val="6C050783"/>
    <w:rsid w:val="6C6C0F45"/>
    <w:rsid w:val="6CAD7901"/>
    <w:rsid w:val="6CD738C1"/>
    <w:rsid w:val="6D4C25DE"/>
    <w:rsid w:val="6DAE7CA4"/>
    <w:rsid w:val="6DBB71C0"/>
    <w:rsid w:val="6E49306A"/>
    <w:rsid w:val="6EAC23FF"/>
    <w:rsid w:val="6EE206E6"/>
    <w:rsid w:val="6F140DCF"/>
    <w:rsid w:val="6F9F21CF"/>
    <w:rsid w:val="6FB003C9"/>
    <w:rsid w:val="6FF02A88"/>
    <w:rsid w:val="70256CE8"/>
    <w:rsid w:val="704C5C96"/>
    <w:rsid w:val="706C7426"/>
    <w:rsid w:val="70CB1A0E"/>
    <w:rsid w:val="71685334"/>
    <w:rsid w:val="716B4328"/>
    <w:rsid w:val="71CC36E3"/>
    <w:rsid w:val="71E03386"/>
    <w:rsid w:val="723C0D03"/>
    <w:rsid w:val="724879BC"/>
    <w:rsid w:val="725C2EB5"/>
    <w:rsid w:val="72604D77"/>
    <w:rsid w:val="726D225F"/>
    <w:rsid w:val="728D63FF"/>
    <w:rsid w:val="732256E2"/>
    <w:rsid w:val="734865F5"/>
    <w:rsid w:val="73724BE8"/>
    <w:rsid w:val="7485527A"/>
    <w:rsid w:val="74DF1491"/>
    <w:rsid w:val="74FD6955"/>
    <w:rsid w:val="750D79E1"/>
    <w:rsid w:val="7528620D"/>
    <w:rsid w:val="756E4C35"/>
    <w:rsid w:val="75D2721F"/>
    <w:rsid w:val="767B1B6D"/>
    <w:rsid w:val="76D84566"/>
    <w:rsid w:val="76DA7341"/>
    <w:rsid w:val="76E839BE"/>
    <w:rsid w:val="774E4B8A"/>
    <w:rsid w:val="77711241"/>
    <w:rsid w:val="77A800EB"/>
    <w:rsid w:val="77B15A8B"/>
    <w:rsid w:val="77BB1DF6"/>
    <w:rsid w:val="77BE2DF7"/>
    <w:rsid w:val="78236D3F"/>
    <w:rsid w:val="78384D70"/>
    <w:rsid w:val="78754CD1"/>
    <w:rsid w:val="79075EBE"/>
    <w:rsid w:val="79453AAB"/>
    <w:rsid w:val="798B37EC"/>
    <w:rsid w:val="799A7998"/>
    <w:rsid w:val="79A724CF"/>
    <w:rsid w:val="79D349CD"/>
    <w:rsid w:val="7A1E1517"/>
    <w:rsid w:val="7A383F63"/>
    <w:rsid w:val="7AB56353"/>
    <w:rsid w:val="7ACC40BE"/>
    <w:rsid w:val="7B4563A7"/>
    <w:rsid w:val="7B4A0289"/>
    <w:rsid w:val="7B733400"/>
    <w:rsid w:val="7B865C65"/>
    <w:rsid w:val="7B9714FD"/>
    <w:rsid w:val="7BC2716F"/>
    <w:rsid w:val="7CC63BD6"/>
    <w:rsid w:val="7D292400"/>
    <w:rsid w:val="7EFC7BA0"/>
    <w:rsid w:val="7F04120A"/>
    <w:rsid w:val="7FA77AF8"/>
    <w:rsid w:val="7FB5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1,3,4,5,6,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fi-FI" w:eastAsia="zh-CN" w:bidi="ar-SA"/>
    </w:rPr>
  </w:style>
  <w:style w:type="paragraph" w:styleId="4">
    <w:name w:val="heading 1"/>
    <w:basedOn w:val="1"/>
    <w:next w:val="1"/>
    <w:link w:val="264"/>
    <w:qFormat/>
    <w:uiPriority w:val="0"/>
    <w:pPr>
      <w:keepNext/>
      <w:snapToGrid w:val="0"/>
      <w:spacing w:line="360" w:lineRule="auto"/>
      <w:jc w:val="center"/>
      <w:outlineLvl w:val="0"/>
    </w:pPr>
    <w:rPr>
      <w:b/>
      <w:bCs/>
      <w:spacing w:val="-4"/>
    </w:rPr>
  </w:style>
  <w:style w:type="paragraph" w:styleId="5">
    <w:name w:val="heading 2"/>
    <w:basedOn w:val="1"/>
    <w:next w:val="1"/>
    <w:link w:val="154"/>
    <w:qFormat/>
    <w:uiPriority w:val="0"/>
    <w:pPr>
      <w:keepNext/>
      <w:keepLines/>
      <w:spacing w:before="260" w:after="260" w:line="413" w:lineRule="auto"/>
      <w:outlineLvl w:val="1"/>
    </w:pPr>
    <w:rPr>
      <w:rFonts w:ascii="Arial" w:hAnsi="Arial" w:eastAsia="黑体"/>
      <w:b/>
      <w:bCs/>
      <w:sz w:val="32"/>
      <w:szCs w:val="32"/>
      <w:lang w:val="en-U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tLeast"/>
      <w:outlineLvl w:val="4"/>
    </w:pPr>
    <w:rPr>
      <w:b/>
      <w:bCs/>
      <w:sz w:val="28"/>
      <w:szCs w:val="28"/>
    </w:rPr>
  </w:style>
  <w:style w:type="paragraph" w:styleId="9">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tLeast"/>
      <w:outlineLvl w:val="6"/>
    </w:pPr>
    <w:rPr>
      <w:b/>
      <w:bCs/>
      <w:sz w:val="24"/>
      <w:szCs w:val="24"/>
    </w:rPr>
  </w:style>
  <w:style w:type="paragraph" w:styleId="11">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tabs>
        <w:tab w:val="left" w:pos="2040"/>
      </w:tabs>
      <w:spacing w:line="500" w:lineRule="atLeast"/>
      <w:ind w:left="2040" w:hanging="360"/>
    </w:pPr>
    <w:rPr>
      <w:sz w:val="24"/>
      <w:szCs w:val="24"/>
    </w:rPr>
  </w:style>
  <w:style w:type="paragraph" w:styleId="13">
    <w:name w:val="List 3"/>
    <w:basedOn w:val="1"/>
    <w:qFormat/>
    <w:uiPriority w:val="0"/>
    <w:pPr>
      <w:spacing w:line="500" w:lineRule="atLeast"/>
      <w:ind w:left="1260" w:hanging="420"/>
    </w:pPr>
    <w:rPr>
      <w:sz w:val="24"/>
      <w:szCs w:val="24"/>
    </w:rPr>
  </w:style>
  <w:style w:type="paragraph" w:styleId="14">
    <w:name w:val="toc 7"/>
    <w:basedOn w:val="1"/>
    <w:next w:val="1"/>
    <w:unhideWhenUsed/>
    <w:qFormat/>
    <w:uiPriority w:val="39"/>
    <w:pPr>
      <w:ind w:left="1260"/>
      <w:jc w:val="left"/>
    </w:pPr>
    <w:rPr>
      <w:rFonts w:ascii="Calibri" w:hAnsi="Calibri"/>
      <w:sz w:val="18"/>
      <w:szCs w:val="18"/>
    </w:rPr>
  </w:style>
  <w:style w:type="paragraph" w:styleId="15">
    <w:name w:val="List Number 2"/>
    <w:basedOn w:val="1"/>
    <w:qFormat/>
    <w:uiPriority w:val="0"/>
    <w:pPr>
      <w:tabs>
        <w:tab w:val="left" w:pos="780"/>
      </w:tabs>
      <w:spacing w:line="500" w:lineRule="atLeast"/>
      <w:ind w:left="780" w:hanging="360"/>
    </w:pPr>
    <w:rPr>
      <w:sz w:val="24"/>
      <w:szCs w:val="24"/>
    </w:rPr>
  </w:style>
  <w:style w:type="paragraph" w:styleId="16">
    <w:name w:val="Note Heading"/>
    <w:basedOn w:val="1"/>
    <w:next w:val="1"/>
    <w:qFormat/>
    <w:uiPriority w:val="0"/>
    <w:pPr>
      <w:spacing w:line="500" w:lineRule="atLeast"/>
      <w:jc w:val="center"/>
    </w:pPr>
    <w:rPr>
      <w:sz w:val="24"/>
      <w:szCs w:val="24"/>
    </w:rPr>
  </w:style>
  <w:style w:type="paragraph" w:styleId="17">
    <w:name w:val="List Bullet 4"/>
    <w:basedOn w:val="1"/>
    <w:qFormat/>
    <w:uiPriority w:val="0"/>
    <w:pPr>
      <w:tabs>
        <w:tab w:val="left" w:pos="1620"/>
      </w:tabs>
      <w:spacing w:line="500" w:lineRule="atLeast"/>
      <w:ind w:left="1620" w:hanging="360"/>
    </w:pPr>
    <w:rPr>
      <w:sz w:val="24"/>
      <w:szCs w:val="24"/>
    </w:rPr>
  </w:style>
  <w:style w:type="paragraph" w:styleId="18">
    <w:name w:val="E-mail Signature"/>
    <w:basedOn w:val="1"/>
    <w:qFormat/>
    <w:uiPriority w:val="0"/>
    <w:pPr>
      <w:spacing w:line="500" w:lineRule="atLeast"/>
    </w:pPr>
    <w:rPr>
      <w:sz w:val="24"/>
      <w:szCs w:val="24"/>
    </w:rPr>
  </w:style>
  <w:style w:type="paragraph" w:styleId="19">
    <w:name w:val="List Number"/>
    <w:basedOn w:val="1"/>
    <w:qFormat/>
    <w:uiPriority w:val="0"/>
    <w:pPr>
      <w:tabs>
        <w:tab w:val="left" w:pos="360"/>
      </w:tabs>
      <w:spacing w:line="500" w:lineRule="atLeast"/>
      <w:ind w:left="360" w:hanging="360"/>
    </w:pPr>
    <w:rPr>
      <w:sz w:val="24"/>
      <w:szCs w:val="24"/>
    </w:rPr>
  </w:style>
  <w:style w:type="paragraph" w:styleId="20">
    <w:name w:val="Normal Indent"/>
    <w:basedOn w:val="1"/>
    <w:link w:val="137"/>
    <w:qFormat/>
    <w:uiPriority w:val="0"/>
    <w:pPr>
      <w:spacing w:line="200" w:lineRule="atLeast"/>
      <w:ind w:firstLine="420"/>
    </w:pPr>
    <w:rPr>
      <w:lang w:val="en-US"/>
    </w:rPr>
  </w:style>
  <w:style w:type="paragraph" w:styleId="21">
    <w:name w:val="caption"/>
    <w:basedOn w:val="1"/>
    <w:next w:val="1"/>
    <w:qFormat/>
    <w:uiPriority w:val="0"/>
    <w:pPr>
      <w:spacing w:line="500" w:lineRule="atLeast"/>
    </w:pPr>
    <w:rPr>
      <w:rFonts w:ascii="Arial" w:hAnsi="Arial" w:eastAsia="黑体" w:cs="Arial"/>
      <w:sz w:val="20"/>
    </w:rPr>
  </w:style>
  <w:style w:type="paragraph" w:styleId="22">
    <w:name w:val="List Bullet"/>
    <w:basedOn w:val="1"/>
    <w:qFormat/>
    <w:uiPriority w:val="0"/>
    <w:pPr>
      <w:tabs>
        <w:tab w:val="left" w:pos="360"/>
      </w:tabs>
      <w:spacing w:line="500" w:lineRule="atLeast"/>
      <w:ind w:left="360" w:hanging="360"/>
    </w:pPr>
    <w:rPr>
      <w:sz w:val="24"/>
      <w:szCs w:val="24"/>
    </w:rPr>
  </w:style>
  <w:style w:type="paragraph" w:styleId="23">
    <w:name w:val="envelope address"/>
    <w:basedOn w:val="1"/>
    <w:qFormat/>
    <w:uiPriority w:val="0"/>
    <w:pPr>
      <w:snapToGrid w:val="0"/>
      <w:spacing w:line="500" w:lineRule="atLeast"/>
      <w:ind w:left="2880"/>
    </w:pPr>
    <w:rPr>
      <w:rFonts w:ascii="Arial" w:hAnsi="Arial" w:cs="Arial"/>
      <w:sz w:val="24"/>
      <w:szCs w:val="24"/>
    </w:rPr>
  </w:style>
  <w:style w:type="paragraph" w:styleId="24">
    <w:name w:val="Document Map"/>
    <w:basedOn w:val="1"/>
    <w:qFormat/>
    <w:uiPriority w:val="0"/>
    <w:pPr>
      <w:shd w:val="clear" w:color="auto" w:fill="000080"/>
    </w:pPr>
  </w:style>
  <w:style w:type="paragraph" w:styleId="25">
    <w:name w:val="toa heading"/>
    <w:basedOn w:val="1"/>
    <w:next w:val="1"/>
    <w:unhideWhenUsed/>
    <w:qFormat/>
    <w:uiPriority w:val="0"/>
    <w:pPr>
      <w:spacing w:before="120" w:line="360" w:lineRule="auto"/>
    </w:pPr>
    <w:rPr>
      <w:rFonts w:ascii="Arial" w:hAnsi="Arial" w:cs="Arial"/>
      <w:sz w:val="24"/>
      <w:szCs w:val="24"/>
    </w:rPr>
  </w:style>
  <w:style w:type="paragraph" w:styleId="26">
    <w:name w:val="annotation text"/>
    <w:basedOn w:val="1"/>
    <w:link w:val="122"/>
    <w:qFormat/>
    <w:uiPriority w:val="0"/>
    <w:pPr>
      <w:spacing w:line="500" w:lineRule="atLeast"/>
      <w:jc w:val="left"/>
    </w:pPr>
    <w:rPr>
      <w:kern w:val="0"/>
      <w:sz w:val="24"/>
      <w:szCs w:val="24"/>
    </w:rPr>
  </w:style>
  <w:style w:type="paragraph" w:styleId="27">
    <w:name w:val="Salutation"/>
    <w:basedOn w:val="1"/>
    <w:next w:val="1"/>
    <w:qFormat/>
    <w:uiPriority w:val="0"/>
    <w:pPr>
      <w:spacing w:line="500" w:lineRule="atLeast"/>
    </w:pPr>
    <w:rPr>
      <w:sz w:val="24"/>
      <w:szCs w:val="24"/>
    </w:rPr>
  </w:style>
  <w:style w:type="paragraph" w:styleId="28">
    <w:name w:val="Body Text 3"/>
    <w:basedOn w:val="1"/>
    <w:qFormat/>
    <w:uiPriority w:val="0"/>
    <w:pPr>
      <w:spacing w:after="120" w:line="500" w:lineRule="atLeast"/>
    </w:pPr>
    <w:rPr>
      <w:sz w:val="16"/>
      <w:szCs w:val="16"/>
    </w:rPr>
  </w:style>
  <w:style w:type="paragraph" w:styleId="29">
    <w:name w:val="Closing"/>
    <w:basedOn w:val="1"/>
    <w:qFormat/>
    <w:uiPriority w:val="0"/>
    <w:pPr>
      <w:spacing w:line="500" w:lineRule="atLeast"/>
      <w:ind w:left="4320"/>
    </w:pPr>
    <w:rPr>
      <w:sz w:val="24"/>
      <w:szCs w:val="24"/>
    </w:rPr>
  </w:style>
  <w:style w:type="paragraph" w:styleId="30">
    <w:name w:val="List Bullet 3"/>
    <w:basedOn w:val="1"/>
    <w:qFormat/>
    <w:uiPriority w:val="0"/>
    <w:pPr>
      <w:tabs>
        <w:tab w:val="left" w:pos="1200"/>
      </w:tabs>
      <w:spacing w:line="500" w:lineRule="atLeast"/>
      <w:ind w:left="1200" w:hanging="360"/>
    </w:pPr>
    <w:rPr>
      <w:sz w:val="24"/>
      <w:szCs w:val="24"/>
    </w:rPr>
  </w:style>
  <w:style w:type="paragraph" w:styleId="31">
    <w:name w:val="Body Text Indent"/>
    <w:basedOn w:val="1"/>
    <w:link w:val="121"/>
    <w:qFormat/>
    <w:uiPriority w:val="0"/>
    <w:pPr>
      <w:spacing w:after="120"/>
      <w:ind w:left="420" w:leftChars="200"/>
    </w:pPr>
    <w:rPr>
      <w:lang w:val="en-US"/>
    </w:rPr>
  </w:style>
  <w:style w:type="paragraph" w:styleId="32">
    <w:name w:val="List Number 3"/>
    <w:basedOn w:val="1"/>
    <w:qFormat/>
    <w:uiPriority w:val="0"/>
    <w:pPr>
      <w:tabs>
        <w:tab w:val="left" w:pos="1200"/>
      </w:tabs>
      <w:spacing w:line="500" w:lineRule="atLeast"/>
      <w:ind w:left="1200" w:hanging="360"/>
    </w:pPr>
    <w:rPr>
      <w:sz w:val="24"/>
      <w:szCs w:val="24"/>
    </w:rPr>
  </w:style>
  <w:style w:type="paragraph" w:styleId="33">
    <w:name w:val="List 2"/>
    <w:basedOn w:val="1"/>
    <w:qFormat/>
    <w:uiPriority w:val="0"/>
    <w:pPr>
      <w:spacing w:line="500" w:lineRule="atLeast"/>
      <w:ind w:left="840" w:hanging="420"/>
    </w:pPr>
    <w:rPr>
      <w:sz w:val="24"/>
      <w:szCs w:val="24"/>
    </w:rPr>
  </w:style>
  <w:style w:type="paragraph" w:styleId="34">
    <w:name w:val="List Continue"/>
    <w:basedOn w:val="1"/>
    <w:qFormat/>
    <w:uiPriority w:val="0"/>
    <w:pPr>
      <w:spacing w:after="120" w:line="500" w:lineRule="atLeast"/>
      <w:ind w:left="420"/>
    </w:pPr>
    <w:rPr>
      <w:sz w:val="24"/>
      <w:szCs w:val="24"/>
    </w:rPr>
  </w:style>
  <w:style w:type="paragraph" w:styleId="35">
    <w:name w:val="Block Text"/>
    <w:basedOn w:val="1"/>
    <w:qFormat/>
    <w:uiPriority w:val="0"/>
    <w:pPr>
      <w:spacing w:after="120" w:line="500" w:lineRule="atLeast"/>
      <w:ind w:left="1440" w:right="1440"/>
    </w:pPr>
    <w:rPr>
      <w:sz w:val="24"/>
      <w:szCs w:val="24"/>
    </w:rPr>
  </w:style>
  <w:style w:type="paragraph" w:styleId="36">
    <w:name w:val="List Bullet 2"/>
    <w:basedOn w:val="1"/>
    <w:qFormat/>
    <w:uiPriority w:val="0"/>
    <w:pPr>
      <w:tabs>
        <w:tab w:val="left" w:pos="780"/>
      </w:tabs>
      <w:spacing w:line="500" w:lineRule="atLeast"/>
      <w:ind w:left="780" w:hanging="360"/>
    </w:pPr>
    <w:rPr>
      <w:sz w:val="24"/>
      <w:szCs w:val="24"/>
    </w:rPr>
  </w:style>
  <w:style w:type="paragraph" w:styleId="37">
    <w:name w:val="HTML Address"/>
    <w:basedOn w:val="1"/>
    <w:qFormat/>
    <w:uiPriority w:val="0"/>
    <w:pPr>
      <w:spacing w:line="500" w:lineRule="atLeast"/>
    </w:pPr>
    <w:rPr>
      <w:i/>
      <w:iCs/>
      <w:sz w:val="24"/>
      <w:szCs w:val="24"/>
    </w:rPr>
  </w:style>
  <w:style w:type="paragraph" w:styleId="38">
    <w:name w:val="toc 5"/>
    <w:basedOn w:val="1"/>
    <w:next w:val="1"/>
    <w:unhideWhenUsed/>
    <w:qFormat/>
    <w:uiPriority w:val="39"/>
    <w:pPr>
      <w:ind w:left="840"/>
      <w:jc w:val="left"/>
    </w:pPr>
    <w:rPr>
      <w:rFonts w:ascii="Calibri" w:hAnsi="Calibri"/>
      <w:sz w:val="18"/>
      <w:szCs w:val="18"/>
    </w:rPr>
  </w:style>
  <w:style w:type="paragraph" w:styleId="39">
    <w:name w:val="toc 3"/>
    <w:basedOn w:val="1"/>
    <w:next w:val="1"/>
    <w:unhideWhenUsed/>
    <w:qFormat/>
    <w:uiPriority w:val="39"/>
    <w:pPr>
      <w:ind w:left="420"/>
      <w:jc w:val="left"/>
    </w:pPr>
    <w:rPr>
      <w:rFonts w:ascii="Calibri" w:hAnsi="Calibri"/>
      <w:i/>
      <w:iCs/>
      <w:sz w:val="20"/>
    </w:rPr>
  </w:style>
  <w:style w:type="paragraph" w:styleId="40">
    <w:name w:val="Plain Text"/>
    <w:basedOn w:val="1"/>
    <w:link w:val="104"/>
    <w:qFormat/>
    <w:uiPriority w:val="0"/>
    <w:rPr>
      <w:rFonts w:ascii="宋体" w:hAnsi="Courier New"/>
      <w:lang w:val="en-US"/>
    </w:rPr>
  </w:style>
  <w:style w:type="paragraph" w:styleId="41">
    <w:name w:val="List Number 4"/>
    <w:basedOn w:val="1"/>
    <w:qFormat/>
    <w:uiPriority w:val="0"/>
    <w:pPr>
      <w:tabs>
        <w:tab w:val="left" w:pos="1620"/>
      </w:tabs>
      <w:spacing w:line="500" w:lineRule="atLeast"/>
      <w:ind w:left="1620" w:hanging="360"/>
    </w:pPr>
    <w:rPr>
      <w:sz w:val="24"/>
      <w:szCs w:val="24"/>
    </w:rPr>
  </w:style>
  <w:style w:type="paragraph" w:styleId="42">
    <w:name w:val="toc 8"/>
    <w:basedOn w:val="1"/>
    <w:next w:val="1"/>
    <w:unhideWhenUsed/>
    <w:qFormat/>
    <w:uiPriority w:val="39"/>
    <w:pPr>
      <w:ind w:left="1470"/>
      <w:jc w:val="left"/>
    </w:pPr>
    <w:rPr>
      <w:rFonts w:ascii="Calibri" w:hAnsi="Calibri"/>
      <w:sz w:val="18"/>
      <w:szCs w:val="18"/>
    </w:rPr>
  </w:style>
  <w:style w:type="paragraph" w:styleId="43">
    <w:name w:val="Date"/>
    <w:basedOn w:val="1"/>
    <w:next w:val="1"/>
    <w:qFormat/>
    <w:uiPriority w:val="0"/>
    <w:rPr>
      <w:rFonts w:ascii="Plotter" w:hAnsi="Plotter"/>
    </w:rPr>
  </w:style>
  <w:style w:type="paragraph" w:styleId="44">
    <w:name w:val="Body Text Indent 2"/>
    <w:basedOn w:val="1"/>
    <w:qFormat/>
    <w:uiPriority w:val="0"/>
    <w:pPr>
      <w:spacing w:after="120" w:line="480" w:lineRule="auto"/>
      <w:ind w:left="420" w:leftChars="200"/>
    </w:pPr>
  </w:style>
  <w:style w:type="paragraph" w:styleId="45">
    <w:name w:val="List Continue 5"/>
    <w:basedOn w:val="1"/>
    <w:qFormat/>
    <w:uiPriority w:val="0"/>
    <w:pPr>
      <w:spacing w:after="120" w:line="500" w:lineRule="atLeast"/>
      <w:ind w:left="2100"/>
    </w:pPr>
    <w:rPr>
      <w:sz w:val="24"/>
      <w:szCs w:val="24"/>
    </w:rPr>
  </w:style>
  <w:style w:type="paragraph" w:styleId="46">
    <w:name w:val="Balloon Text"/>
    <w:basedOn w:val="1"/>
    <w:qFormat/>
    <w:uiPriority w:val="0"/>
    <w:pPr>
      <w:spacing w:line="500" w:lineRule="atLeast"/>
    </w:pPr>
    <w:rPr>
      <w:sz w:val="18"/>
      <w:szCs w:val="18"/>
    </w:rPr>
  </w:style>
  <w:style w:type="paragraph" w:styleId="47">
    <w:name w:val="footer"/>
    <w:basedOn w:val="1"/>
    <w:qFormat/>
    <w:uiPriority w:val="0"/>
    <w:pPr>
      <w:tabs>
        <w:tab w:val="center" w:pos="4153"/>
        <w:tab w:val="right" w:pos="8306"/>
      </w:tabs>
      <w:snapToGrid w:val="0"/>
      <w:jc w:val="left"/>
    </w:pPr>
    <w:rPr>
      <w:sz w:val="18"/>
      <w:szCs w:val="18"/>
    </w:rPr>
  </w:style>
  <w:style w:type="paragraph" w:styleId="48">
    <w:name w:val="envelope return"/>
    <w:basedOn w:val="1"/>
    <w:qFormat/>
    <w:uiPriority w:val="0"/>
    <w:pPr>
      <w:snapToGrid w:val="0"/>
      <w:spacing w:line="500" w:lineRule="atLeast"/>
    </w:pPr>
    <w:rPr>
      <w:rFonts w:ascii="Arial" w:hAnsi="Arial" w:cs="Arial"/>
      <w:sz w:val="24"/>
      <w:szCs w:val="24"/>
    </w:rPr>
  </w:style>
  <w:style w:type="paragraph" w:styleId="49">
    <w:name w:val="header"/>
    <w:basedOn w:val="1"/>
    <w:link w:val="157"/>
    <w:qFormat/>
    <w:uiPriority w:val="0"/>
    <w:pPr>
      <w:pBdr>
        <w:bottom w:val="single" w:color="auto" w:sz="6" w:space="1"/>
      </w:pBdr>
      <w:tabs>
        <w:tab w:val="center" w:pos="4153"/>
        <w:tab w:val="right" w:pos="8306"/>
      </w:tabs>
      <w:snapToGrid w:val="0"/>
      <w:jc w:val="center"/>
    </w:pPr>
    <w:rPr>
      <w:sz w:val="18"/>
      <w:szCs w:val="18"/>
      <w:lang w:val="en-US"/>
    </w:rPr>
  </w:style>
  <w:style w:type="paragraph" w:styleId="50">
    <w:name w:val="Signature"/>
    <w:basedOn w:val="1"/>
    <w:qFormat/>
    <w:uiPriority w:val="0"/>
    <w:pPr>
      <w:spacing w:line="500" w:lineRule="atLeast"/>
      <w:ind w:left="4320"/>
    </w:pPr>
    <w:rPr>
      <w:sz w:val="24"/>
      <w:szCs w:val="24"/>
    </w:rPr>
  </w:style>
  <w:style w:type="paragraph" w:styleId="51">
    <w:name w:val="toc 1"/>
    <w:basedOn w:val="1"/>
    <w:next w:val="1"/>
    <w:link w:val="93"/>
    <w:qFormat/>
    <w:uiPriority w:val="39"/>
    <w:pPr>
      <w:spacing w:line="360" w:lineRule="auto"/>
    </w:pPr>
    <w:rPr>
      <w:bCs/>
      <w:caps/>
      <w:kern w:val="0"/>
      <w:sz w:val="28"/>
    </w:rPr>
  </w:style>
  <w:style w:type="paragraph" w:styleId="52">
    <w:name w:val="List Continue 4"/>
    <w:basedOn w:val="1"/>
    <w:qFormat/>
    <w:uiPriority w:val="0"/>
    <w:pPr>
      <w:spacing w:after="120" w:line="500" w:lineRule="atLeast"/>
      <w:ind w:left="1680"/>
    </w:pPr>
    <w:rPr>
      <w:sz w:val="24"/>
      <w:szCs w:val="24"/>
    </w:rPr>
  </w:style>
  <w:style w:type="paragraph" w:styleId="53">
    <w:name w:val="toc 4"/>
    <w:basedOn w:val="1"/>
    <w:next w:val="1"/>
    <w:unhideWhenUsed/>
    <w:qFormat/>
    <w:uiPriority w:val="39"/>
    <w:pPr>
      <w:ind w:left="630"/>
      <w:jc w:val="left"/>
    </w:pPr>
    <w:rPr>
      <w:rFonts w:ascii="Calibri" w:hAnsi="Calibri"/>
      <w:sz w:val="18"/>
      <w:szCs w:val="18"/>
    </w:rPr>
  </w:style>
  <w:style w:type="paragraph" w:styleId="5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55">
    <w:name w:val="List Number 5"/>
    <w:basedOn w:val="1"/>
    <w:qFormat/>
    <w:uiPriority w:val="0"/>
    <w:pPr>
      <w:tabs>
        <w:tab w:val="left" w:pos="2040"/>
      </w:tabs>
      <w:spacing w:line="500" w:lineRule="atLeast"/>
      <w:ind w:left="2040" w:hanging="360"/>
    </w:pPr>
    <w:rPr>
      <w:sz w:val="24"/>
      <w:szCs w:val="24"/>
    </w:rPr>
  </w:style>
  <w:style w:type="paragraph" w:styleId="56">
    <w:name w:val="List"/>
    <w:basedOn w:val="1"/>
    <w:link w:val="130"/>
    <w:qFormat/>
    <w:uiPriority w:val="0"/>
    <w:pPr>
      <w:widowControl/>
      <w:spacing w:line="360" w:lineRule="auto"/>
    </w:pPr>
    <w:rPr>
      <w:kern w:val="0"/>
      <w:sz w:val="24"/>
    </w:rPr>
  </w:style>
  <w:style w:type="paragraph" w:styleId="57">
    <w:name w:val="toc 6"/>
    <w:basedOn w:val="1"/>
    <w:next w:val="1"/>
    <w:unhideWhenUsed/>
    <w:qFormat/>
    <w:uiPriority w:val="39"/>
    <w:pPr>
      <w:ind w:left="1050"/>
      <w:jc w:val="left"/>
    </w:pPr>
    <w:rPr>
      <w:rFonts w:ascii="Calibri" w:hAnsi="Calibri"/>
      <w:sz w:val="18"/>
      <w:szCs w:val="18"/>
    </w:rPr>
  </w:style>
  <w:style w:type="paragraph" w:styleId="58">
    <w:name w:val="List 5"/>
    <w:basedOn w:val="1"/>
    <w:qFormat/>
    <w:uiPriority w:val="0"/>
    <w:pPr>
      <w:spacing w:line="500" w:lineRule="atLeast"/>
      <w:ind w:left="2100" w:hanging="420"/>
    </w:pPr>
    <w:rPr>
      <w:sz w:val="24"/>
      <w:szCs w:val="24"/>
    </w:rPr>
  </w:style>
  <w:style w:type="paragraph" w:styleId="59">
    <w:name w:val="Body Text Indent 3"/>
    <w:basedOn w:val="1"/>
    <w:qFormat/>
    <w:uiPriority w:val="0"/>
    <w:pPr>
      <w:spacing w:after="120" w:line="500" w:lineRule="atLeast"/>
      <w:ind w:left="420"/>
    </w:pPr>
    <w:rPr>
      <w:sz w:val="16"/>
      <w:szCs w:val="16"/>
    </w:rPr>
  </w:style>
  <w:style w:type="paragraph" w:styleId="60">
    <w:name w:val="table of figures"/>
    <w:basedOn w:val="1"/>
    <w:next w:val="1"/>
    <w:qFormat/>
    <w:uiPriority w:val="0"/>
    <w:pPr>
      <w:ind w:left="200" w:leftChars="200" w:hanging="200" w:hangingChars="200"/>
    </w:pPr>
  </w:style>
  <w:style w:type="paragraph" w:styleId="61">
    <w:name w:val="toc 2"/>
    <w:basedOn w:val="1"/>
    <w:next w:val="1"/>
    <w:qFormat/>
    <w:uiPriority w:val="39"/>
    <w:pPr>
      <w:ind w:left="210"/>
      <w:jc w:val="left"/>
    </w:pPr>
    <w:rPr>
      <w:rFonts w:ascii="Calibri" w:hAnsi="Calibri"/>
      <w:smallCaps/>
      <w:sz w:val="20"/>
    </w:rPr>
  </w:style>
  <w:style w:type="paragraph" w:styleId="62">
    <w:name w:val="toc 9"/>
    <w:basedOn w:val="1"/>
    <w:next w:val="1"/>
    <w:qFormat/>
    <w:uiPriority w:val="39"/>
    <w:pPr>
      <w:ind w:left="1680"/>
      <w:jc w:val="left"/>
    </w:pPr>
    <w:rPr>
      <w:rFonts w:ascii="Calibri" w:hAnsi="Calibri"/>
      <w:sz w:val="18"/>
      <w:szCs w:val="18"/>
    </w:rPr>
  </w:style>
  <w:style w:type="paragraph" w:styleId="63">
    <w:name w:val="Body Text 2"/>
    <w:basedOn w:val="1"/>
    <w:qFormat/>
    <w:uiPriority w:val="0"/>
    <w:pPr>
      <w:spacing w:after="120" w:line="480" w:lineRule="auto"/>
    </w:pPr>
    <w:rPr>
      <w:sz w:val="24"/>
      <w:szCs w:val="24"/>
    </w:rPr>
  </w:style>
  <w:style w:type="paragraph" w:styleId="64">
    <w:name w:val="List 4"/>
    <w:basedOn w:val="1"/>
    <w:qFormat/>
    <w:uiPriority w:val="0"/>
    <w:pPr>
      <w:spacing w:line="500" w:lineRule="atLeast"/>
      <w:ind w:left="1680" w:hanging="420"/>
    </w:pPr>
    <w:rPr>
      <w:sz w:val="24"/>
      <w:szCs w:val="24"/>
    </w:rPr>
  </w:style>
  <w:style w:type="paragraph" w:styleId="65">
    <w:name w:val="List Continue 2"/>
    <w:basedOn w:val="1"/>
    <w:qFormat/>
    <w:uiPriority w:val="0"/>
    <w:pPr>
      <w:spacing w:after="120" w:line="500" w:lineRule="atLeast"/>
      <w:ind w:left="840"/>
    </w:pPr>
    <w:rPr>
      <w:sz w:val="24"/>
      <w:szCs w:val="24"/>
    </w:r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00" w:lineRule="atLeast"/>
      <w:ind w:left="1080" w:hanging="1080"/>
    </w:pPr>
    <w:rPr>
      <w:rFonts w:ascii="Arial" w:hAnsi="Arial" w:cs="Arial"/>
      <w:sz w:val="24"/>
      <w:szCs w:val="24"/>
    </w:rPr>
  </w:style>
  <w:style w:type="paragraph" w:styleId="67">
    <w:name w:val="HTML Preformatted"/>
    <w:basedOn w:val="1"/>
    <w:qFormat/>
    <w:uiPriority w:val="0"/>
    <w:pPr>
      <w:spacing w:line="500" w:lineRule="atLeast"/>
    </w:pPr>
    <w:rPr>
      <w:rFonts w:ascii="Courier New" w:hAnsi="Courier New" w:cs="Courier New"/>
      <w:sz w:val="20"/>
    </w:rPr>
  </w:style>
  <w:style w:type="paragraph" w:styleId="68">
    <w:name w:val="Normal (Web)"/>
    <w:basedOn w:val="1"/>
    <w:qFormat/>
    <w:uiPriority w:val="99"/>
    <w:pPr>
      <w:widowControl/>
      <w:spacing w:before="100" w:beforeAutospacing="1" w:after="100" w:afterAutospacing="1"/>
      <w:jc w:val="left"/>
    </w:pPr>
    <w:rPr>
      <w:rFonts w:hAnsi="宋体"/>
      <w:color w:val="282828"/>
      <w:kern w:val="0"/>
      <w:sz w:val="18"/>
      <w:szCs w:val="18"/>
    </w:rPr>
  </w:style>
  <w:style w:type="paragraph" w:styleId="69">
    <w:name w:val="List Continue 3"/>
    <w:basedOn w:val="1"/>
    <w:qFormat/>
    <w:uiPriority w:val="0"/>
    <w:pPr>
      <w:spacing w:after="120" w:line="500" w:lineRule="atLeast"/>
      <w:ind w:left="1260"/>
    </w:pPr>
    <w:rPr>
      <w:sz w:val="24"/>
      <w:szCs w:val="24"/>
    </w:rPr>
  </w:style>
  <w:style w:type="paragraph" w:styleId="70">
    <w:name w:val="index 1"/>
    <w:basedOn w:val="1"/>
    <w:next w:val="1"/>
    <w:qFormat/>
    <w:uiPriority w:val="0"/>
    <w:pPr>
      <w:jc w:val="center"/>
    </w:pPr>
    <w:rPr>
      <w:rFonts w:eastAsia="FangSong_GB2312"/>
      <w:szCs w:val="21"/>
    </w:rPr>
  </w:style>
  <w:style w:type="paragraph" w:styleId="71">
    <w:name w:val="Title"/>
    <w:basedOn w:val="1"/>
    <w:qFormat/>
    <w:uiPriority w:val="0"/>
    <w:pPr>
      <w:spacing w:before="240" w:after="60" w:line="500" w:lineRule="atLeast"/>
      <w:jc w:val="center"/>
      <w:outlineLvl w:val="0"/>
    </w:pPr>
    <w:rPr>
      <w:rFonts w:ascii="Arial" w:hAnsi="Arial" w:cs="Arial"/>
      <w:b/>
      <w:bCs/>
      <w:sz w:val="32"/>
      <w:szCs w:val="32"/>
    </w:rPr>
  </w:style>
  <w:style w:type="paragraph" w:styleId="72">
    <w:name w:val="annotation subject"/>
    <w:basedOn w:val="26"/>
    <w:next w:val="26"/>
    <w:qFormat/>
    <w:uiPriority w:val="0"/>
    <w:rPr>
      <w:b/>
      <w:bCs/>
    </w:rPr>
  </w:style>
  <w:style w:type="paragraph" w:styleId="73">
    <w:name w:val="Body Text First Indent"/>
    <w:basedOn w:val="2"/>
    <w:qFormat/>
    <w:uiPriority w:val="0"/>
    <w:pPr>
      <w:ind w:firstLine="420" w:firstLineChars="100"/>
    </w:pPr>
  </w:style>
  <w:style w:type="paragraph" w:styleId="74">
    <w:name w:val="Body Text First Indent 2"/>
    <w:basedOn w:val="1"/>
    <w:next w:val="73"/>
    <w:link w:val="136"/>
    <w:qFormat/>
    <w:uiPriority w:val="0"/>
    <w:pPr>
      <w:spacing w:after="0" w:line="500" w:lineRule="atLeast"/>
      <w:ind w:left="0" w:leftChars="0" w:firstLine="200" w:firstLineChars="200"/>
    </w:pPr>
    <w:rPr>
      <w:sz w:val="24"/>
      <w:szCs w:val="24"/>
    </w:rPr>
  </w:style>
  <w:style w:type="table" w:styleId="76">
    <w:name w:val="Table Grid"/>
    <w:basedOn w:val="7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8">
    <w:name w:val="Strong"/>
    <w:qFormat/>
    <w:uiPriority w:val="0"/>
    <w:rPr>
      <w:b/>
      <w:bCs/>
    </w:rPr>
  </w:style>
  <w:style w:type="character" w:styleId="79">
    <w:name w:val="page number"/>
    <w:basedOn w:val="77"/>
    <w:qFormat/>
    <w:uiPriority w:val="0"/>
  </w:style>
  <w:style w:type="character" w:styleId="80">
    <w:name w:val="FollowedHyperlink"/>
    <w:basedOn w:val="77"/>
    <w:qFormat/>
    <w:uiPriority w:val="0"/>
    <w:rPr>
      <w:color w:val="333333"/>
      <w:u w:val="none"/>
    </w:rPr>
  </w:style>
  <w:style w:type="character" w:styleId="81">
    <w:name w:val="Emphasis"/>
    <w:qFormat/>
    <w:uiPriority w:val="0"/>
    <w:rPr>
      <w:i/>
      <w:iCs/>
    </w:rPr>
  </w:style>
  <w:style w:type="character" w:styleId="82">
    <w:name w:val="line number"/>
    <w:basedOn w:val="77"/>
    <w:qFormat/>
    <w:uiPriority w:val="0"/>
  </w:style>
  <w:style w:type="character" w:styleId="83">
    <w:name w:val="HTML Definition"/>
    <w:qFormat/>
    <w:uiPriority w:val="0"/>
    <w:rPr>
      <w:i/>
      <w:iCs/>
    </w:rPr>
  </w:style>
  <w:style w:type="character" w:styleId="84">
    <w:name w:val="HTML Typewriter"/>
    <w:qFormat/>
    <w:uiPriority w:val="0"/>
    <w:rPr>
      <w:rFonts w:ascii="Courier New" w:hAnsi="Courier New" w:cs="Courier New"/>
      <w:sz w:val="20"/>
      <w:szCs w:val="20"/>
    </w:rPr>
  </w:style>
  <w:style w:type="character" w:styleId="85">
    <w:name w:val="HTML Acronym"/>
    <w:basedOn w:val="77"/>
    <w:qFormat/>
    <w:uiPriority w:val="0"/>
  </w:style>
  <w:style w:type="character" w:styleId="86">
    <w:name w:val="HTML Variable"/>
    <w:qFormat/>
    <w:uiPriority w:val="0"/>
    <w:rPr>
      <w:i/>
      <w:iCs/>
    </w:rPr>
  </w:style>
  <w:style w:type="character" w:styleId="87">
    <w:name w:val="Hyperlink"/>
    <w:basedOn w:val="77"/>
    <w:qFormat/>
    <w:uiPriority w:val="99"/>
    <w:rPr>
      <w:color w:val="333333"/>
      <w:u w:val="none"/>
    </w:rPr>
  </w:style>
  <w:style w:type="character" w:styleId="88">
    <w:name w:val="HTML Code"/>
    <w:qFormat/>
    <w:uiPriority w:val="0"/>
    <w:rPr>
      <w:rFonts w:ascii="Courier New" w:hAnsi="Courier New" w:cs="Courier New"/>
      <w:sz w:val="20"/>
      <w:szCs w:val="20"/>
    </w:rPr>
  </w:style>
  <w:style w:type="character" w:styleId="89">
    <w:name w:val="annotation reference"/>
    <w:qFormat/>
    <w:uiPriority w:val="0"/>
    <w:rPr>
      <w:sz w:val="21"/>
      <w:szCs w:val="21"/>
    </w:rPr>
  </w:style>
  <w:style w:type="character" w:styleId="90">
    <w:name w:val="HTML Cite"/>
    <w:qFormat/>
    <w:uiPriority w:val="0"/>
    <w:rPr>
      <w:i/>
      <w:iCs/>
    </w:rPr>
  </w:style>
  <w:style w:type="character" w:styleId="91">
    <w:name w:val="HTML Keyboard"/>
    <w:qFormat/>
    <w:uiPriority w:val="0"/>
    <w:rPr>
      <w:rFonts w:ascii="Courier New" w:hAnsi="Courier New" w:cs="Courier New"/>
      <w:sz w:val="20"/>
      <w:szCs w:val="20"/>
    </w:rPr>
  </w:style>
  <w:style w:type="character" w:styleId="92">
    <w:name w:val="HTML Sample"/>
    <w:qFormat/>
    <w:uiPriority w:val="0"/>
    <w:rPr>
      <w:rFonts w:ascii="Courier New" w:hAnsi="Courier New" w:cs="Courier New"/>
    </w:rPr>
  </w:style>
  <w:style w:type="character" w:customStyle="1" w:styleId="93">
    <w:name w:val="目录 1 Char"/>
    <w:link w:val="51"/>
    <w:qFormat/>
    <w:uiPriority w:val="39"/>
    <w:rPr>
      <w:bCs/>
      <w:caps/>
      <w:sz w:val="28"/>
      <w:lang w:val="fi-FI"/>
    </w:rPr>
  </w:style>
  <w:style w:type="character" w:customStyle="1" w:styleId="94">
    <w:name w:val="表2-1 Char"/>
    <w:link w:val="95"/>
    <w:qFormat/>
    <w:uiPriority w:val="0"/>
    <w:rPr>
      <w:rFonts w:eastAsia="宋体"/>
      <w:b/>
      <w:kern w:val="2"/>
      <w:sz w:val="21"/>
      <w:szCs w:val="21"/>
      <w:lang w:val="fi-FI" w:eastAsia="zh-CN" w:bidi="ar-SA"/>
    </w:rPr>
  </w:style>
  <w:style w:type="paragraph" w:customStyle="1" w:styleId="95">
    <w:name w:val="表2-1"/>
    <w:basedOn w:val="1"/>
    <w:link w:val="94"/>
    <w:qFormat/>
    <w:uiPriority w:val="0"/>
    <w:pPr>
      <w:numPr>
        <w:ilvl w:val="0"/>
        <w:numId w:val="1"/>
      </w:numPr>
      <w:snapToGrid w:val="0"/>
      <w:ind w:left="0" w:firstLine="0"/>
      <w:jc w:val="center"/>
    </w:pPr>
    <w:rPr>
      <w:b/>
      <w:szCs w:val="21"/>
    </w:rPr>
  </w:style>
  <w:style w:type="character" w:customStyle="1" w:styleId="96">
    <w:name w:val="表格内标 Char"/>
    <w:link w:val="97"/>
    <w:qFormat/>
    <w:uiPriority w:val="0"/>
    <w:rPr>
      <w:rFonts w:eastAsia="黑体"/>
      <w:kern w:val="2"/>
      <w:lang w:val="en-US" w:eastAsia="zh-CN" w:bidi="ar-SA"/>
    </w:rPr>
  </w:style>
  <w:style w:type="paragraph" w:customStyle="1" w:styleId="97">
    <w:name w:val="表格内标"/>
    <w:basedOn w:val="1"/>
    <w:next w:val="1"/>
    <w:link w:val="96"/>
    <w:qFormat/>
    <w:uiPriority w:val="0"/>
    <w:pPr>
      <w:adjustRightInd w:val="0"/>
      <w:snapToGrid w:val="0"/>
      <w:jc w:val="center"/>
    </w:pPr>
    <w:rPr>
      <w:rFonts w:eastAsia="黑体"/>
      <w:sz w:val="20"/>
      <w:lang w:val="en-US"/>
    </w:rPr>
  </w:style>
  <w:style w:type="character" w:customStyle="1" w:styleId="98">
    <w:name w:val="正文 首行缩进:  2 字符 SL CON Char"/>
    <w:link w:val="99"/>
    <w:qFormat/>
    <w:uiPriority w:val="0"/>
    <w:rPr>
      <w:rFonts w:ascii="宋体" w:eastAsia="宋体" w:cs="宋体"/>
      <w:sz w:val="24"/>
      <w:szCs w:val="24"/>
      <w:lang w:val="en-US" w:eastAsia="zh-CN" w:bidi="ar-SA"/>
    </w:rPr>
  </w:style>
  <w:style w:type="paragraph" w:customStyle="1" w:styleId="99">
    <w:name w:val="正文 首行缩进:  2 字符 SL CON"/>
    <w:basedOn w:val="1"/>
    <w:link w:val="98"/>
    <w:qFormat/>
    <w:uiPriority w:val="0"/>
    <w:pPr>
      <w:widowControl/>
      <w:tabs>
        <w:tab w:val="left" w:pos="377"/>
      </w:tabs>
      <w:spacing w:line="360" w:lineRule="auto"/>
      <w:ind w:firstLine="200" w:firstLineChars="200"/>
    </w:pPr>
    <w:rPr>
      <w:rFonts w:ascii="宋体" w:cs="宋体"/>
      <w:kern w:val="0"/>
      <w:sz w:val="24"/>
      <w:szCs w:val="24"/>
      <w:lang w:val="en-US"/>
    </w:rPr>
  </w:style>
  <w:style w:type="character" w:customStyle="1" w:styleId="100">
    <w:name w:val="Plain Text Char4"/>
    <w:qFormat/>
    <w:uiPriority w:val="0"/>
    <w:rPr>
      <w:rFonts w:ascii="宋体" w:hAnsi="Courier New" w:eastAsia="宋体"/>
      <w:kern w:val="2"/>
      <w:sz w:val="21"/>
      <w:lang w:val="en-US" w:eastAsia="zh-CN" w:bidi="ar-SA"/>
    </w:rPr>
  </w:style>
  <w:style w:type="character" w:customStyle="1" w:styleId="101">
    <w:name w:val="表格文字2 Char"/>
    <w:link w:val="102"/>
    <w:qFormat/>
    <w:uiPriority w:val="0"/>
    <w:rPr>
      <w:rFonts w:ascii="宋体" w:eastAsia="宋体"/>
      <w:sz w:val="24"/>
      <w:lang w:val="en-US" w:eastAsia="zh-CN" w:bidi="ar-SA"/>
    </w:rPr>
  </w:style>
  <w:style w:type="paragraph" w:customStyle="1" w:styleId="102">
    <w:name w:val="表格文字2"/>
    <w:basedOn w:val="1"/>
    <w:link w:val="101"/>
    <w:qFormat/>
    <w:uiPriority w:val="0"/>
    <w:pPr>
      <w:adjustRightInd w:val="0"/>
      <w:spacing w:before="60"/>
      <w:jc w:val="center"/>
      <w:textAlignment w:val="baseline"/>
    </w:pPr>
    <w:rPr>
      <w:rFonts w:ascii="宋体"/>
      <w:kern w:val="0"/>
      <w:sz w:val="24"/>
      <w:lang w:val="en-US"/>
    </w:rPr>
  </w:style>
  <w:style w:type="character" w:customStyle="1" w:styleId="103">
    <w:name w:val="apple-style-span"/>
    <w:basedOn w:val="77"/>
    <w:qFormat/>
    <w:uiPriority w:val="0"/>
  </w:style>
  <w:style w:type="character" w:customStyle="1" w:styleId="104">
    <w:name w:val="纯文本 Char"/>
    <w:link w:val="40"/>
    <w:qFormat/>
    <w:uiPriority w:val="0"/>
    <w:rPr>
      <w:rFonts w:ascii="宋体" w:hAnsi="Courier New" w:eastAsia="宋体"/>
      <w:kern w:val="2"/>
      <w:sz w:val="21"/>
      <w:lang w:val="en-US" w:eastAsia="zh-CN" w:bidi="ar-SA"/>
    </w:rPr>
  </w:style>
  <w:style w:type="character" w:customStyle="1" w:styleId="105">
    <w:name w:val="headline-content2"/>
    <w:basedOn w:val="77"/>
    <w:qFormat/>
    <w:uiPriority w:val="0"/>
  </w:style>
  <w:style w:type="character" w:customStyle="1" w:styleId="106">
    <w:name w:val="表格 Char Char"/>
    <w:link w:val="107"/>
    <w:qFormat/>
    <w:uiPriority w:val="0"/>
    <w:rPr>
      <w:rFonts w:ascii="宋体" w:hAnsi="宋体"/>
      <w:snapToGrid w:val="0"/>
      <w:sz w:val="21"/>
      <w:lang w:val="en-US" w:eastAsia="zh-CN" w:bidi="ar-SA"/>
    </w:rPr>
  </w:style>
  <w:style w:type="paragraph" w:customStyle="1" w:styleId="107">
    <w:name w:val="表格"/>
    <w:link w:val="106"/>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108">
    <w:name w:val="正文（首行缩进两字） Char2"/>
    <w:qFormat/>
    <w:uiPriority w:val="0"/>
    <w:rPr>
      <w:rFonts w:eastAsia="宋体"/>
      <w:kern w:val="2"/>
      <w:sz w:val="21"/>
      <w:lang w:val="en-US" w:eastAsia="zh-CN" w:bidi="ar-SA"/>
    </w:rPr>
  </w:style>
  <w:style w:type="character" w:customStyle="1" w:styleId="109">
    <w:name w:val="Plain Text Char3"/>
    <w:qFormat/>
    <w:uiPriority w:val="0"/>
    <w:rPr>
      <w:rFonts w:ascii="宋体" w:hAnsi="Courier New" w:eastAsia="宋体"/>
      <w:kern w:val="2"/>
      <w:sz w:val="21"/>
      <w:lang w:val="en-US" w:eastAsia="zh-CN" w:bidi="ar-SA"/>
    </w:rPr>
  </w:style>
  <w:style w:type="character" w:customStyle="1" w:styleId="110">
    <w:name w:val="s"/>
    <w:basedOn w:val="77"/>
    <w:qFormat/>
    <w:uiPriority w:val="0"/>
  </w:style>
  <w:style w:type="character" w:styleId="111">
    <w:name w:val="Placeholder Text"/>
    <w:semiHidden/>
    <w:qFormat/>
    <w:uiPriority w:val="99"/>
    <w:rPr>
      <w:color w:val="808080"/>
    </w:rPr>
  </w:style>
  <w:style w:type="character" w:customStyle="1" w:styleId="112">
    <w:name w:val="正文01 Char Char"/>
    <w:qFormat/>
    <w:uiPriority w:val="0"/>
    <w:rPr>
      <w:rFonts w:eastAsia="宋体"/>
      <w:kern w:val="2"/>
      <w:sz w:val="24"/>
      <w:szCs w:val="24"/>
      <w:lang w:val="en-US" w:eastAsia="zh-CN" w:bidi="ar-SA"/>
    </w:rPr>
  </w:style>
  <w:style w:type="character" w:customStyle="1" w:styleId="113">
    <w:name w:val="表3-1 Char"/>
    <w:link w:val="114"/>
    <w:qFormat/>
    <w:uiPriority w:val="0"/>
    <w:rPr>
      <w:b/>
      <w:kern w:val="2"/>
      <w:sz w:val="21"/>
      <w:szCs w:val="21"/>
      <w:lang w:val="fi-FI" w:eastAsia="zh-CN" w:bidi="ar-SA"/>
    </w:rPr>
  </w:style>
  <w:style w:type="paragraph" w:customStyle="1" w:styleId="114">
    <w:name w:val="表3-1"/>
    <w:link w:val="113"/>
    <w:qFormat/>
    <w:uiPriority w:val="0"/>
    <w:pPr>
      <w:numPr>
        <w:ilvl w:val="0"/>
        <w:numId w:val="2"/>
      </w:numPr>
      <w:jc w:val="center"/>
    </w:pPr>
    <w:rPr>
      <w:rFonts w:ascii="Times New Roman" w:hAnsi="Times New Roman" w:eastAsia="宋体" w:cs="Times New Roman"/>
      <w:b/>
      <w:kern w:val="2"/>
      <w:sz w:val="21"/>
      <w:szCs w:val="21"/>
      <w:lang w:val="fi-FI" w:eastAsia="zh-CN" w:bidi="ar-SA"/>
    </w:rPr>
  </w:style>
  <w:style w:type="character" w:customStyle="1" w:styleId="115">
    <w:name w:val="表格标题 Char"/>
    <w:link w:val="116"/>
    <w:qFormat/>
    <w:uiPriority w:val="0"/>
    <w:rPr>
      <w:rFonts w:ascii="黑体" w:eastAsia="黑体"/>
      <w:sz w:val="24"/>
      <w:lang w:val="en-US" w:eastAsia="zh-CN" w:bidi="ar-SA"/>
    </w:rPr>
  </w:style>
  <w:style w:type="paragraph" w:customStyle="1" w:styleId="116">
    <w:name w:val="表格标题"/>
    <w:link w:val="115"/>
    <w:qFormat/>
    <w:uiPriority w:val="0"/>
    <w:pPr>
      <w:adjustRightInd w:val="0"/>
      <w:snapToGrid w:val="0"/>
      <w:spacing w:beforeLines="70" w:afterLines="20"/>
      <w:jc w:val="center"/>
    </w:pPr>
    <w:rPr>
      <w:rFonts w:ascii="黑体" w:hAnsi="Times New Roman" w:eastAsia="黑体" w:cs="Times New Roman"/>
      <w:sz w:val="24"/>
      <w:lang w:val="en-US" w:eastAsia="zh-CN" w:bidi="ar-SA"/>
    </w:rPr>
  </w:style>
  <w:style w:type="character" w:customStyle="1" w:styleId="117">
    <w:name w:val="表头 Char"/>
    <w:link w:val="118"/>
    <w:qFormat/>
    <w:uiPriority w:val="0"/>
    <w:rPr>
      <w:rFonts w:eastAsia="黑体"/>
      <w:sz w:val="24"/>
      <w:szCs w:val="24"/>
      <w:lang w:val="en-US" w:eastAsia="zh-CN" w:bidi="ar-SA"/>
    </w:rPr>
  </w:style>
  <w:style w:type="paragraph" w:customStyle="1" w:styleId="118">
    <w:name w:val="表头"/>
    <w:link w:val="117"/>
    <w:qFormat/>
    <w:uiPriority w:val="0"/>
    <w:pPr>
      <w:adjustRightInd w:val="0"/>
      <w:snapToGrid w:val="0"/>
      <w:spacing w:beforeLines="90" w:afterLines="40"/>
      <w:jc w:val="center"/>
    </w:pPr>
    <w:rPr>
      <w:rFonts w:ascii="Times New Roman" w:hAnsi="Times New Roman" w:eastAsia="黑体" w:cs="Times New Roman"/>
      <w:sz w:val="24"/>
      <w:szCs w:val="24"/>
      <w:lang w:val="en-US" w:eastAsia="zh-CN" w:bidi="ar-SA"/>
    </w:rPr>
  </w:style>
  <w:style w:type="character" w:customStyle="1" w:styleId="119">
    <w:name w:val="正文四号 Char"/>
    <w:link w:val="120"/>
    <w:qFormat/>
    <w:uiPriority w:val="0"/>
    <w:rPr>
      <w:rFonts w:eastAsia="宋体"/>
      <w:kern w:val="2"/>
      <w:sz w:val="28"/>
      <w:szCs w:val="28"/>
      <w:lang w:bidi="ar-SA"/>
    </w:rPr>
  </w:style>
  <w:style w:type="paragraph" w:customStyle="1" w:styleId="120">
    <w:name w:val="正文四号"/>
    <w:basedOn w:val="1"/>
    <w:link w:val="119"/>
    <w:qFormat/>
    <w:uiPriority w:val="0"/>
    <w:pPr>
      <w:spacing w:line="360" w:lineRule="auto"/>
      <w:ind w:firstLine="200" w:firstLineChars="200"/>
    </w:pPr>
    <w:rPr>
      <w:sz w:val="28"/>
      <w:szCs w:val="28"/>
    </w:rPr>
  </w:style>
  <w:style w:type="character" w:customStyle="1" w:styleId="121">
    <w:name w:val="正文文本缩进 Char"/>
    <w:link w:val="31"/>
    <w:qFormat/>
    <w:uiPriority w:val="0"/>
    <w:rPr>
      <w:rFonts w:eastAsia="宋体"/>
      <w:kern w:val="2"/>
      <w:sz w:val="21"/>
      <w:lang w:val="en-US" w:eastAsia="zh-CN" w:bidi="ar-SA"/>
    </w:rPr>
  </w:style>
  <w:style w:type="character" w:customStyle="1" w:styleId="122">
    <w:name w:val="批注文字 Char"/>
    <w:link w:val="26"/>
    <w:qFormat/>
    <w:uiPriority w:val="0"/>
    <w:rPr>
      <w:sz w:val="24"/>
      <w:szCs w:val="24"/>
    </w:rPr>
  </w:style>
  <w:style w:type="character" w:customStyle="1" w:styleId="123">
    <w:name w:val="正文文字缩进 Char Char"/>
    <w:qFormat/>
    <w:uiPriority w:val="0"/>
    <w:rPr>
      <w:rFonts w:ascii="宋体" w:eastAsia="宋体"/>
      <w:kern w:val="2"/>
      <w:sz w:val="24"/>
      <w:szCs w:val="24"/>
      <w:lang w:val="en-US" w:eastAsia="zh-CN" w:bidi="ar-SA"/>
    </w:rPr>
  </w:style>
  <w:style w:type="character" w:customStyle="1" w:styleId="124">
    <w:name w:val="正文2 Char"/>
    <w:link w:val="125"/>
    <w:qFormat/>
    <w:locked/>
    <w:uiPriority w:val="0"/>
    <w:rPr>
      <w:rFonts w:eastAsia="宋体"/>
      <w:kern w:val="2"/>
      <w:sz w:val="16"/>
      <w:lang w:val="fi-FI" w:eastAsia="zh-CN" w:bidi="ar-SA"/>
    </w:rPr>
  </w:style>
  <w:style w:type="paragraph" w:customStyle="1" w:styleId="125">
    <w:name w:val="正文2"/>
    <w:basedOn w:val="1"/>
    <w:link w:val="124"/>
    <w:qFormat/>
    <w:uiPriority w:val="0"/>
    <w:pPr>
      <w:adjustRightInd w:val="0"/>
      <w:snapToGrid w:val="0"/>
      <w:jc w:val="center"/>
    </w:pPr>
    <w:rPr>
      <w:sz w:val="16"/>
    </w:rPr>
  </w:style>
  <w:style w:type="character" w:customStyle="1" w:styleId="126">
    <w:name w:val="表格正文 Char"/>
    <w:link w:val="127"/>
    <w:qFormat/>
    <w:uiPriority w:val="0"/>
    <w:rPr>
      <w:rFonts w:ascii="Arial" w:hAnsi="Arial" w:eastAsia="宋体" w:cs="Arial"/>
      <w:kern w:val="2"/>
      <w:sz w:val="21"/>
      <w:szCs w:val="24"/>
      <w:lang w:val="en-US" w:eastAsia="zh-CN" w:bidi="ar-SA"/>
    </w:rPr>
  </w:style>
  <w:style w:type="paragraph" w:customStyle="1" w:styleId="127">
    <w:name w:val="表格正文"/>
    <w:basedOn w:val="1"/>
    <w:link w:val="126"/>
    <w:qFormat/>
    <w:uiPriority w:val="0"/>
    <w:pPr>
      <w:spacing w:line="360" w:lineRule="exact"/>
      <w:jc w:val="center"/>
    </w:pPr>
    <w:rPr>
      <w:rFonts w:ascii="Arial" w:hAnsi="Arial" w:cs="Arial"/>
      <w:szCs w:val="24"/>
      <w:lang w:val="en-US"/>
    </w:rPr>
  </w:style>
  <w:style w:type="character" w:customStyle="1" w:styleId="128">
    <w:name w:val="报告表格 Char"/>
    <w:link w:val="129"/>
    <w:qFormat/>
    <w:uiPriority w:val="0"/>
    <w:rPr>
      <w:rFonts w:eastAsia="宋体"/>
      <w:sz w:val="21"/>
      <w:lang w:val="en-US" w:eastAsia="zh-CN" w:bidi="ar-SA"/>
    </w:rPr>
  </w:style>
  <w:style w:type="paragraph" w:customStyle="1" w:styleId="129">
    <w:name w:val="报告表格"/>
    <w:basedOn w:val="1"/>
    <w:link w:val="128"/>
    <w:qFormat/>
    <w:uiPriority w:val="0"/>
    <w:pPr>
      <w:autoSpaceDE w:val="0"/>
      <w:autoSpaceDN w:val="0"/>
      <w:adjustRightInd w:val="0"/>
      <w:spacing w:before="40" w:after="40"/>
      <w:jc w:val="center"/>
      <w:textAlignment w:val="baseline"/>
    </w:pPr>
    <w:rPr>
      <w:kern w:val="0"/>
      <w:lang w:val="en-US"/>
    </w:rPr>
  </w:style>
  <w:style w:type="character" w:customStyle="1" w:styleId="130">
    <w:name w:val="列表 Char"/>
    <w:link w:val="56"/>
    <w:qFormat/>
    <w:uiPriority w:val="0"/>
    <w:rPr>
      <w:sz w:val="24"/>
    </w:rPr>
  </w:style>
  <w:style w:type="character" w:customStyle="1" w:styleId="131">
    <w:name w:val="表1-1 Char"/>
    <w:link w:val="132"/>
    <w:qFormat/>
    <w:uiPriority w:val="0"/>
    <w:rPr>
      <w:b/>
      <w:kern w:val="2"/>
      <w:sz w:val="21"/>
      <w:szCs w:val="21"/>
      <w:lang w:val="fi-FI"/>
    </w:rPr>
  </w:style>
  <w:style w:type="paragraph" w:customStyle="1" w:styleId="132">
    <w:name w:val="表1-1"/>
    <w:basedOn w:val="1"/>
    <w:link w:val="131"/>
    <w:qFormat/>
    <w:uiPriority w:val="0"/>
    <w:pPr>
      <w:snapToGrid w:val="0"/>
      <w:ind w:left="420" w:hanging="420"/>
      <w:jc w:val="center"/>
    </w:pPr>
    <w:rPr>
      <w:b/>
      <w:szCs w:val="21"/>
    </w:rPr>
  </w:style>
  <w:style w:type="character" w:customStyle="1" w:styleId="133">
    <w:name w:val="表4-1 Char"/>
    <w:link w:val="134"/>
    <w:qFormat/>
    <w:uiPriority w:val="0"/>
    <w:rPr>
      <w:rFonts w:hAnsi="宋体"/>
      <w:b/>
      <w:kern w:val="2"/>
      <w:sz w:val="21"/>
      <w:szCs w:val="21"/>
      <w:lang w:val="en-US" w:eastAsia="zh-CN" w:bidi="ar-SA"/>
    </w:rPr>
  </w:style>
  <w:style w:type="paragraph" w:customStyle="1" w:styleId="134">
    <w:name w:val="表4-1"/>
    <w:link w:val="133"/>
    <w:qFormat/>
    <w:uiPriority w:val="0"/>
    <w:pPr>
      <w:numPr>
        <w:ilvl w:val="0"/>
        <w:numId w:val="3"/>
      </w:numPr>
      <w:jc w:val="center"/>
    </w:pPr>
    <w:rPr>
      <w:rFonts w:ascii="Times New Roman" w:hAnsi="宋体" w:eastAsia="宋体" w:cs="Times New Roman"/>
      <w:b/>
      <w:kern w:val="2"/>
      <w:sz w:val="21"/>
      <w:szCs w:val="21"/>
      <w:lang w:val="en-US" w:eastAsia="zh-CN" w:bidi="ar-SA"/>
    </w:rPr>
  </w:style>
  <w:style w:type="character" w:customStyle="1" w:styleId="135">
    <w:name w:val="Char Char2"/>
    <w:qFormat/>
    <w:uiPriority w:val="0"/>
    <w:rPr>
      <w:rFonts w:eastAsia="黑体"/>
      <w:bCs/>
      <w:kern w:val="2"/>
      <w:sz w:val="24"/>
      <w:szCs w:val="24"/>
      <w:lang w:val="en-US" w:eastAsia="zh-CN" w:bidi="ar-SA"/>
    </w:rPr>
  </w:style>
  <w:style w:type="character" w:customStyle="1" w:styleId="136">
    <w:name w:val="正文首行缩进 2 Char"/>
    <w:link w:val="74"/>
    <w:qFormat/>
    <w:uiPriority w:val="0"/>
    <w:rPr>
      <w:rFonts w:eastAsia="宋体"/>
      <w:kern w:val="2"/>
      <w:sz w:val="24"/>
      <w:szCs w:val="24"/>
      <w:lang w:val="en-US" w:eastAsia="zh-CN" w:bidi="ar-SA"/>
    </w:rPr>
  </w:style>
  <w:style w:type="character" w:customStyle="1" w:styleId="137">
    <w:name w:val="正文缩进 Char"/>
    <w:link w:val="20"/>
    <w:qFormat/>
    <w:uiPriority w:val="0"/>
    <w:rPr>
      <w:rFonts w:eastAsia="宋体"/>
      <w:kern w:val="2"/>
      <w:sz w:val="21"/>
      <w:lang w:val="en-US" w:eastAsia="zh-CN" w:bidi="ar-SA"/>
    </w:rPr>
  </w:style>
  <w:style w:type="character" w:customStyle="1" w:styleId="138">
    <w:name w:val="unnamed11"/>
    <w:qFormat/>
    <w:uiPriority w:val="0"/>
    <w:rPr>
      <w:spacing w:val="330"/>
      <w:sz w:val="18"/>
      <w:szCs w:val="18"/>
      <w:u w:val="none"/>
    </w:rPr>
  </w:style>
  <w:style w:type="character" w:customStyle="1" w:styleId="139">
    <w:name w:val="样式 表7-1 + (符号) 宋体 Char"/>
    <w:link w:val="140"/>
    <w:qFormat/>
    <w:uiPriority w:val="0"/>
    <w:rPr>
      <w:b/>
      <w:bCs/>
      <w:kern w:val="2"/>
      <w:sz w:val="21"/>
      <w:szCs w:val="21"/>
      <w:lang w:val="en-US" w:eastAsia="zh-CN" w:bidi="ar-SA"/>
    </w:rPr>
  </w:style>
  <w:style w:type="paragraph" w:customStyle="1" w:styleId="140">
    <w:name w:val="样式 表7-1 + (符号) 宋体"/>
    <w:link w:val="139"/>
    <w:qFormat/>
    <w:uiPriority w:val="0"/>
    <w:rPr>
      <w:rFonts w:ascii="Times New Roman" w:hAnsi="Times New Roman" w:eastAsia="宋体" w:cs="Times New Roman"/>
      <w:b/>
      <w:bCs/>
      <w:kern w:val="2"/>
      <w:sz w:val="21"/>
      <w:szCs w:val="21"/>
      <w:lang w:val="en-US" w:eastAsia="zh-CN" w:bidi="ar-SA"/>
    </w:rPr>
  </w:style>
  <w:style w:type="character" w:customStyle="1" w:styleId="141">
    <w:name w:val="表5-1 Char"/>
    <w:link w:val="142"/>
    <w:qFormat/>
    <w:uiPriority w:val="0"/>
    <w:rPr>
      <w:rFonts w:eastAsia="宋体"/>
      <w:b/>
      <w:kern w:val="2"/>
      <w:sz w:val="21"/>
      <w:szCs w:val="21"/>
      <w:lang w:val="fi-FI" w:eastAsia="zh-CN" w:bidi="ar-SA"/>
    </w:rPr>
  </w:style>
  <w:style w:type="paragraph" w:customStyle="1" w:styleId="142">
    <w:name w:val="表5-1"/>
    <w:basedOn w:val="1"/>
    <w:link w:val="141"/>
    <w:qFormat/>
    <w:uiPriority w:val="0"/>
    <w:pPr>
      <w:numPr>
        <w:ilvl w:val="0"/>
        <w:numId w:val="4"/>
      </w:numPr>
      <w:ind w:left="0" w:firstLine="0"/>
      <w:jc w:val="center"/>
    </w:pPr>
    <w:rPr>
      <w:b/>
      <w:szCs w:val="21"/>
    </w:rPr>
  </w:style>
  <w:style w:type="character" w:customStyle="1" w:styleId="143">
    <w:name w:val="表格内容 Char"/>
    <w:link w:val="144"/>
    <w:qFormat/>
    <w:uiPriority w:val="0"/>
    <w:rPr>
      <w:rFonts w:eastAsia="宋体"/>
      <w:kern w:val="2"/>
      <w:lang w:val="en-US" w:eastAsia="zh-CN" w:bidi="ar-SA"/>
    </w:rPr>
  </w:style>
  <w:style w:type="paragraph" w:customStyle="1" w:styleId="144">
    <w:name w:val="表格内容"/>
    <w:basedOn w:val="1"/>
    <w:next w:val="1"/>
    <w:link w:val="143"/>
    <w:qFormat/>
    <w:uiPriority w:val="0"/>
    <w:pPr>
      <w:adjustRightInd w:val="0"/>
      <w:snapToGrid w:val="0"/>
      <w:jc w:val="center"/>
    </w:pPr>
    <w:rPr>
      <w:sz w:val="20"/>
      <w:lang w:val="en-US"/>
    </w:rPr>
  </w:style>
  <w:style w:type="character" w:customStyle="1" w:styleId="145">
    <w:name w:val="正文01 Char"/>
    <w:qFormat/>
    <w:locked/>
    <w:uiPriority w:val="0"/>
    <w:rPr>
      <w:rFonts w:eastAsia="宋体"/>
      <w:kern w:val="2"/>
      <w:sz w:val="24"/>
      <w:szCs w:val="24"/>
      <w:lang w:val="en-US" w:eastAsia="zh-CN" w:bidi="ar-SA"/>
    </w:rPr>
  </w:style>
  <w:style w:type="character" w:customStyle="1" w:styleId="146">
    <w:name w:val="三级标题 Char"/>
    <w:link w:val="147"/>
    <w:qFormat/>
    <w:uiPriority w:val="0"/>
    <w:rPr>
      <w:rFonts w:eastAsia="宋体"/>
      <w:b/>
      <w:bCs/>
      <w:kern w:val="2"/>
      <w:sz w:val="24"/>
      <w:szCs w:val="24"/>
      <w:lang w:val="en-US" w:eastAsia="zh-CN" w:bidi="ar-SA"/>
    </w:rPr>
  </w:style>
  <w:style w:type="paragraph" w:customStyle="1" w:styleId="147">
    <w:name w:val="三级标题"/>
    <w:basedOn w:val="1"/>
    <w:link w:val="146"/>
    <w:qFormat/>
    <w:uiPriority w:val="0"/>
    <w:pPr>
      <w:spacing w:before="300" w:line="460" w:lineRule="exact"/>
      <w:outlineLvl w:val="2"/>
    </w:pPr>
    <w:rPr>
      <w:b/>
      <w:bCs/>
      <w:sz w:val="24"/>
      <w:szCs w:val="24"/>
      <w:lang w:val="en-US"/>
    </w:rPr>
  </w:style>
  <w:style w:type="character" w:customStyle="1" w:styleId="148">
    <w:name w:val="正文01 Char1"/>
    <w:link w:val="149"/>
    <w:qFormat/>
    <w:uiPriority w:val="0"/>
    <w:rPr>
      <w:rFonts w:ascii="Arial" w:hAnsi="Arial" w:eastAsia="宋体"/>
      <w:kern w:val="2"/>
      <w:sz w:val="24"/>
      <w:szCs w:val="24"/>
      <w:lang w:val="en-US" w:eastAsia="zh-CN" w:bidi="ar-SA"/>
    </w:rPr>
  </w:style>
  <w:style w:type="paragraph" w:customStyle="1" w:styleId="149">
    <w:name w:val="正文01"/>
    <w:basedOn w:val="1"/>
    <w:link w:val="148"/>
    <w:qFormat/>
    <w:uiPriority w:val="0"/>
    <w:pPr>
      <w:spacing w:before="60" w:line="460" w:lineRule="exact"/>
      <w:ind w:firstLine="200" w:firstLineChars="200"/>
    </w:pPr>
    <w:rPr>
      <w:rFonts w:ascii="Arial" w:hAnsi="Arial"/>
      <w:sz w:val="24"/>
      <w:szCs w:val="24"/>
      <w:lang w:val="en-US"/>
    </w:rPr>
  </w:style>
  <w:style w:type="character" w:customStyle="1" w:styleId="150">
    <w:name w:val="正文000 Char"/>
    <w:link w:val="151"/>
    <w:qFormat/>
    <w:uiPriority w:val="0"/>
    <w:rPr>
      <w:rFonts w:eastAsia="宋体"/>
      <w:sz w:val="24"/>
      <w:lang w:bidi="ar-SA"/>
    </w:rPr>
  </w:style>
  <w:style w:type="paragraph" w:customStyle="1" w:styleId="151">
    <w:name w:val="正文000"/>
    <w:basedOn w:val="1"/>
    <w:link w:val="150"/>
    <w:qFormat/>
    <w:uiPriority w:val="0"/>
    <w:pPr>
      <w:adjustRightInd w:val="0"/>
      <w:spacing w:line="360" w:lineRule="auto"/>
      <w:ind w:firstLine="480" w:firstLineChars="200"/>
      <w:textAlignment w:val="center"/>
    </w:pPr>
    <w:rPr>
      <w:kern w:val="0"/>
      <w:sz w:val="24"/>
    </w:rPr>
  </w:style>
  <w:style w:type="character" w:customStyle="1" w:styleId="152">
    <w:name w:val="标题 2 Char"/>
    <w:qFormat/>
    <w:uiPriority w:val="0"/>
    <w:rPr>
      <w:rFonts w:ascii="黑体" w:hAnsi="Arial" w:eastAsia="黑体"/>
      <w:bCs/>
      <w:kern w:val="2"/>
      <w:sz w:val="24"/>
      <w:szCs w:val="24"/>
      <w:lang w:val="en-US" w:eastAsia="zh-CN" w:bidi="ar-SA"/>
    </w:rPr>
  </w:style>
  <w:style w:type="character" w:customStyle="1" w:styleId="153">
    <w:name w:val="正文（首行缩进两字） Char1"/>
    <w:qFormat/>
    <w:uiPriority w:val="0"/>
    <w:rPr>
      <w:rFonts w:eastAsia="宋体"/>
      <w:kern w:val="2"/>
      <w:sz w:val="21"/>
      <w:lang w:val="en-US" w:eastAsia="zh-CN" w:bidi="ar-SA"/>
    </w:rPr>
  </w:style>
  <w:style w:type="character" w:customStyle="1" w:styleId="154">
    <w:name w:val="标题 2 Char1"/>
    <w:link w:val="5"/>
    <w:qFormat/>
    <w:uiPriority w:val="0"/>
    <w:rPr>
      <w:rFonts w:ascii="Arial" w:hAnsi="Arial" w:eastAsia="黑体"/>
      <w:b/>
      <w:bCs/>
      <w:kern w:val="2"/>
      <w:sz w:val="32"/>
      <w:szCs w:val="32"/>
      <w:lang w:val="en-US" w:eastAsia="zh-CN" w:bidi="ar-SA"/>
    </w:rPr>
  </w:style>
  <w:style w:type="character" w:customStyle="1" w:styleId="155">
    <w:name w:val="表格外标 Char"/>
    <w:link w:val="156"/>
    <w:qFormat/>
    <w:uiPriority w:val="0"/>
    <w:rPr>
      <w:rFonts w:eastAsia="黑体"/>
      <w:kern w:val="2"/>
      <w:sz w:val="24"/>
      <w:szCs w:val="24"/>
      <w:lang w:val="en-US" w:eastAsia="zh-CN" w:bidi="ar-SA"/>
    </w:rPr>
  </w:style>
  <w:style w:type="paragraph" w:customStyle="1" w:styleId="156">
    <w:name w:val="表格外标"/>
    <w:basedOn w:val="1"/>
    <w:next w:val="1"/>
    <w:link w:val="155"/>
    <w:qFormat/>
    <w:uiPriority w:val="0"/>
    <w:pPr>
      <w:adjustRightInd w:val="0"/>
      <w:snapToGrid w:val="0"/>
      <w:spacing w:beforeLines="50" w:afterLines="20"/>
      <w:jc w:val="center"/>
    </w:pPr>
    <w:rPr>
      <w:rFonts w:eastAsia="黑体"/>
      <w:sz w:val="24"/>
      <w:szCs w:val="24"/>
      <w:lang w:val="en-US"/>
    </w:rPr>
  </w:style>
  <w:style w:type="character" w:customStyle="1" w:styleId="157">
    <w:name w:val="页眉 Char"/>
    <w:link w:val="49"/>
    <w:qFormat/>
    <w:uiPriority w:val="0"/>
    <w:rPr>
      <w:rFonts w:eastAsia="宋体"/>
      <w:kern w:val="2"/>
      <w:sz w:val="18"/>
      <w:szCs w:val="18"/>
      <w:lang w:val="en-US" w:eastAsia="zh-CN" w:bidi="ar-SA"/>
    </w:rPr>
  </w:style>
  <w:style w:type="character" w:customStyle="1" w:styleId="158">
    <w:name w:val="报告 Char"/>
    <w:link w:val="159"/>
    <w:qFormat/>
    <w:uiPriority w:val="0"/>
    <w:rPr>
      <w:sz w:val="24"/>
    </w:rPr>
  </w:style>
  <w:style w:type="paragraph" w:customStyle="1" w:styleId="159">
    <w:name w:val="报告"/>
    <w:basedOn w:val="1"/>
    <w:link w:val="158"/>
    <w:qFormat/>
    <w:uiPriority w:val="0"/>
    <w:pPr>
      <w:adjustRightInd w:val="0"/>
      <w:spacing w:line="360" w:lineRule="auto"/>
      <w:ind w:firstLine="505"/>
      <w:jc w:val="left"/>
      <w:textAlignment w:val="baseline"/>
    </w:pPr>
    <w:rPr>
      <w:kern w:val="0"/>
      <w:sz w:val="24"/>
    </w:rPr>
  </w:style>
  <w:style w:type="character" w:customStyle="1" w:styleId="160">
    <w:name w:val="报告表正文 Char"/>
    <w:link w:val="161"/>
    <w:qFormat/>
    <w:uiPriority w:val="0"/>
    <w:rPr>
      <w:rFonts w:eastAsia="宋体"/>
      <w:sz w:val="24"/>
      <w:lang w:val="en-US" w:eastAsia="zh-CN" w:bidi="ar-SA"/>
    </w:rPr>
  </w:style>
  <w:style w:type="paragraph" w:customStyle="1" w:styleId="161">
    <w:name w:val="报告表正文"/>
    <w:basedOn w:val="1"/>
    <w:link w:val="160"/>
    <w:qFormat/>
    <w:uiPriority w:val="0"/>
    <w:pPr>
      <w:adjustRightInd w:val="0"/>
      <w:spacing w:line="312" w:lineRule="auto"/>
      <w:ind w:left="113" w:right="113" w:firstLine="482"/>
      <w:jc w:val="left"/>
      <w:textAlignment w:val="baseline"/>
    </w:pPr>
    <w:rPr>
      <w:kern w:val="0"/>
      <w:sz w:val="24"/>
      <w:lang w:val="en-US"/>
    </w:rPr>
  </w:style>
  <w:style w:type="paragraph" w:customStyle="1" w:styleId="162">
    <w:name w:val="表6-1"/>
    <w:basedOn w:val="1"/>
    <w:qFormat/>
    <w:uiPriority w:val="0"/>
    <w:pPr>
      <w:numPr>
        <w:ilvl w:val="0"/>
        <w:numId w:val="5"/>
      </w:numPr>
      <w:jc w:val="center"/>
    </w:pPr>
    <w:rPr>
      <w:b/>
      <w:kern w:val="0"/>
      <w:szCs w:val="24"/>
    </w:rPr>
  </w:style>
  <w:style w:type="paragraph" w:customStyle="1" w:styleId="163">
    <w:name w:val="居中正文"/>
    <w:basedOn w:val="1"/>
    <w:qFormat/>
    <w:uiPriority w:val="0"/>
    <w:pPr>
      <w:adjustRightInd w:val="0"/>
      <w:snapToGrid w:val="0"/>
      <w:jc w:val="center"/>
      <w:textAlignment w:val="baseline"/>
    </w:pPr>
    <w:rPr>
      <w:kern w:val="28"/>
      <w:szCs w:val="21"/>
    </w:rPr>
  </w:style>
  <w:style w:type="paragraph" w:customStyle="1" w:styleId="164">
    <w:name w:val="正文中表格"/>
    <w:basedOn w:val="31"/>
    <w:qFormat/>
    <w:uiPriority w:val="0"/>
    <w:pPr>
      <w:spacing w:after="0" w:line="360" w:lineRule="exact"/>
      <w:ind w:left="0" w:leftChars="0"/>
      <w:jc w:val="center"/>
    </w:pPr>
    <w:rPr>
      <w:rFonts w:ascii="宋体" w:hAnsi="宋体"/>
      <w:color w:val="000000"/>
      <w:sz w:val="24"/>
    </w:rPr>
  </w:style>
  <w:style w:type="paragraph" w:customStyle="1" w:styleId="165">
    <w:name w:val="表7-1"/>
    <w:basedOn w:val="1"/>
    <w:qFormat/>
    <w:uiPriority w:val="0"/>
    <w:pPr>
      <w:numPr>
        <w:ilvl w:val="0"/>
        <w:numId w:val="6"/>
      </w:numPr>
      <w:jc w:val="center"/>
    </w:pPr>
    <w:rPr>
      <w:b/>
      <w:szCs w:val="21"/>
    </w:rPr>
  </w:style>
  <w:style w:type="paragraph" w:customStyle="1" w:styleId="166">
    <w:name w:val="Char Char Char Char Char Char2 Char Char Char Char"/>
    <w:basedOn w:val="1"/>
    <w:qFormat/>
    <w:uiPriority w:val="0"/>
    <w:rPr>
      <w:szCs w:val="24"/>
    </w:rPr>
  </w:style>
  <w:style w:type="paragraph" w:customStyle="1" w:styleId="167">
    <w:name w:val="样式 表1-1 + 两端对齐"/>
    <w:basedOn w:val="132"/>
    <w:qFormat/>
    <w:uiPriority w:val="0"/>
    <w:rPr>
      <w:rFonts w:cs="宋体"/>
      <w:bCs/>
      <w:szCs w:val="20"/>
    </w:rPr>
  </w:style>
  <w:style w:type="paragraph" w:customStyle="1" w:styleId="168">
    <w:name w:val="TOC 标题1"/>
    <w:basedOn w:val="4"/>
    <w:next w:val="1"/>
    <w:qFormat/>
    <w:uiPriority w:val="39"/>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169">
    <w:name w:val="xl26"/>
    <w:basedOn w:val="1"/>
    <w:qFormat/>
    <w:uiPriority w:val="0"/>
    <w:pPr>
      <w:widowControl/>
      <w:spacing w:before="100" w:after="100"/>
      <w:jc w:val="center"/>
    </w:pPr>
    <w:rPr>
      <w:color w:val="000000"/>
      <w:kern w:val="0"/>
      <w:sz w:val="24"/>
    </w:rPr>
  </w:style>
  <w:style w:type="paragraph" w:customStyle="1" w:styleId="170">
    <w:name w:val="zhang正文"/>
    <w:basedOn w:val="31"/>
    <w:qFormat/>
    <w:uiPriority w:val="0"/>
    <w:pPr>
      <w:autoSpaceDE w:val="0"/>
      <w:autoSpaceDN w:val="0"/>
      <w:adjustRightInd w:val="0"/>
      <w:snapToGrid w:val="0"/>
      <w:spacing w:after="0" w:line="500" w:lineRule="exact"/>
      <w:ind w:left="0" w:leftChars="0" w:firstLine="539"/>
      <w:textAlignment w:val="baseline"/>
    </w:pPr>
    <w:rPr>
      <w:rFonts w:eastAsia="楷体_GB2312"/>
      <w:kern w:val="0"/>
      <w:sz w:val="28"/>
    </w:rPr>
  </w:style>
  <w:style w:type="paragraph" w:customStyle="1" w:styleId="171">
    <w:name w:val="a5"/>
    <w:basedOn w:val="1"/>
    <w:qFormat/>
    <w:uiPriority w:val="0"/>
    <w:pPr>
      <w:widowControl/>
      <w:spacing w:before="100" w:beforeAutospacing="1" w:after="100" w:afterAutospacing="1"/>
      <w:jc w:val="left"/>
    </w:pPr>
    <w:rPr>
      <w:rFonts w:hAnsi="宋体"/>
      <w:kern w:val="0"/>
      <w:sz w:val="24"/>
      <w:szCs w:val="24"/>
    </w:rPr>
  </w:style>
  <w:style w:type="paragraph" w:customStyle="1" w:styleId="172">
    <w:name w:val="样式 样式 标题 3 + Times New Roman + 段前: 1 行 段后: 0.5 行"/>
    <w:basedOn w:val="1"/>
    <w:qFormat/>
    <w:uiPriority w:val="0"/>
    <w:pPr>
      <w:keepNext/>
      <w:keepLines/>
      <w:tabs>
        <w:tab w:val="left" w:pos="724"/>
        <w:tab w:val="left" w:pos="804"/>
      </w:tabs>
      <w:spacing w:beforeLines="100" w:afterLines="50"/>
      <w:outlineLvl w:val="2"/>
    </w:pPr>
    <w:rPr>
      <w:rFonts w:cs="宋体"/>
      <w:b/>
      <w:bCs/>
      <w:sz w:val="28"/>
    </w:rPr>
  </w:style>
  <w:style w:type="paragraph" w:customStyle="1" w:styleId="173">
    <w:name w:val="内表头"/>
    <w:basedOn w:val="21"/>
    <w:qFormat/>
    <w:uiPriority w:val="0"/>
    <w:pPr>
      <w:keepNext/>
      <w:keepLines/>
      <w:adjustRightInd w:val="0"/>
      <w:snapToGrid w:val="0"/>
      <w:spacing w:line="240" w:lineRule="auto"/>
      <w:jc w:val="center"/>
    </w:pPr>
    <w:rPr>
      <w:rFonts w:ascii="Times New Roman" w:hAnsi="Times New Roman"/>
      <w:sz w:val="24"/>
      <w:szCs w:val="24"/>
    </w:rPr>
  </w:style>
  <w:style w:type="paragraph" w:customStyle="1" w:styleId="174">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表格标题-9"/>
    <w:basedOn w:val="1"/>
    <w:next w:val="40"/>
    <w:qFormat/>
    <w:uiPriority w:val="0"/>
    <w:pPr>
      <w:adjustRightInd w:val="0"/>
      <w:snapToGrid w:val="0"/>
      <w:spacing w:line="360" w:lineRule="auto"/>
      <w:jc w:val="center"/>
    </w:pPr>
    <w:rPr>
      <w:rFonts w:eastAsia="黑体"/>
      <w:sz w:val="24"/>
      <w:szCs w:val="24"/>
      <w:lang w:val="en-US"/>
    </w:rPr>
  </w:style>
  <w:style w:type="paragraph" w:customStyle="1" w:styleId="176">
    <w:name w:val="章标题"/>
    <w:next w:val="1"/>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177">
    <w:name w:val="Char"/>
    <w:basedOn w:val="1"/>
    <w:qFormat/>
    <w:uiPriority w:val="0"/>
    <w:rPr>
      <w:sz w:val="24"/>
      <w:szCs w:val="24"/>
    </w:rPr>
  </w:style>
  <w:style w:type="paragraph" w:customStyle="1" w:styleId="178">
    <w:name w:val="Char Char3 Char Char Char Char1"/>
    <w:basedOn w:val="1"/>
    <w:qFormat/>
    <w:uiPriority w:val="0"/>
    <w:pPr>
      <w:widowControl/>
      <w:spacing w:after="160" w:line="240" w:lineRule="exact"/>
      <w:jc w:val="left"/>
    </w:pPr>
    <w:rPr>
      <w:rFonts w:ascii="Verdana" w:hAnsi="Verdana"/>
      <w:kern w:val="0"/>
      <w:sz w:val="20"/>
      <w:lang w:val="en-US" w:eastAsia="en-US"/>
    </w:rPr>
  </w:style>
  <w:style w:type="paragraph" w:customStyle="1" w:styleId="179">
    <w:name w:val="1"/>
    <w:basedOn w:val="1"/>
    <w:next w:val="1"/>
    <w:qFormat/>
    <w:uiPriority w:val="0"/>
    <w:pPr>
      <w:spacing w:line="360" w:lineRule="auto"/>
      <w:ind w:firstLine="480" w:firstLineChars="200"/>
    </w:pPr>
    <w:rPr>
      <w:rFonts w:ascii="FangSong_GB2312" w:eastAsia="FangSong_GB2312"/>
      <w:sz w:val="24"/>
      <w:szCs w:val="24"/>
    </w:rPr>
  </w:style>
  <w:style w:type="paragraph" w:customStyle="1" w:styleId="180">
    <w:name w:val="一级条标题"/>
    <w:basedOn w:val="176"/>
    <w:next w:val="1"/>
    <w:qFormat/>
    <w:uiPriority w:val="0"/>
    <w:pPr>
      <w:tabs>
        <w:tab w:val="left" w:pos="360"/>
        <w:tab w:val="left" w:pos="1260"/>
        <w:tab w:val="clear" w:pos="903"/>
      </w:tabs>
      <w:spacing w:before="0" w:after="0"/>
      <w:ind w:left="1260" w:hanging="420"/>
      <w:outlineLvl w:val="2"/>
    </w:pPr>
  </w:style>
  <w:style w:type="paragraph" w:customStyle="1" w:styleId="181">
    <w:name w:val="默认段落字体 Para Char Char"/>
    <w:basedOn w:val="1"/>
    <w:qFormat/>
    <w:uiPriority w:val="0"/>
    <w:rPr>
      <w:lang w:val="en-US"/>
    </w:rPr>
  </w:style>
  <w:style w:type="paragraph" w:customStyle="1" w:styleId="182">
    <w:name w:val="Char4 Char Char Char Char Char Char1"/>
    <w:basedOn w:val="1"/>
    <w:qFormat/>
    <w:uiPriority w:val="0"/>
    <w:pPr>
      <w:spacing w:line="360" w:lineRule="auto"/>
      <w:ind w:firstLine="200" w:firstLineChars="200"/>
    </w:pPr>
    <w:rPr>
      <w:rFonts w:ascii="宋体" w:hAnsi="宋体" w:cs="宋体"/>
      <w:sz w:val="24"/>
      <w:szCs w:val="24"/>
      <w:lang w:val="en-US"/>
    </w:rPr>
  </w:style>
  <w:style w:type="paragraph" w:customStyle="1" w:styleId="183">
    <w:name w:val="a0"/>
    <w:basedOn w:val="1"/>
    <w:qFormat/>
    <w:uiPriority w:val="0"/>
    <w:pPr>
      <w:widowControl/>
      <w:spacing w:before="100" w:beforeAutospacing="1" w:after="100" w:afterAutospacing="1"/>
      <w:jc w:val="left"/>
    </w:pPr>
    <w:rPr>
      <w:rFonts w:hAnsi="宋体"/>
      <w:kern w:val="0"/>
      <w:sz w:val="24"/>
      <w:szCs w:val="24"/>
    </w:rPr>
  </w:style>
  <w:style w:type="paragraph" w:customStyle="1" w:styleId="184">
    <w:name w:val="二级条标题"/>
    <w:basedOn w:val="180"/>
    <w:next w:val="1"/>
    <w:qFormat/>
    <w:uiPriority w:val="0"/>
    <w:pPr>
      <w:tabs>
        <w:tab w:val="left" w:pos="1680"/>
        <w:tab w:val="clear" w:pos="360"/>
        <w:tab w:val="clear" w:pos="1260"/>
      </w:tabs>
      <w:ind w:left="1680"/>
      <w:outlineLvl w:val="3"/>
    </w:pPr>
  </w:style>
  <w:style w:type="paragraph" w:customStyle="1" w:styleId="185">
    <w:name w:val="表格下方正文"/>
    <w:basedOn w:val="1"/>
    <w:qFormat/>
    <w:uiPriority w:val="0"/>
    <w:pPr>
      <w:spacing w:before="300" w:line="460" w:lineRule="exact"/>
      <w:ind w:firstLine="200" w:firstLineChars="200"/>
    </w:pPr>
    <w:rPr>
      <w:sz w:val="24"/>
    </w:rPr>
  </w:style>
  <w:style w:type="paragraph" w:customStyle="1" w:styleId="186">
    <w:name w:val="样式 表1-1 + (符号) 宋体 段前: 6 磅2"/>
    <w:basedOn w:val="132"/>
    <w:qFormat/>
    <w:uiPriority w:val="0"/>
    <w:pPr>
      <w:numPr>
        <w:ilvl w:val="0"/>
        <w:numId w:val="7"/>
      </w:numPr>
      <w:spacing w:before="120"/>
    </w:pPr>
    <w:rPr>
      <w:rFonts w:hAnsi="宋体" w:cs="宋体"/>
      <w:bCs/>
      <w:kern w:val="0"/>
      <w:szCs w:val="20"/>
    </w:rPr>
  </w:style>
  <w:style w:type="paragraph" w:customStyle="1" w:styleId="18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8">
    <w:name w:val="表10-1"/>
    <w:basedOn w:val="144"/>
    <w:qFormat/>
    <w:uiPriority w:val="0"/>
    <w:pPr>
      <w:tabs>
        <w:tab w:val="left" w:pos="0"/>
      </w:tabs>
    </w:pPr>
    <w:rPr>
      <w:b/>
      <w:szCs w:val="21"/>
    </w:rPr>
  </w:style>
  <w:style w:type="paragraph" w:customStyle="1" w:styleId="189">
    <w:name w:val="Char2"/>
    <w:basedOn w:val="1"/>
    <w:qFormat/>
    <w:uiPriority w:val="0"/>
    <w:rPr>
      <w:szCs w:val="24"/>
      <w:lang w:val="en-US"/>
    </w:rPr>
  </w:style>
  <w:style w:type="paragraph" w:customStyle="1" w:styleId="190">
    <w:name w:val="Char Char1 Char Char"/>
    <w:basedOn w:val="1"/>
    <w:semiHidden/>
    <w:qFormat/>
    <w:uiPriority w:val="0"/>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191">
    <w:name w:val="xl27"/>
    <w:basedOn w:val="1"/>
    <w:qFormat/>
    <w:uiPriority w:val="0"/>
    <w:pPr>
      <w:widowControl/>
      <w:spacing w:before="100" w:beforeAutospacing="1" w:after="100" w:afterAutospacing="1"/>
      <w:jc w:val="center"/>
    </w:pPr>
    <w:rPr>
      <w:rFonts w:hint="eastAsia" w:hAnsi="宋体"/>
      <w:kern w:val="0"/>
      <w:sz w:val="24"/>
      <w:szCs w:val="24"/>
    </w:rPr>
  </w:style>
  <w:style w:type="paragraph" w:customStyle="1" w:styleId="192">
    <w:name w:val="表名"/>
    <w:basedOn w:val="1"/>
    <w:qFormat/>
    <w:uiPriority w:val="0"/>
    <w:pPr>
      <w:jc w:val="center"/>
    </w:pPr>
    <w:rPr>
      <w:rFonts w:hAnsi="宋体"/>
      <w:sz w:val="24"/>
    </w:rPr>
  </w:style>
  <w:style w:type="paragraph" w:customStyle="1" w:styleId="193">
    <w:name w:val="表格内容2"/>
    <w:qFormat/>
    <w:uiPriority w:val="0"/>
    <w:pPr>
      <w:jc w:val="center"/>
    </w:pPr>
    <w:rPr>
      <w:rFonts w:ascii="宋体" w:hAnsi="Times New Roman" w:eastAsia="宋体" w:cs="Times New Roman"/>
      <w:iCs/>
      <w:sz w:val="21"/>
      <w:lang w:val="en-US" w:eastAsia="zh-CN" w:bidi="ar-SA"/>
    </w:rPr>
  </w:style>
  <w:style w:type="paragraph" w:customStyle="1" w:styleId="194">
    <w:name w:val="样式 表1-1 + (符号) 宋体 段前: 6 磅3"/>
    <w:basedOn w:val="132"/>
    <w:qFormat/>
    <w:uiPriority w:val="0"/>
    <w:pPr>
      <w:numPr>
        <w:ilvl w:val="0"/>
        <w:numId w:val="8"/>
      </w:numPr>
      <w:spacing w:before="120"/>
    </w:pPr>
    <w:rPr>
      <w:rFonts w:hAnsi="宋体" w:cs="宋体"/>
      <w:bCs/>
      <w:kern w:val="0"/>
      <w:szCs w:val="20"/>
    </w:rPr>
  </w:style>
  <w:style w:type="paragraph" w:customStyle="1" w:styleId="195">
    <w:name w:val="p0"/>
    <w:basedOn w:val="1"/>
    <w:qFormat/>
    <w:uiPriority w:val="0"/>
    <w:pPr>
      <w:widowControl/>
      <w:spacing w:before="100" w:beforeAutospacing="1" w:after="100" w:afterAutospacing="1"/>
      <w:jc w:val="left"/>
    </w:pPr>
    <w:rPr>
      <w:rFonts w:ascii="宋体" w:hAnsi="宋体" w:cs="宋体"/>
      <w:kern w:val="0"/>
      <w:sz w:val="24"/>
      <w:szCs w:val="24"/>
      <w:lang w:val="en-US"/>
    </w:rPr>
  </w:style>
  <w:style w:type="paragraph" w:customStyle="1" w:styleId="196">
    <w:name w:val="表格样式"/>
    <w:basedOn w:val="1"/>
    <w:qFormat/>
    <w:uiPriority w:val="0"/>
    <w:pPr>
      <w:adjustRightInd w:val="0"/>
      <w:snapToGrid w:val="0"/>
      <w:jc w:val="center"/>
      <w:textAlignment w:val="center"/>
    </w:pPr>
    <w:rPr>
      <w:sz w:val="28"/>
      <w:szCs w:val="24"/>
      <w:lang w:val="en-US"/>
    </w:rPr>
  </w:style>
  <w:style w:type="paragraph" w:customStyle="1" w:styleId="197">
    <w:name w:val="正文001"/>
    <w:basedOn w:val="1"/>
    <w:qFormat/>
    <w:uiPriority w:val="0"/>
    <w:pPr>
      <w:spacing w:before="60" w:line="420" w:lineRule="exact"/>
      <w:ind w:firstLine="482"/>
    </w:pPr>
    <w:rPr>
      <w:sz w:val="24"/>
    </w:rPr>
  </w:style>
  <w:style w:type="paragraph" w:customStyle="1" w:styleId="198">
    <w:name w:val="样式 表1-1 +"/>
    <w:basedOn w:val="132"/>
    <w:qFormat/>
    <w:uiPriority w:val="0"/>
    <w:pPr>
      <w:numPr>
        <w:ilvl w:val="0"/>
        <w:numId w:val="9"/>
      </w:numPr>
    </w:pPr>
    <w:rPr>
      <w:bCs/>
      <w:kern w:val="0"/>
    </w:rPr>
  </w:style>
  <w:style w:type="paragraph" w:customStyle="1" w:styleId="19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200">
    <w:name w:val="3级标题"/>
    <w:basedOn w:val="1"/>
    <w:qFormat/>
    <w:uiPriority w:val="0"/>
    <w:pPr>
      <w:spacing w:before="120" w:line="460" w:lineRule="exact"/>
      <w:outlineLvl w:val="2"/>
    </w:pPr>
    <w:rPr>
      <w:b/>
      <w:color w:val="000000"/>
      <w:sz w:val="24"/>
      <w:szCs w:val="24"/>
    </w:rPr>
  </w:style>
  <w:style w:type="paragraph" w:customStyle="1" w:styleId="201">
    <w:name w:val="2-1"/>
    <w:qFormat/>
    <w:uiPriority w:val="0"/>
    <w:pPr>
      <w:tabs>
        <w:tab w:val="left" w:pos="0"/>
      </w:tabs>
      <w:jc w:val="center"/>
    </w:pPr>
    <w:rPr>
      <w:rFonts w:ascii="Times New Roman" w:hAnsi="Times New Roman" w:eastAsia="宋体" w:cs="Times New Roman"/>
      <w:b/>
      <w:kern w:val="2"/>
      <w:sz w:val="21"/>
      <w:szCs w:val="21"/>
      <w:lang w:val="en-US" w:eastAsia="zh-CN" w:bidi="ar-SA"/>
    </w:rPr>
  </w:style>
  <w:style w:type="paragraph" w:customStyle="1" w:styleId="202">
    <w:name w:val="四级条标题"/>
    <w:basedOn w:val="203"/>
    <w:next w:val="1"/>
    <w:qFormat/>
    <w:uiPriority w:val="0"/>
    <w:pPr>
      <w:tabs>
        <w:tab w:val="left" w:pos="2100"/>
        <w:tab w:val="left" w:pos="2520"/>
      </w:tabs>
      <w:ind w:left="2520"/>
      <w:outlineLvl w:val="5"/>
    </w:pPr>
  </w:style>
  <w:style w:type="paragraph" w:customStyle="1" w:styleId="203">
    <w:name w:val="三级条标题"/>
    <w:basedOn w:val="184"/>
    <w:next w:val="1"/>
    <w:qFormat/>
    <w:uiPriority w:val="0"/>
    <w:pPr>
      <w:tabs>
        <w:tab w:val="left" w:pos="2100"/>
        <w:tab w:val="clear" w:pos="1680"/>
      </w:tabs>
      <w:ind w:left="2100"/>
      <w:outlineLvl w:val="4"/>
    </w:pPr>
  </w:style>
  <w:style w:type="paragraph" w:customStyle="1" w:styleId="204">
    <w:name w:val="1-1"/>
    <w:qFormat/>
    <w:uiPriority w:val="0"/>
    <w:pPr>
      <w:tabs>
        <w:tab w:val="left" w:pos="2552"/>
      </w:tabs>
      <w:snapToGrid w:val="0"/>
      <w:ind w:left="2552" w:firstLine="200" w:firstLineChars="200"/>
      <w:jc w:val="center"/>
    </w:pPr>
    <w:rPr>
      <w:rFonts w:ascii="Times New Roman" w:hAnsi="Times New Roman" w:eastAsia="宋体" w:cs="Times New Roman"/>
      <w:b/>
      <w:kern w:val="2"/>
      <w:sz w:val="21"/>
      <w:lang w:val="en-US" w:eastAsia="zh-CN" w:bidi="ar-SA"/>
    </w:rPr>
  </w:style>
  <w:style w:type="paragraph" w:customStyle="1" w:styleId="20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206">
    <w:name w:val="五级条标题"/>
    <w:basedOn w:val="202"/>
    <w:next w:val="1"/>
    <w:qFormat/>
    <w:uiPriority w:val="0"/>
    <w:pPr>
      <w:tabs>
        <w:tab w:val="left" w:pos="2940"/>
        <w:tab w:val="clear" w:pos="2520"/>
      </w:tabs>
      <w:ind w:left="2940"/>
      <w:outlineLvl w:val="6"/>
    </w:pPr>
  </w:style>
  <w:style w:type="paragraph" w:customStyle="1" w:styleId="207">
    <w:name w:val="标题01"/>
    <w:basedOn w:val="1"/>
    <w:qFormat/>
    <w:uiPriority w:val="0"/>
    <w:pPr>
      <w:spacing w:after="120" w:line="460" w:lineRule="atLeast"/>
      <w:outlineLvl w:val="0"/>
    </w:pPr>
    <w:rPr>
      <w:b/>
      <w:bCs/>
      <w:sz w:val="30"/>
      <w:szCs w:val="30"/>
    </w:rPr>
  </w:style>
  <w:style w:type="paragraph" w:customStyle="1" w:styleId="208">
    <w:name w:val="表"/>
    <w:basedOn w:val="1"/>
    <w:qFormat/>
    <w:uiPriority w:val="0"/>
    <w:pPr>
      <w:snapToGrid w:val="0"/>
      <w:jc w:val="center"/>
    </w:pPr>
    <w:rPr>
      <w:spacing w:val="2"/>
    </w:rPr>
  </w:style>
  <w:style w:type="paragraph" w:customStyle="1" w:styleId="209">
    <w:name w:val="Char Char Char Char Char Char Char"/>
    <w:basedOn w:val="1"/>
    <w:qFormat/>
    <w:uiPriority w:val="0"/>
    <w:rPr>
      <w:sz w:val="24"/>
      <w:szCs w:val="24"/>
    </w:rPr>
  </w:style>
  <w:style w:type="paragraph" w:customStyle="1" w:styleId="21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kern w:val="0"/>
      <w:sz w:val="24"/>
      <w:szCs w:val="24"/>
    </w:rPr>
  </w:style>
  <w:style w:type="paragraph" w:customStyle="1" w:styleId="211">
    <w:name w:val="插图"/>
    <w:basedOn w:val="1"/>
    <w:qFormat/>
    <w:uiPriority w:val="0"/>
    <w:pPr>
      <w:jc w:val="center"/>
    </w:pPr>
    <w:rPr>
      <w:rFonts w:eastAsia="黑体"/>
      <w:szCs w:val="24"/>
      <w:lang w:val="en-US"/>
    </w:rPr>
  </w:style>
  <w:style w:type="paragraph" w:customStyle="1" w:styleId="212">
    <w:name w:val="Char Char3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214">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szCs w:val="24"/>
      <w:lang w:val="en-US"/>
    </w:rPr>
  </w:style>
  <w:style w:type="paragraph" w:customStyle="1" w:styleId="215">
    <w:name w:val="正文+宋体"/>
    <w:basedOn w:val="1"/>
    <w:qFormat/>
    <w:uiPriority w:val="0"/>
    <w:rPr>
      <w:szCs w:val="24"/>
      <w:lang w:val="en-US"/>
    </w:rPr>
  </w:style>
  <w:style w:type="paragraph" w:customStyle="1" w:styleId="216">
    <w:name w:val="样式 表1-1 + (符号) 宋体 段前: 6 磅1"/>
    <w:basedOn w:val="132"/>
    <w:qFormat/>
    <w:uiPriority w:val="0"/>
    <w:pPr>
      <w:numPr>
        <w:ilvl w:val="0"/>
        <w:numId w:val="10"/>
      </w:numPr>
      <w:spacing w:before="120"/>
    </w:pPr>
    <w:rPr>
      <w:rFonts w:hAnsi="宋体" w:cs="宋体"/>
      <w:bCs/>
      <w:kern w:val="0"/>
      <w:szCs w:val="20"/>
    </w:rPr>
  </w:style>
  <w:style w:type="paragraph" w:customStyle="1" w:styleId="217">
    <w:name w:val="Char Char Char Char Char Char Char2"/>
    <w:basedOn w:val="1"/>
    <w:qFormat/>
    <w:uiPriority w:val="0"/>
    <w:rPr>
      <w:szCs w:val="21"/>
      <w:lang w:val="en-US"/>
    </w:rPr>
  </w:style>
  <w:style w:type="paragraph" w:customStyle="1" w:styleId="218">
    <w:name w:val="表-二级标题"/>
    <w:basedOn w:val="5"/>
    <w:qFormat/>
    <w:uiPriority w:val="0"/>
    <w:pPr>
      <w:numPr>
        <w:ilvl w:val="0"/>
        <w:numId w:val="11"/>
      </w:numPr>
      <w:tabs>
        <w:tab w:val="left" w:pos="791"/>
      </w:tabs>
      <w:spacing w:before="0" w:after="0" w:line="360" w:lineRule="auto"/>
      <w:jc w:val="left"/>
    </w:pPr>
    <w:rPr>
      <w:rFonts w:eastAsia="楷体_GB2312"/>
      <w:kern w:val="0"/>
      <w:sz w:val="24"/>
    </w:rPr>
  </w:style>
  <w:style w:type="paragraph" w:customStyle="1" w:styleId="219">
    <w:name w:val="表格内部的标题"/>
    <w:basedOn w:val="1"/>
    <w:qFormat/>
    <w:uiPriority w:val="0"/>
    <w:pPr>
      <w:keepNext/>
      <w:keepLines/>
      <w:adjustRightInd w:val="0"/>
      <w:snapToGrid w:val="0"/>
      <w:spacing w:line="240" w:lineRule="exact"/>
      <w:jc w:val="center"/>
    </w:pPr>
    <w:rPr>
      <w:rFonts w:ascii="黑体" w:eastAsia="黑体"/>
      <w:sz w:val="20"/>
      <w:szCs w:val="24"/>
    </w:rPr>
  </w:style>
  <w:style w:type="paragraph" w:customStyle="1" w:styleId="220">
    <w:name w:val="Char1"/>
    <w:basedOn w:val="1"/>
    <w:qFormat/>
    <w:uiPriority w:val="0"/>
    <w:pPr>
      <w:tabs>
        <w:tab w:val="left" w:pos="1174"/>
      </w:tabs>
      <w:ind w:left="1174" w:hanging="720"/>
    </w:pPr>
    <w:rPr>
      <w:szCs w:val="24"/>
    </w:rPr>
  </w:style>
  <w:style w:type="paragraph" w:customStyle="1" w:styleId="221">
    <w:name w:val="_Style 13"/>
    <w:basedOn w:val="1"/>
    <w:next w:val="28"/>
    <w:qFormat/>
    <w:uiPriority w:val="0"/>
    <w:pPr>
      <w:spacing w:line="360" w:lineRule="auto"/>
    </w:pPr>
    <w:rPr>
      <w:rFonts w:ascii="FangSong_GB2312" w:eastAsia="FangSong_GB2312"/>
      <w:bCs/>
      <w:sz w:val="30"/>
      <w:lang w:val="en-US"/>
    </w:rPr>
  </w:style>
  <w:style w:type="paragraph" w:customStyle="1" w:styleId="222">
    <w:name w:val="样式 宋体 小四 首行缩进:  2 字符"/>
    <w:basedOn w:val="1"/>
    <w:qFormat/>
    <w:uiPriority w:val="0"/>
    <w:pPr>
      <w:spacing w:line="360" w:lineRule="exact"/>
      <w:ind w:firstLine="480" w:firstLineChars="200"/>
    </w:pPr>
    <w:rPr>
      <w:rFonts w:ascii="宋体" w:hAnsi="宋体"/>
      <w:sz w:val="24"/>
      <w:lang w:val="en-US"/>
    </w:rPr>
  </w:style>
  <w:style w:type="paragraph" w:customStyle="1" w:styleId="223">
    <w:name w:val="Char Char Char Char Char Char 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2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5">
    <w:name w:val="注释"/>
    <w:basedOn w:val="1"/>
    <w:qFormat/>
    <w:uiPriority w:val="0"/>
    <w:pPr>
      <w:spacing w:line="360" w:lineRule="exact"/>
    </w:pPr>
    <w:rPr>
      <w:szCs w:val="24"/>
    </w:rPr>
  </w:style>
  <w:style w:type="paragraph" w:customStyle="1" w:styleId="226">
    <w:name w:val="封面3"/>
    <w:qFormat/>
    <w:uiPriority w:val="0"/>
    <w:rPr>
      <w:rFonts w:ascii="Times New Roman" w:hAnsi="Times New Roman" w:eastAsia="宋体" w:cs="Times New Roman"/>
      <w:b/>
      <w:sz w:val="30"/>
      <w:u w:val="single"/>
      <w:lang w:val="en-US" w:eastAsia="zh-CN" w:bidi="ar-SA"/>
    </w:rPr>
  </w:style>
  <w:style w:type="paragraph" w:customStyle="1" w:styleId="227">
    <w:name w:val="a4"/>
    <w:basedOn w:val="1"/>
    <w:qFormat/>
    <w:uiPriority w:val="0"/>
    <w:pPr>
      <w:widowControl/>
      <w:spacing w:before="100" w:beforeAutospacing="1" w:after="100" w:afterAutospacing="1"/>
      <w:jc w:val="left"/>
    </w:pPr>
    <w:rPr>
      <w:rFonts w:hAnsi="宋体"/>
      <w:kern w:val="0"/>
      <w:sz w:val="24"/>
      <w:szCs w:val="24"/>
    </w:rPr>
  </w:style>
  <w:style w:type="paragraph" w:customStyle="1" w:styleId="228">
    <w:name w:val="正文 首行缩进:  2 字符"/>
    <w:basedOn w:val="1"/>
    <w:qFormat/>
    <w:uiPriority w:val="0"/>
    <w:pPr>
      <w:spacing w:line="360" w:lineRule="auto"/>
      <w:ind w:firstLine="480" w:firstLineChars="200"/>
      <w:jc w:val="left"/>
    </w:pPr>
    <w:rPr>
      <w:sz w:val="24"/>
      <w:szCs w:val="24"/>
      <w:lang w:val="en-US"/>
    </w:rPr>
  </w:style>
  <w:style w:type="paragraph" w:customStyle="1" w:styleId="229">
    <w:name w:val="样式 表格正文 + 黑色 段后: 0.1 行 行距: 最小值 12 磅"/>
    <w:basedOn w:val="1"/>
    <w:qFormat/>
    <w:uiPriority w:val="0"/>
    <w:pPr>
      <w:spacing w:line="360" w:lineRule="atLeast"/>
      <w:jc w:val="center"/>
    </w:pPr>
    <w:rPr>
      <w:rFonts w:hint="eastAsia"/>
      <w:color w:val="000000"/>
    </w:rPr>
  </w:style>
  <w:style w:type="paragraph" w:customStyle="1" w:styleId="230">
    <w:name w:val="表格标题2"/>
    <w:qFormat/>
    <w:uiPriority w:val="0"/>
    <w:pPr>
      <w:jc w:val="center"/>
    </w:pPr>
    <w:rPr>
      <w:rFonts w:ascii="黑体" w:hAnsi="Times New Roman" w:eastAsia="黑体" w:cs="Times New Roman"/>
      <w:lang w:val="en-US" w:eastAsia="zh-CN" w:bidi="ar-SA"/>
    </w:rPr>
  </w:style>
  <w:style w:type="paragraph" w:customStyle="1" w:styleId="231">
    <w:name w:val="封面"/>
    <w:qFormat/>
    <w:uiPriority w:val="0"/>
    <w:pPr>
      <w:ind w:firstLine="1440"/>
    </w:pPr>
    <w:rPr>
      <w:rFonts w:ascii="华文细黑" w:hAnsi="Times New Roman" w:eastAsia="华文细黑" w:cs="Times New Roman"/>
      <w:b/>
      <w:sz w:val="72"/>
      <w:lang w:val="en-US" w:eastAsia="zh-CN" w:bidi="ar-SA"/>
    </w:rPr>
  </w:style>
  <w:style w:type="paragraph" w:customStyle="1" w:styleId="232">
    <w:name w:val="封面2"/>
    <w:qFormat/>
    <w:uiPriority w:val="0"/>
    <w:pPr>
      <w:ind w:firstLine="600" w:firstLineChars="300"/>
    </w:pPr>
    <w:rPr>
      <w:rFonts w:ascii="宋体" w:hAnsi="Times New Roman" w:eastAsia="宋体" w:cs="Times New Roman"/>
      <w:b/>
      <w:sz w:val="30"/>
      <w:lang w:val="en-US" w:eastAsia="zh-CN" w:bidi="ar-SA"/>
    </w:rPr>
  </w:style>
  <w:style w:type="paragraph" w:customStyle="1" w:styleId="233">
    <w:name w:val="Char Char Char Char Char Char Char1"/>
    <w:basedOn w:val="1"/>
    <w:qFormat/>
    <w:uiPriority w:val="0"/>
    <w:rPr>
      <w:szCs w:val="24"/>
    </w:rPr>
  </w:style>
  <w:style w:type="paragraph" w:customStyle="1" w:styleId="234">
    <w:name w:val="正文1"/>
    <w:basedOn w:val="1"/>
    <w:qFormat/>
    <w:uiPriority w:val="0"/>
    <w:pPr>
      <w:spacing w:before="60" w:line="460" w:lineRule="exact"/>
      <w:ind w:firstLine="200" w:firstLineChars="200"/>
    </w:pPr>
    <w:rPr>
      <w:sz w:val="24"/>
    </w:rPr>
  </w:style>
  <w:style w:type="paragraph" w:customStyle="1" w:styleId="235">
    <w:name w:val="标题111 Char Char Char Char"/>
    <w:basedOn w:val="1"/>
    <w:qFormat/>
    <w:uiPriority w:val="0"/>
    <w:pPr>
      <w:spacing w:line="360" w:lineRule="auto"/>
      <w:ind w:firstLine="200" w:firstLineChars="200"/>
    </w:pPr>
    <w:rPr>
      <w:rFonts w:ascii="宋体" w:hAnsi="宋体" w:cs="宋体"/>
      <w:sz w:val="24"/>
      <w:szCs w:val="24"/>
      <w:lang w:val="en-US"/>
    </w:rPr>
  </w:style>
  <w:style w:type="paragraph" w:customStyle="1" w:styleId="236">
    <w:name w:val="正文-欣欣"/>
    <w:basedOn w:val="1"/>
    <w:next w:val="1"/>
    <w:qFormat/>
    <w:uiPriority w:val="0"/>
    <w:pPr>
      <w:spacing w:line="360" w:lineRule="auto"/>
      <w:ind w:firstLine="480" w:firstLineChars="200"/>
      <w:jc w:val="left"/>
    </w:pPr>
    <w:rPr>
      <w:bCs/>
      <w:sz w:val="24"/>
      <w:szCs w:val="24"/>
      <w:lang w:val="en-US"/>
    </w:rPr>
  </w:style>
  <w:style w:type="paragraph" w:customStyle="1" w:styleId="237">
    <w:name w:val="默认段落字体 Para Char Char Char Char"/>
    <w:basedOn w:val="1"/>
    <w:qFormat/>
    <w:uiPriority w:val="0"/>
    <w:rPr>
      <w:sz w:val="24"/>
      <w:szCs w:val="24"/>
    </w:rPr>
  </w:style>
  <w:style w:type="paragraph" w:customStyle="1" w:styleId="238">
    <w:name w:val="分页"/>
    <w:basedOn w:val="1"/>
    <w:next w:val="1"/>
    <w:qFormat/>
    <w:uiPriority w:val="0"/>
    <w:pPr>
      <w:spacing w:line="100" w:lineRule="exact"/>
    </w:pPr>
    <w:rPr>
      <w:sz w:val="13"/>
      <w:szCs w:val="24"/>
    </w:rPr>
  </w:style>
  <w:style w:type="paragraph" w:customStyle="1" w:styleId="23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lang w:val="en-US"/>
    </w:rPr>
  </w:style>
  <w:style w:type="paragraph" w:customStyle="1" w:styleId="240">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41">
    <w:name w:val="Char Char1 Char"/>
    <w:basedOn w:val="1"/>
    <w:qFormat/>
    <w:uiPriority w:val="0"/>
    <w:pPr>
      <w:widowControl/>
      <w:spacing w:after="160" w:line="240" w:lineRule="exact"/>
      <w:jc w:val="left"/>
    </w:pPr>
    <w:rPr>
      <w:szCs w:val="24"/>
    </w:rPr>
  </w:style>
  <w:style w:type="paragraph" w:customStyle="1" w:styleId="242">
    <w:name w:val="Char1 Char Char Char"/>
    <w:basedOn w:val="1"/>
    <w:qFormat/>
    <w:uiPriority w:val="0"/>
    <w:rPr>
      <w:rFonts w:ascii="Tahoma" w:hAnsi="Tahoma"/>
      <w:spacing w:val="-24"/>
      <w:sz w:val="24"/>
      <w:szCs w:val="21"/>
      <w:lang w:val="en-US"/>
    </w:rPr>
  </w:style>
  <w:style w:type="paragraph" w:customStyle="1" w:styleId="243">
    <w:name w:val="样式 标题 2 + 非加粗"/>
    <w:basedOn w:val="5"/>
    <w:qFormat/>
    <w:uiPriority w:val="0"/>
    <w:pPr>
      <w:keepLines w:val="0"/>
      <w:spacing w:before="0" w:after="0" w:line="240" w:lineRule="auto"/>
      <w:jc w:val="left"/>
    </w:pPr>
    <w:rPr>
      <w:rFonts w:ascii="Times New Roman" w:hAnsi="Times New Roman" w:eastAsia="宋体"/>
      <w:bCs w:val="0"/>
      <w:spacing w:val="-24"/>
      <w:sz w:val="28"/>
      <w:szCs w:val="20"/>
    </w:rPr>
  </w:style>
  <w:style w:type="paragraph" w:customStyle="1" w:styleId="244">
    <w:name w:val="Char Char Char Char Char Char Char Char Char Char Char Char Char Char Char Char"/>
    <w:basedOn w:val="1"/>
    <w:qFormat/>
    <w:uiPriority w:val="0"/>
    <w:rPr>
      <w:sz w:val="24"/>
      <w:szCs w:val="24"/>
    </w:rPr>
  </w:style>
  <w:style w:type="paragraph" w:customStyle="1" w:styleId="245">
    <w:name w:val="样式 表1-1 + (符号) 宋体 段前: 6 磅"/>
    <w:basedOn w:val="132"/>
    <w:qFormat/>
    <w:uiPriority w:val="0"/>
    <w:pPr>
      <w:numPr>
        <w:ilvl w:val="0"/>
        <w:numId w:val="12"/>
      </w:numPr>
      <w:spacing w:before="120"/>
    </w:pPr>
    <w:rPr>
      <w:rFonts w:hAnsi="宋体" w:cs="宋体"/>
      <w:bCs/>
      <w:szCs w:val="20"/>
    </w:rPr>
  </w:style>
  <w:style w:type="paragraph" w:customStyle="1" w:styleId="246">
    <w:name w:val="表格文字"/>
    <w:basedOn w:val="1"/>
    <w:link w:val="258"/>
    <w:qFormat/>
    <w:uiPriority w:val="0"/>
    <w:pPr>
      <w:tabs>
        <w:tab w:val="left" w:pos="-2848"/>
      </w:tabs>
      <w:spacing w:before="40" w:after="40" w:line="240" w:lineRule="atLeast"/>
      <w:jc w:val="center"/>
    </w:pPr>
    <w:rPr>
      <w:position w:val="-10"/>
    </w:rPr>
  </w:style>
  <w:style w:type="paragraph" w:customStyle="1" w:styleId="247">
    <w:name w:val="xl67"/>
    <w:basedOn w:val="1"/>
    <w:qFormat/>
    <w:uiPriority w:val="0"/>
    <w:pPr>
      <w:widowControl/>
      <w:pBdr>
        <w:left w:val="single" w:color="auto" w:sz="4" w:space="0"/>
      </w:pBdr>
      <w:spacing w:before="100" w:beforeAutospacing="1" w:after="100" w:afterAutospacing="1"/>
      <w:jc w:val="center"/>
    </w:pPr>
    <w:rPr>
      <w:rFonts w:hint="eastAsia" w:ascii="FangSong_GB2312" w:hAnsi="宋体" w:eastAsia="FangSong_GB2312"/>
      <w:kern w:val="0"/>
      <w:sz w:val="24"/>
      <w:szCs w:val="24"/>
      <w:lang w:val="en-US"/>
    </w:rPr>
  </w:style>
  <w:style w:type="paragraph" w:customStyle="1" w:styleId="248">
    <w:name w:val="标题3 Char Char Char Char"/>
    <w:basedOn w:val="1"/>
    <w:qFormat/>
    <w:uiPriority w:val="0"/>
    <w:pPr>
      <w:spacing w:afterLines="50" w:line="560" w:lineRule="exact"/>
    </w:pPr>
    <w:rPr>
      <w:lang w:val="en-US"/>
    </w:rPr>
  </w:style>
  <w:style w:type="character" w:customStyle="1" w:styleId="249">
    <w:name w:val="正文文本 Char"/>
    <w:qFormat/>
    <w:uiPriority w:val="0"/>
    <w:rPr>
      <w:rFonts w:eastAsia="宋体"/>
      <w:kern w:val="2"/>
      <w:sz w:val="28"/>
      <w:lang w:val="en-US" w:eastAsia="zh-CN" w:bidi="ar-SA"/>
    </w:rPr>
  </w:style>
  <w:style w:type="paragraph" w:customStyle="1" w:styleId="250">
    <w:name w:val="Char4"/>
    <w:basedOn w:val="1"/>
    <w:qFormat/>
    <w:uiPriority w:val="0"/>
    <w:rPr>
      <w:sz w:val="24"/>
      <w:szCs w:val="24"/>
      <w:lang w:val="en-US"/>
    </w:rPr>
  </w:style>
  <w:style w:type="paragraph" w:customStyle="1" w:styleId="251">
    <w:name w:val="Char1 Char Char Char2"/>
    <w:basedOn w:val="1"/>
    <w:qFormat/>
    <w:uiPriority w:val="0"/>
    <w:rPr>
      <w:lang w:val="en-US"/>
    </w:rPr>
  </w:style>
  <w:style w:type="paragraph" w:customStyle="1" w:styleId="252">
    <w:name w:val="Char3"/>
    <w:basedOn w:val="1"/>
    <w:qFormat/>
    <w:uiPriority w:val="0"/>
    <w:rPr>
      <w:sz w:val="24"/>
      <w:szCs w:val="24"/>
      <w:lang w:val="en-US"/>
    </w:rPr>
  </w:style>
  <w:style w:type="paragraph" w:customStyle="1" w:styleId="253">
    <w:name w:val="Char1 Char Char Char1"/>
    <w:basedOn w:val="1"/>
    <w:qFormat/>
    <w:uiPriority w:val="0"/>
    <w:rPr>
      <w:lang w:val="en-US"/>
    </w:rPr>
  </w:style>
  <w:style w:type="paragraph" w:styleId="254">
    <w:name w:val="List Paragraph"/>
    <w:basedOn w:val="1"/>
    <w:qFormat/>
    <w:uiPriority w:val="99"/>
    <w:pPr>
      <w:ind w:firstLine="420" w:firstLineChars="200"/>
    </w:pPr>
  </w:style>
  <w:style w:type="paragraph" w:customStyle="1" w:styleId="255">
    <w:name w:val="Char1 Char Char Char3"/>
    <w:basedOn w:val="1"/>
    <w:qFormat/>
    <w:uiPriority w:val="0"/>
    <w:rPr>
      <w:lang w:val="en-US"/>
    </w:rPr>
  </w:style>
  <w:style w:type="paragraph" w:customStyle="1" w:styleId="256">
    <w:name w:val="zhengwen1"/>
    <w:basedOn w:val="1"/>
    <w:qFormat/>
    <w:uiPriority w:val="0"/>
    <w:pPr>
      <w:spacing w:line="500" w:lineRule="exact"/>
    </w:pPr>
    <w:rPr>
      <w:rFonts w:ascii="微软雅黑" w:hAnsi="微软雅黑" w:eastAsia="微软雅黑"/>
      <w:kern w:val="0"/>
      <w:lang w:val="en-US"/>
    </w:rPr>
  </w:style>
  <w:style w:type="character" w:customStyle="1" w:styleId="257">
    <w:name w:val="fontstyle01"/>
    <w:basedOn w:val="77"/>
    <w:qFormat/>
    <w:uiPriority w:val="0"/>
    <w:rPr>
      <w:rFonts w:hint="eastAsia" w:ascii="宋体" w:hAnsi="宋体" w:eastAsia="宋体"/>
      <w:color w:val="000000"/>
      <w:sz w:val="22"/>
      <w:szCs w:val="22"/>
    </w:rPr>
  </w:style>
  <w:style w:type="character" w:customStyle="1" w:styleId="258">
    <w:name w:val="表格文字 Char"/>
    <w:link w:val="246"/>
    <w:qFormat/>
    <w:locked/>
    <w:uiPriority w:val="0"/>
    <w:rPr>
      <w:kern w:val="2"/>
      <w:position w:val="-10"/>
      <w:sz w:val="21"/>
      <w:lang w:val="fi-FI"/>
    </w:rPr>
  </w:style>
  <w:style w:type="character" w:customStyle="1" w:styleId="259">
    <w:name w:val="报告正文-连续目录 Char Char"/>
    <w:link w:val="260"/>
    <w:qFormat/>
    <w:uiPriority w:val="0"/>
    <w:rPr>
      <w:rFonts w:ascii="Arial" w:hAnsi="Arial" w:cs="Arial"/>
      <w:sz w:val="24"/>
      <w:szCs w:val="24"/>
    </w:rPr>
  </w:style>
  <w:style w:type="paragraph" w:customStyle="1" w:styleId="260">
    <w:name w:val="报告正文-连续目录"/>
    <w:basedOn w:val="1"/>
    <w:link w:val="259"/>
    <w:qFormat/>
    <w:uiPriority w:val="0"/>
    <w:pPr>
      <w:spacing w:line="440" w:lineRule="exact"/>
      <w:ind w:firstLine="200" w:firstLineChars="200"/>
    </w:pPr>
    <w:rPr>
      <w:rFonts w:ascii="Arial" w:hAnsi="Arial" w:cs="Arial"/>
      <w:kern w:val="0"/>
      <w:sz w:val="24"/>
      <w:szCs w:val="24"/>
      <w:lang w:val="en-US"/>
    </w:rPr>
  </w:style>
  <w:style w:type="paragraph" w:customStyle="1" w:styleId="261">
    <w:name w:val="修订1"/>
    <w:hidden/>
    <w:unhideWhenUsed/>
    <w:qFormat/>
    <w:uiPriority w:val="99"/>
    <w:rPr>
      <w:rFonts w:ascii="Times New Roman" w:hAnsi="Times New Roman" w:eastAsia="宋体" w:cs="Times New Roman"/>
      <w:kern w:val="2"/>
      <w:sz w:val="21"/>
      <w:lang w:val="fi-FI" w:eastAsia="zh-CN" w:bidi="ar-SA"/>
    </w:rPr>
  </w:style>
  <w:style w:type="paragraph" w:customStyle="1" w:styleId="262">
    <w:name w:val="表内"/>
    <w:basedOn w:val="1"/>
    <w:link w:val="263"/>
    <w:qFormat/>
    <w:uiPriority w:val="0"/>
    <w:pPr>
      <w:jc w:val="center"/>
    </w:pPr>
    <w:rPr>
      <w:rFonts w:eastAsia="FangSong_GB2312"/>
      <w:kern w:val="0"/>
      <w:szCs w:val="21"/>
      <w:lang w:val="en-US"/>
    </w:rPr>
  </w:style>
  <w:style w:type="character" w:customStyle="1" w:styleId="263">
    <w:name w:val="表内 Char"/>
    <w:link w:val="262"/>
    <w:qFormat/>
    <w:uiPriority w:val="0"/>
    <w:rPr>
      <w:rFonts w:eastAsia="FangSong_GB2312"/>
      <w:sz w:val="21"/>
      <w:szCs w:val="21"/>
    </w:rPr>
  </w:style>
  <w:style w:type="character" w:customStyle="1" w:styleId="264">
    <w:name w:val="标题 1 Char"/>
    <w:link w:val="4"/>
    <w:qFormat/>
    <w:uiPriority w:val="0"/>
    <w:rPr>
      <w:b/>
      <w:bCs/>
      <w:spacing w:val="-4"/>
      <w:kern w:val="2"/>
      <w:sz w:val="21"/>
      <w:lang w:val="fi-FI"/>
    </w:rPr>
  </w:style>
  <w:style w:type="paragraph" w:customStyle="1" w:styleId="265">
    <w:name w:val="无间隔21"/>
    <w:qFormat/>
    <w:uiPriority w:val="0"/>
    <w:pPr>
      <w:widowControl w:val="0"/>
      <w:jc w:val="center"/>
    </w:pPr>
    <w:rPr>
      <w:rFonts w:ascii="宋体" w:hAnsi="Courier New" w:eastAsia="FangSong_GB2312" w:cs="Times New Roman"/>
      <w:kern w:val="2"/>
      <w:sz w:val="24"/>
      <w:szCs w:val="22"/>
      <w:lang w:val="en-US" w:eastAsia="zh-CN" w:bidi="ar-SA"/>
    </w:rPr>
  </w:style>
  <w:style w:type="character" w:customStyle="1" w:styleId="266">
    <w:name w:val="font21"/>
    <w:basedOn w:val="77"/>
    <w:qFormat/>
    <w:uiPriority w:val="0"/>
    <w:rPr>
      <w:rFonts w:hint="default" w:ascii="Times New Roman" w:hAnsi="Times New Roman" w:cs="Times New Roman"/>
      <w:color w:val="FF0000"/>
      <w:sz w:val="22"/>
      <w:szCs w:val="22"/>
      <w:u w:val="none"/>
    </w:rPr>
  </w:style>
  <w:style w:type="paragraph" w:customStyle="1" w:styleId="267">
    <w:name w:val="样式1"/>
    <w:basedOn w:val="1"/>
    <w:qFormat/>
    <w:uiPriority w:val="99"/>
    <w:pPr>
      <w:spacing w:line="360" w:lineRule="auto"/>
    </w:pPr>
    <w:rPr>
      <w:color w:val="000000"/>
      <w:sz w:val="24"/>
      <w:szCs w:val="24"/>
      <w:lang w:val="en-US"/>
    </w:rPr>
  </w:style>
  <w:style w:type="paragraph" w:customStyle="1" w:styleId="268">
    <w:name w:val="Char Char119"/>
    <w:basedOn w:val="1"/>
    <w:qFormat/>
    <w:uiPriority w:val="0"/>
    <w:pPr>
      <w:spacing w:line="360" w:lineRule="auto"/>
      <w:ind w:firstLine="200" w:firstLineChars="200"/>
    </w:pPr>
    <w:rPr>
      <w:rFonts w:ascii="宋体" w:hAnsi="宋体"/>
      <w:sz w:val="24"/>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7561"/>
    <customShpInfo spid="_x0000_s7670"/>
    <customShpInfo spid="_x0000_s7632"/>
    <customShpInfo spid="_x0000_s7671"/>
    <customShpInfo spid="_x0000_s7668"/>
    <customShpInfo spid="_x0000_s7666"/>
    <customShpInfo spid="_x0000_s7664"/>
    <customShpInfo spid="_x0000_s7611"/>
    <customShpInfo spid="_x0000_s7595"/>
    <customShpInfo spid="_x0000_s7673"/>
    <customShpInfo spid="_x0000_s7677"/>
    <customShpInfo spid="_x0000_s7669"/>
    <customShpInfo spid="_x0000_s7667"/>
    <customShpInfo spid="_x0000_s7665"/>
    <customShpInfo spid="_x0000_s7663"/>
    <customShpInfo spid="_x0000_s7598"/>
    <customShpInfo spid="_x0000_s7633"/>
    <customShpInfo spid="_x0000_s7618"/>
    <customShpInfo spid="_x0000_s7672"/>
    <customShpInfo spid="_x0000_s7600"/>
    <customShpInfo spid="_x0000_s7674"/>
    <customShpInfo spid="_x0000_s7678"/>
    <customShpInfo spid="_x0000_s7635"/>
    <customShpInfo spid="_x0000_s7655"/>
    <customShpInfo spid="_x0000_s7685"/>
    <customShpInfo spid="_x0000_s7660"/>
    <customShpInfo spid="_x0000_s7653"/>
    <customShpInfo spid="_x0000_s7683"/>
    <customShpInfo spid="_x0000_s7682"/>
    <customShpInfo spid="_x0000_s7681"/>
    <customShpInfo spid="_x0000_s7651"/>
    <customShpInfo spid="_x0000_s7649"/>
    <customShpInfo spid="_x0000_s7656"/>
    <customShpInfo spid="_x0000_s7680"/>
    <customShpInfo spid="_x0000_s7659"/>
    <customShpInfo spid="_x0000_s7661"/>
    <customShpInfo spid="_x0000_s7562"/>
    <customShpInfo spid="_x0000_s7563"/>
    <customShpInfo spid="_x0000_s7585"/>
    <customShpInfo spid="_x0000_s7584"/>
    <customShpInfo spid="_x0000_s7564"/>
    <customShpInfo spid="_x0000_s7586"/>
    <customShpInfo spid="_x0000_s7566"/>
    <customShpInfo spid="_x0000_s7565"/>
    <customShpInfo spid="_x0000_s7583"/>
    <customShpInfo spid="_x0000_s7567"/>
    <customShpInfo spid="_x0000_s7587"/>
    <customShpInfo spid="_x0000_s7588"/>
    <customShpInfo spid="_x0000_s7580"/>
    <customShpInfo spid="_x0000_s7579"/>
    <customShpInfo spid="_x0000_s7568"/>
    <customShpInfo spid="_x0000_s7594"/>
    <customShpInfo spid="_x0000_s7570"/>
    <customShpInfo spid="_x0000_s7569"/>
    <customShpInfo spid="_x0000_s7593"/>
    <customShpInfo spid="_x0000_s7571"/>
    <customShpInfo spid="_x0000_s7589"/>
    <customShpInfo spid="_x0000_s7590"/>
    <customShpInfo spid="_x0000_s7582"/>
    <customShpInfo spid="_x0000_s7581"/>
    <customShpInfo spid="_x0000_s7572"/>
    <customShpInfo spid="_x0000_s7592"/>
    <customShpInfo spid="_x0000_s7574"/>
    <customShpInfo spid="_x0000_s7573"/>
    <customShpInfo spid="_x0000_s7591"/>
    <customShpInfo spid="_x0000_s7575"/>
    <customShpInfo spid="_x0000_s7576"/>
    <customShpInfo spid="_x0000_s7496"/>
    <customShpInfo spid="_x0000_s7497"/>
    <customShpInfo spid="_x0000_s7498"/>
    <customShpInfo spid="_x0000_s7499"/>
    <customShpInfo spid="_x0000_s7533"/>
    <customShpInfo spid="_x0000_s7534"/>
    <customShpInfo spid="_x0000_s7556"/>
    <customShpInfo spid="_x0000_s7537"/>
    <customShpInfo spid="_x0000_s7555"/>
    <customShpInfo spid="_x0000_s7560"/>
    <customShpInfo spid="_x0000_s75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47E78-C0FB-423D-B315-52C58E9265B2}">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7338</Words>
  <Characters>41830</Characters>
  <Lines>348</Lines>
  <Paragraphs>98</Paragraphs>
  <TotalTime>14</TotalTime>
  <ScaleCrop>false</ScaleCrop>
  <LinksUpToDate>false</LinksUpToDate>
  <CharactersWithSpaces>49070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2019-08-07T06:07:00Z</dcterms:created>
  <dc:creator>微软中国</dc:creator>
  <cp:lastModifiedBy>小圆</cp:lastModifiedBy>
  <cp:lastPrinted>2020-08-03T06:15:00Z</cp:lastPrinted>
  <dcterms:modified xsi:type="dcterms:W3CDTF">2020-09-01T06:19:31Z</dcterms:modified>
  <dc:title>建设项目环境影响报告表</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